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7365" w14:textId="77777777" w:rsidR="00CA3393" w:rsidRPr="00733F3B" w:rsidRDefault="00CA3393" w:rsidP="00CA3393">
      <w:pPr>
        <w:spacing w:after="0" w:line="360" w:lineRule="auto"/>
        <w:rPr>
          <w:rFonts w:ascii="Verdana" w:eastAsia="Times New Roman" w:hAnsi="Verdana" w:cs="Calibri"/>
          <w:lang w:eastAsia="en-GB"/>
        </w:rPr>
      </w:pPr>
    </w:p>
    <w:p w14:paraId="375E7366" w14:textId="77777777" w:rsidR="00CA3393" w:rsidRPr="00CA3393" w:rsidRDefault="00CA3393" w:rsidP="00CA3393">
      <w:pPr>
        <w:spacing w:after="0" w:line="360" w:lineRule="auto"/>
        <w:rPr>
          <w:rFonts w:ascii="Verdana" w:eastAsia="Times New Roman" w:hAnsi="Verdana" w:cs="Calibri"/>
          <w:sz w:val="20"/>
          <w:lang w:eastAsia="en-GB"/>
        </w:rPr>
      </w:pPr>
      <w:r w:rsidRPr="00CA3393">
        <w:rPr>
          <w:rFonts w:ascii="Verdana" w:eastAsia="Times New Roman" w:hAnsi="Verdana" w:cs="Calibri"/>
          <w:noProof/>
          <w:sz w:val="20"/>
          <w:lang w:eastAsia="en-GB"/>
        </w:rPr>
        <w:drawing>
          <wp:anchor distT="0" distB="0" distL="114300" distR="114300" simplePos="0" relativeHeight="251659264" behindDoc="0" locked="0" layoutInCell="1" allowOverlap="1" wp14:anchorId="375E73D7" wp14:editId="375E73D8">
            <wp:simplePos x="0" y="0"/>
            <wp:positionH relativeFrom="column">
              <wp:posOffset>4344035</wp:posOffset>
            </wp:positionH>
            <wp:positionV relativeFrom="paragraph">
              <wp:posOffset>73660</wp:posOffset>
            </wp:positionV>
            <wp:extent cx="1543050" cy="838200"/>
            <wp:effectExtent l="19050" t="0" r="0" b="0"/>
            <wp:wrapNone/>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1"/>
                    <a:stretch>
                      <a:fillRect/>
                    </a:stretch>
                  </pic:blipFill>
                  <pic:spPr>
                    <a:xfrm>
                      <a:off x="0" y="0"/>
                      <a:ext cx="1543050" cy="838200"/>
                    </a:xfrm>
                    <a:prstGeom prst="rect">
                      <a:avLst/>
                    </a:prstGeom>
                  </pic:spPr>
                </pic:pic>
              </a:graphicData>
            </a:graphic>
          </wp:anchor>
        </w:drawing>
      </w:r>
    </w:p>
    <w:p w14:paraId="375E7367" w14:textId="77777777" w:rsidR="00CA3393" w:rsidRPr="00CA3393" w:rsidRDefault="00CA3393" w:rsidP="00CA3393">
      <w:pPr>
        <w:spacing w:after="0" w:line="360" w:lineRule="auto"/>
        <w:rPr>
          <w:rFonts w:ascii="Verdana" w:eastAsia="Times New Roman" w:hAnsi="Verdana" w:cs="Calibri"/>
          <w:sz w:val="20"/>
          <w:lang w:eastAsia="en-GB"/>
        </w:rPr>
      </w:pPr>
    </w:p>
    <w:p w14:paraId="375E7368" w14:textId="77777777" w:rsidR="00CA3393" w:rsidRPr="00CA3393" w:rsidRDefault="00CA3393" w:rsidP="00CA3393">
      <w:pPr>
        <w:spacing w:after="0" w:line="360" w:lineRule="auto"/>
        <w:rPr>
          <w:rFonts w:ascii="Verdana" w:eastAsia="Times New Roman" w:hAnsi="Verdana" w:cs="Calibri"/>
          <w:sz w:val="20"/>
          <w:lang w:eastAsia="en-GB"/>
        </w:rPr>
      </w:pPr>
    </w:p>
    <w:p w14:paraId="375E7369" w14:textId="77777777" w:rsidR="00CA3393" w:rsidRPr="00CA3393" w:rsidRDefault="00CA3393" w:rsidP="00CA3393">
      <w:pPr>
        <w:spacing w:after="0" w:line="360" w:lineRule="auto"/>
        <w:rPr>
          <w:rFonts w:ascii="Verdana" w:eastAsia="Times New Roman" w:hAnsi="Verdana" w:cs="Calibri"/>
          <w:sz w:val="20"/>
          <w:lang w:eastAsia="en-GB"/>
        </w:rPr>
      </w:pPr>
    </w:p>
    <w:p w14:paraId="375E736A" w14:textId="77777777" w:rsidR="00CA3393" w:rsidRPr="00CA3393" w:rsidRDefault="00CA3393" w:rsidP="00CA3393">
      <w:pPr>
        <w:spacing w:after="0" w:line="360" w:lineRule="auto"/>
        <w:rPr>
          <w:rFonts w:ascii="Verdana" w:eastAsia="Times New Roman" w:hAnsi="Verdana" w:cs="Calibri"/>
          <w:sz w:val="20"/>
          <w:lang w:eastAsia="en-GB"/>
        </w:rPr>
      </w:pPr>
    </w:p>
    <w:p w14:paraId="375E736B" w14:textId="77777777" w:rsidR="00CA3393" w:rsidRPr="00CA3393" w:rsidRDefault="00CA3393" w:rsidP="00CA3393">
      <w:pPr>
        <w:spacing w:after="0" w:line="360" w:lineRule="auto"/>
        <w:rPr>
          <w:rFonts w:ascii="Verdana" w:eastAsia="Times New Roman" w:hAnsi="Verdana" w:cs="Calibri"/>
          <w:b/>
          <w:sz w:val="20"/>
          <w:lang w:eastAsia="en-GB"/>
        </w:rPr>
      </w:pPr>
    </w:p>
    <w:p w14:paraId="375E736C" w14:textId="77777777" w:rsidR="00CA3393" w:rsidRPr="00CA3393" w:rsidRDefault="00CA3393" w:rsidP="00CA3393">
      <w:pPr>
        <w:spacing w:after="0" w:line="360" w:lineRule="auto"/>
        <w:rPr>
          <w:rFonts w:ascii="Verdana" w:eastAsia="Times New Roman" w:hAnsi="Verdana" w:cs="Calibri"/>
          <w:b/>
          <w:sz w:val="20"/>
          <w:lang w:eastAsia="en-GB"/>
        </w:rPr>
      </w:pPr>
    </w:p>
    <w:p w14:paraId="7C705945" w14:textId="7F37FF87" w:rsidR="00B30754" w:rsidRDefault="00CA3393" w:rsidP="00CA3393">
      <w:pPr>
        <w:tabs>
          <w:tab w:val="left" w:pos="8250"/>
        </w:tabs>
        <w:spacing w:after="0" w:line="360" w:lineRule="auto"/>
        <w:rPr>
          <w:rFonts w:ascii="Verdana" w:eastAsia="Times New Roman" w:hAnsi="Verdana" w:cs="Calibri"/>
          <w:b/>
          <w:sz w:val="32"/>
          <w:u w:val="single"/>
          <w:lang w:eastAsia="en-GB"/>
        </w:rPr>
      </w:pPr>
      <w:r w:rsidRPr="00CA3393">
        <w:rPr>
          <w:rFonts w:ascii="Verdana" w:eastAsia="Times New Roman" w:hAnsi="Verdana" w:cs="Calibri"/>
          <w:b/>
          <w:sz w:val="32"/>
          <w:u w:val="single"/>
          <w:lang w:eastAsia="en-GB"/>
        </w:rPr>
        <w:t>Feedback Form</w:t>
      </w:r>
    </w:p>
    <w:p w14:paraId="375E736D" w14:textId="7BD51CDF" w:rsidR="00CA3393" w:rsidRPr="00CA3393" w:rsidRDefault="00B30754" w:rsidP="00CA3393">
      <w:pPr>
        <w:tabs>
          <w:tab w:val="left" w:pos="8250"/>
        </w:tabs>
        <w:spacing w:after="0" w:line="360" w:lineRule="auto"/>
        <w:rPr>
          <w:rFonts w:ascii="Verdana" w:eastAsia="Times New Roman" w:hAnsi="Verdana" w:cs="Calibri"/>
          <w:b/>
          <w:sz w:val="32"/>
          <w:u w:val="single"/>
          <w:lang w:eastAsia="en-GB"/>
        </w:rPr>
      </w:pPr>
      <w:r w:rsidRPr="00B30754">
        <w:rPr>
          <w:rFonts w:ascii="Verdana" w:eastAsia="Times New Roman" w:hAnsi="Verdana" w:cs="Calibri"/>
          <w:b/>
          <w:sz w:val="32"/>
          <w:u w:val="single"/>
          <w:lang w:eastAsia="en-GB"/>
        </w:rPr>
        <w:t>Electricity retail market-wide half-hourly settlement: consultation</w:t>
      </w:r>
    </w:p>
    <w:p w14:paraId="375E736E" w14:textId="77777777" w:rsidR="00CA3393" w:rsidRPr="00CA3393" w:rsidRDefault="00CA3393" w:rsidP="00CA3393">
      <w:pPr>
        <w:tabs>
          <w:tab w:val="left" w:pos="8250"/>
        </w:tabs>
        <w:spacing w:after="0" w:line="360" w:lineRule="auto"/>
        <w:rPr>
          <w:rFonts w:ascii="Verdana" w:eastAsia="Times New Roman" w:hAnsi="Verdana" w:cs="Calibri"/>
          <w:b/>
          <w:sz w:val="32"/>
          <w:u w:val="single"/>
          <w:lang w:eastAsia="en-GB"/>
        </w:rPr>
      </w:pPr>
    </w:p>
    <w:p w14:paraId="564187C7" w14:textId="76E3BE8E" w:rsidR="00733F3B" w:rsidRDefault="003D1167" w:rsidP="00CA3393">
      <w:pPr>
        <w:tabs>
          <w:tab w:val="left" w:pos="8250"/>
        </w:tabs>
        <w:spacing w:after="0" w:line="360" w:lineRule="auto"/>
        <w:rPr>
          <w:rFonts w:ascii="Verdana" w:eastAsia="Times New Roman" w:hAnsi="Verdana" w:cs="Calibri"/>
          <w:i/>
          <w:lang w:eastAsia="en-GB"/>
        </w:rPr>
      </w:pPr>
      <w:r>
        <w:rPr>
          <w:rFonts w:ascii="Verdana" w:hAnsi="Verdana"/>
          <w:i/>
          <w:iCs/>
        </w:rPr>
        <w:t>The deadline for responses is 14 September 2020.</w:t>
      </w:r>
      <w:r>
        <w:rPr>
          <w:rFonts w:ascii="Verdana" w:eastAsia="Times New Roman" w:hAnsi="Verdana" w:cs="Calibri"/>
          <w:i/>
          <w:lang w:eastAsia="en-GB"/>
        </w:rPr>
        <w:t xml:space="preserve"> </w:t>
      </w:r>
      <w:r w:rsidR="00733F3B">
        <w:rPr>
          <w:rFonts w:ascii="Verdana" w:eastAsia="Times New Roman" w:hAnsi="Verdana" w:cs="Calibri"/>
          <w:i/>
          <w:lang w:eastAsia="en-GB"/>
        </w:rPr>
        <w:t>P</w:t>
      </w:r>
      <w:r w:rsidR="00CA3393" w:rsidRPr="00733F3B">
        <w:rPr>
          <w:rFonts w:ascii="Verdana" w:eastAsia="Times New Roman" w:hAnsi="Verdana" w:cs="Calibri"/>
          <w:i/>
          <w:lang w:eastAsia="en-GB"/>
        </w:rPr>
        <w:t xml:space="preserve">lease send this form to </w:t>
      </w:r>
      <w:hyperlink r:id="rId12" w:history="1">
        <w:r w:rsidR="00CA3393" w:rsidRPr="00733F3B">
          <w:rPr>
            <w:rFonts w:ascii="Verdana" w:eastAsia="Times New Roman" w:hAnsi="Verdana" w:cs="Calibri"/>
            <w:b/>
            <w:i/>
            <w:color w:val="0000FF"/>
            <w:u w:val="single"/>
            <w:lang w:eastAsia="en-GB"/>
          </w:rPr>
          <w:t>HalfHourlySettlement@ofgem.gov.uk</w:t>
        </w:r>
      </w:hyperlink>
      <w:r w:rsidR="00733F3B">
        <w:rPr>
          <w:rFonts w:ascii="Verdana" w:eastAsia="Times New Roman" w:hAnsi="Verdana" w:cs="Calibri"/>
          <w:i/>
          <w:lang w:eastAsia="en-GB"/>
        </w:rPr>
        <w:t xml:space="preserve"> once completed.</w:t>
      </w:r>
    </w:p>
    <w:p w14:paraId="01C1EC06" w14:textId="77777777" w:rsidR="00733F3B" w:rsidRDefault="00733F3B" w:rsidP="00CA3393">
      <w:pPr>
        <w:tabs>
          <w:tab w:val="left" w:pos="8250"/>
        </w:tabs>
        <w:spacing w:after="0" w:line="360" w:lineRule="auto"/>
        <w:rPr>
          <w:rFonts w:ascii="Verdana" w:eastAsia="Times New Roman" w:hAnsi="Verdana" w:cs="Calibri"/>
          <w:i/>
          <w:lang w:eastAsia="en-GB"/>
        </w:rPr>
      </w:pPr>
    </w:p>
    <w:p w14:paraId="375E7371" w14:textId="77777777" w:rsidR="00CA3393" w:rsidRPr="00CA3393" w:rsidRDefault="006F0F25" w:rsidP="00CA3393">
      <w:pPr>
        <w:tabs>
          <w:tab w:val="left" w:pos="8250"/>
        </w:tabs>
        <w:spacing w:after="0" w:line="360" w:lineRule="auto"/>
        <w:rPr>
          <w:rFonts w:ascii="Verdana" w:eastAsia="Times New Roman" w:hAnsi="Verdana" w:cs="Calibri"/>
          <w:b/>
          <w:sz w:val="20"/>
          <w:u w:val="single"/>
          <w:lang w:eastAsia="en-GB"/>
        </w:rPr>
      </w:pPr>
      <w:r>
        <w:rPr>
          <w:rFonts w:ascii="Verdana" w:eastAsia="Times New Roman" w:hAnsi="Verdana" w:cs="Calibri"/>
          <w:b/>
          <w:noProof/>
          <w:sz w:val="24"/>
          <w:szCs w:val="24"/>
          <w:lang w:eastAsia="en-GB"/>
        </w:rPr>
        <mc:AlternateContent>
          <mc:Choice Requires="wps">
            <w:drawing>
              <wp:anchor distT="0" distB="0" distL="114300" distR="114300" simplePos="0" relativeHeight="251660288" behindDoc="0" locked="0" layoutInCell="1" allowOverlap="1" wp14:anchorId="375E73D9" wp14:editId="375E73DA">
                <wp:simplePos x="0" y="0"/>
                <wp:positionH relativeFrom="column">
                  <wp:posOffset>1229995</wp:posOffset>
                </wp:positionH>
                <wp:positionV relativeFrom="paragraph">
                  <wp:posOffset>176949</wp:posOffset>
                </wp:positionV>
                <wp:extent cx="4805045" cy="233045"/>
                <wp:effectExtent l="0" t="0" r="14605" b="14605"/>
                <wp:wrapNone/>
                <wp:docPr id="3" name="Text Box 3"/>
                <wp:cNvGraphicFramePr/>
                <a:graphic xmlns:a="http://schemas.openxmlformats.org/drawingml/2006/main">
                  <a:graphicData uri="http://schemas.microsoft.com/office/word/2010/wordprocessingShape">
                    <wps:wsp>
                      <wps:cNvSpPr txBox="1"/>
                      <wps:spPr>
                        <a:xfrm>
                          <a:off x="0" y="0"/>
                          <a:ext cx="4805045" cy="233045"/>
                        </a:xfrm>
                        <a:prstGeom prst="rect">
                          <a:avLst/>
                        </a:prstGeom>
                        <a:solidFill>
                          <a:schemeClr val="lt1"/>
                        </a:solidFill>
                        <a:ln w="6350">
                          <a:solidFill>
                            <a:schemeClr val="bg1"/>
                          </a:solidFill>
                        </a:ln>
                      </wps:spPr>
                      <wps:txbx>
                        <w:txbxContent>
                          <w:p w14:paraId="375E73E8" w14:textId="77777777" w:rsidR="006F0F25" w:rsidRDefault="006F0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E73D9" id="_x0000_t202" coordsize="21600,21600" o:spt="202" path="m,l,21600r21600,l21600,xe">
                <v:stroke joinstyle="miter"/>
                <v:path gradientshapeok="t" o:connecttype="rect"/>
              </v:shapetype>
              <v:shape id="Text Box 3" o:spid="_x0000_s1026" type="#_x0000_t202" style="position:absolute;margin-left:96.85pt;margin-top:13.95pt;width:378.35pt;height:1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" fillcolor="white [3201]" strokecolor="white [3212]" strokeweight=".5pt">
                <v:textbox>
                  <w:txbxContent>
                    <w:p w14:paraId="375E73E8" w14:textId="77777777" w:rsidR="006F0F25" w:rsidRDefault="006F0F25"/>
                  </w:txbxContent>
                </v:textbox>
              </v:shape>
            </w:pict>
          </mc:Fallback>
        </mc:AlternateContent>
      </w:r>
    </w:p>
    <w:p w14:paraId="375E7372" w14:textId="77777777" w:rsidR="00CA3393" w:rsidRDefault="00CA3393" w:rsidP="00CA3393">
      <w:pPr>
        <w:tabs>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t>Organisation:</w:t>
      </w:r>
    </w:p>
    <w:p w14:paraId="375E7373" w14:textId="77777777" w:rsidR="00CA3393" w:rsidRPr="00CA3393" w:rsidRDefault="006F0F25" w:rsidP="00CA3393">
      <w:pPr>
        <w:tabs>
          <w:tab w:val="left" w:pos="8250"/>
        </w:tabs>
        <w:spacing w:after="0" w:line="360" w:lineRule="auto"/>
        <w:rPr>
          <w:rFonts w:ascii="Verdana" w:eastAsia="Times New Roman" w:hAnsi="Verdana" w:cs="Calibri"/>
          <w:b/>
          <w:sz w:val="24"/>
          <w:szCs w:val="24"/>
          <w:lang w:eastAsia="en-GB"/>
        </w:rPr>
      </w:pPr>
      <w:r>
        <w:rPr>
          <w:rFonts w:ascii="Verdana" w:eastAsia="Times New Roman" w:hAnsi="Verdana" w:cs="Calibri"/>
          <w:b/>
          <w:noProof/>
          <w:sz w:val="24"/>
          <w:szCs w:val="24"/>
          <w:lang w:eastAsia="en-GB"/>
        </w:rPr>
        <mc:AlternateContent>
          <mc:Choice Requires="wps">
            <w:drawing>
              <wp:anchor distT="0" distB="0" distL="114300" distR="114300" simplePos="0" relativeHeight="251661312" behindDoc="0" locked="0" layoutInCell="1" allowOverlap="1" wp14:anchorId="375E73DB" wp14:editId="375E73DC">
                <wp:simplePos x="0" y="0"/>
                <wp:positionH relativeFrom="column">
                  <wp:posOffset>772795</wp:posOffset>
                </wp:positionH>
                <wp:positionV relativeFrom="paragraph">
                  <wp:posOffset>203092</wp:posOffset>
                </wp:positionV>
                <wp:extent cx="5098415" cy="252919"/>
                <wp:effectExtent l="0" t="0" r="26035" b="13970"/>
                <wp:wrapNone/>
                <wp:docPr id="4" name="Text Box 4"/>
                <wp:cNvGraphicFramePr/>
                <a:graphic xmlns:a="http://schemas.openxmlformats.org/drawingml/2006/main">
                  <a:graphicData uri="http://schemas.microsoft.com/office/word/2010/wordprocessingShape">
                    <wps:wsp>
                      <wps:cNvSpPr txBox="1"/>
                      <wps:spPr>
                        <a:xfrm>
                          <a:off x="0" y="0"/>
                          <a:ext cx="5098415" cy="252919"/>
                        </a:xfrm>
                        <a:prstGeom prst="rect">
                          <a:avLst/>
                        </a:prstGeom>
                        <a:solidFill>
                          <a:schemeClr val="lt1"/>
                        </a:solidFill>
                        <a:ln w="6350">
                          <a:solidFill>
                            <a:schemeClr val="bg1"/>
                          </a:solidFill>
                        </a:ln>
                      </wps:spPr>
                      <wps:txbx>
                        <w:txbxContent>
                          <w:p w14:paraId="375E73E9" w14:textId="77777777" w:rsidR="006F0F25" w:rsidRDefault="006F0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E73DB" id="Text Box 4" o:spid="_x0000_s1027" type="#_x0000_t202" style="position:absolute;margin-left:60.85pt;margin-top:16pt;width:401.45pt;height:1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" fillcolor="white [3201]" strokecolor="white [3212]" strokeweight=".5pt">
                <v:textbox>
                  <w:txbxContent>
                    <w:p w14:paraId="375E73E9" w14:textId="77777777" w:rsidR="006F0F25" w:rsidRDefault="006F0F25"/>
                  </w:txbxContent>
                </v:textbox>
              </v:shape>
            </w:pict>
          </mc:Fallback>
        </mc:AlternateContent>
      </w:r>
    </w:p>
    <w:p w14:paraId="375E7374" w14:textId="77777777" w:rsidR="00CA3393" w:rsidRPr="00CA3393" w:rsidRDefault="00CA3393" w:rsidP="00CA3393">
      <w:pPr>
        <w:tabs>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t>Contact:</w:t>
      </w:r>
      <w:r w:rsidR="006F0F25">
        <w:rPr>
          <w:rFonts w:ascii="Verdana" w:eastAsia="Times New Roman" w:hAnsi="Verdana" w:cs="Calibri"/>
          <w:b/>
          <w:sz w:val="24"/>
          <w:szCs w:val="24"/>
          <w:lang w:eastAsia="en-GB"/>
        </w:rPr>
        <w:t xml:space="preserve"> </w:t>
      </w:r>
    </w:p>
    <w:p w14:paraId="375E7375" w14:textId="77777777" w:rsidR="00CA3393" w:rsidRPr="00CA3393" w:rsidRDefault="00CA3393" w:rsidP="00CA3393">
      <w:pPr>
        <w:tabs>
          <w:tab w:val="left" w:pos="8250"/>
        </w:tabs>
        <w:spacing w:after="0" w:line="360" w:lineRule="auto"/>
        <w:rPr>
          <w:rFonts w:ascii="Verdana" w:eastAsia="Times New Roman" w:hAnsi="Verdana" w:cs="Calibri"/>
          <w:b/>
          <w:sz w:val="24"/>
          <w:szCs w:val="24"/>
          <w:lang w:eastAsia="en-GB"/>
        </w:rPr>
      </w:pPr>
    </w:p>
    <w:p w14:paraId="375E7376" w14:textId="77777777" w:rsidR="00CA3393" w:rsidRPr="00CA3393" w:rsidRDefault="00CA3393" w:rsidP="00FD12F2">
      <w:pPr>
        <w:tabs>
          <w:tab w:val="left" w:pos="4925"/>
          <w:tab w:val="left" w:pos="5387"/>
          <w:tab w:val="left" w:pos="7088"/>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t>Is your feedback confidential?</w:t>
      </w:r>
      <w:r w:rsidRPr="00CA3393">
        <w:rPr>
          <w:rFonts w:ascii="Verdana" w:eastAsia="Times New Roman" w:hAnsi="Verdana" w:cs="Calibri"/>
          <w:b/>
          <w:sz w:val="24"/>
          <w:szCs w:val="24"/>
          <w:lang w:eastAsia="en-GB"/>
        </w:rPr>
        <w:tab/>
      </w:r>
      <w:r w:rsidRPr="006D77DC">
        <w:rPr>
          <w:rFonts w:ascii="Verdana" w:eastAsia="Times New Roman" w:hAnsi="Verdana" w:cs="Calibri"/>
          <w:sz w:val="28"/>
          <w:szCs w:val="28"/>
          <w:lang w:eastAsia="en-GB"/>
        </w:rPr>
        <w:t>NO</w:t>
      </w:r>
      <w:r w:rsidRPr="00CA3393">
        <w:rPr>
          <w:rFonts w:ascii="Verdana" w:eastAsia="Times New Roman" w:hAnsi="Verdana" w:cs="Calibri"/>
          <w:sz w:val="44"/>
          <w:szCs w:val="44"/>
          <w:lang w:eastAsia="en-GB"/>
        </w:rPr>
        <w:t xml:space="preserve"> </w:t>
      </w:r>
      <w:sdt>
        <w:sdtPr>
          <w:rPr>
            <w:rFonts w:ascii="Verdana" w:eastAsia="Times New Roman" w:hAnsi="Verdana" w:cs="Calibri"/>
            <w:b/>
            <w:sz w:val="36"/>
            <w:szCs w:val="52"/>
            <w:lang w:eastAsia="en-GB"/>
          </w:rPr>
          <w:id w:val="1823162767"/>
          <w14:checkbox>
            <w14:checked w14:val="0"/>
            <w14:checkedState w14:val="2612" w14:font="MS Gothic"/>
            <w14:uncheckedState w14:val="2610" w14:font="MS Gothic"/>
          </w14:checkbox>
        </w:sdtPr>
        <w:sdtEndPr/>
        <w:sdtContent>
          <w:r w:rsidR="006D77DC" w:rsidRPr="006D77DC">
            <w:rPr>
              <w:rFonts w:ascii="MS Gothic" w:eastAsia="MS Gothic" w:hAnsi="MS Gothic" w:cs="Calibri" w:hint="eastAsia"/>
              <w:b/>
              <w:sz w:val="36"/>
              <w:szCs w:val="52"/>
              <w:lang w:eastAsia="en-GB"/>
            </w:rPr>
            <w:t>☐</w:t>
          </w:r>
        </w:sdtContent>
      </w:sdt>
      <w:r w:rsidRPr="00CA3393">
        <w:rPr>
          <w:rFonts w:ascii="Verdana" w:eastAsia="Times New Roman" w:hAnsi="Verdana" w:cs="Calibri"/>
          <w:b/>
          <w:sz w:val="24"/>
          <w:szCs w:val="24"/>
          <w:lang w:eastAsia="en-GB"/>
        </w:rPr>
        <w:tab/>
      </w:r>
      <w:r w:rsidRPr="006D77DC">
        <w:rPr>
          <w:rFonts w:ascii="Verdana" w:eastAsia="Times New Roman" w:hAnsi="Verdana" w:cs="Calibri"/>
          <w:sz w:val="28"/>
          <w:szCs w:val="44"/>
          <w:lang w:eastAsia="en-GB"/>
        </w:rPr>
        <w:t>YES</w:t>
      </w:r>
      <w:r w:rsidRPr="00CA3393">
        <w:rPr>
          <w:rFonts w:ascii="Verdana" w:eastAsia="Times New Roman" w:hAnsi="Verdana" w:cs="Calibri"/>
          <w:b/>
          <w:sz w:val="44"/>
          <w:szCs w:val="44"/>
          <w:lang w:eastAsia="en-GB"/>
        </w:rPr>
        <w:t xml:space="preserve"> </w:t>
      </w:r>
      <w:sdt>
        <w:sdtPr>
          <w:rPr>
            <w:rFonts w:ascii="Verdana" w:eastAsia="Times New Roman" w:hAnsi="Verdana" w:cs="Calibri"/>
            <w:b/>
            <w:sz w:val="36"/>
            <w:szCs w:val="52"/>
            <w:lang w:eastAsia="en-GB"/>
          </w:rPr>
          <w:id w:val="469479282"/>
          <w14:checkbox>
            <w14:checked w14:val="0"/>
            <w14:checkedState w14:val="2612" w14:font="MS Gothic"/>
            <w14:uncheckedState w14:val="2610" w14:font="MS Gothic"/>
          </w14:checkbox>
        </w:sdtPr>
        <w:sdtEndPr/>
        <w:sdtContent>
          <w:r w:rsidRPr="006D77DC">
            <w:rPr>
              <w:rFonts w:ascii="Segoe UI Symbol" w:eastAsia="Times New Roman" w:hAnsi="Segoe UI Symbol" w:cs="Segoe UI Symbol"/>
              <w:b/>
              <w:sz w:val="36"/>
              <w:szCs w:val="52"/>
              <w:lang w:eastAsia="en-GB"/>
            </w:rPr>
            <w:t>☐</w:t>
          </w:r>
        </w:sdtContent>
      </w:sdt>
      <w:r w:rsidRPr="006D77DC">
        <w:rPr>
          <w:rFonts w:ascii="Verdana" w:eastAsia="Times New Roman" w:hAnsi="Verdana" w:cs="Calibri"/>
          <w:b/>
          <w:sz w:val="16"/>
          <w:szCs w:val="24"/>
          <w:lang w:eastAsia="en-GB"/>
        </w:rPr>
        <w:tab/>
      </w:r>
    </w:p>
    <w:p w14:paraId="6CAFFC0D" w14:textId="77777777" w:rsidR="00B30754" w:rsidRDefault="00B30754" w:rsidP="00CA3393">
      <w:pPr>
        <w:spacing w:after="0" w:line="360" w:lineRule="auto"/>
        <w:rPr>
          <w:rFonts w:ascii="Verdana" w:eastAsia="Times New Roman" w:hAnsi="Verdana" w:cs="Calibri"/>
          <w:lang w:eastAsia="en-GB"/>
        </w:rPr>
      </w:pPr>
    </w:p>
    <w:p w14:paraId="375E7377" w14:textId="7A8F7608" w:rsidR="00CA3393" w:rsidRPr="006D77DC" w:rsidRDefault="00CA3393" w:rsidP="00CA3393">
      <w:pPr>
        <w:spacing w:after="0" w:line="360" w:lineRule="auto"/>
        <w:rPr>
          <w:rFonts w:ascii="Verdana" w:eastAsia="Times New Roman" w:hAnsi="Verdana" w:cs="Calibri"/>
          <w:lang w:eastAsia="en-GB"/>
        </w:rPr>
      </w:pPr>
      <w:r w:rsidRPr="006D77DC">
        <w:rPr>
          <w:rFonts w:ascii="Verdana" w:eastAsia="Times New Roman" w:hAnsi="Verdana" w:cs="Calibri"/>
          <w:lang w:eastAsia="en-GB"/>
        </w:rPr>
        <w:t xml:space="preserve">Unless you mark your response confidential, we will publish it on our website, </w:t>
      </w:r>
      <w:hyperlink r:id="rId13" w:history="1">
        <w:r w:rsidRPr="006D77DC">
          <w:rPr>
            <w:rFonts w:ascii="Verdana" w:eastAsia="Times New Roman" w:hAnsi="Verdana" w:cs="Calibri"/>
            <w:color w:val="0000FF"/>
            <w:u w:val="single"/>
            <w:lang w:eastAsia="en-GB"/>
          </w:rPr>
          <w:t>www.ofgem.gov.uk</w:t>
        </w:r>
      </w:hyperlink>
      <w:r w:rsidRPr="006D77DC">
        <w:rPr>
          <w:rFonts w:ascii="Verdana" w:eastAsia="Times New Roman" w:hAnsi="Verdana" w:cs="Calibri"/>
          <w:lang w:eastAsia="en-GB"/>
        </w:rPr>
        <w:t xml:space="preserve">, and put it in our library. You can ask us to keep your response confidential, and we will respect this, subject to obligations to disclose information, for example, under the Freedom of Information Act 2000 or the Environmental Information Regulations 2004. If you want us to keep your response confidential, you should clearly mark your response to that effect and include reasons. </w:t>
      </w:r>
    </w:p>
    <w:p w14:paraId="375E7378" w14:textId="77777777" w:rsidR="00CA3393" w:rsidRPr="006D77DC" w:rsidRDefault="00CA3393" w:rsidP="00CA3393">
      <w:pPr>
        <w:spacing w:after="0" w:line="360" w:lineRule="auto"/>
        <w:rPr>
          <w:rFonts w:ascii="Verdana" w:eastAsia="Times New Roman" w:hAnsi="Verdana" w:cs="Calibri"/>
          <w:lang w:eastAsia="en-GB"/>
        </w:rPr>
      </w:pPr>
    </w:p>
    <w:p w14:paraId="375E7379" w14:textId="77777777" w:rsidR="00CA3393" w:rsidRPr="006D77DC" w:rsidRDefault="00CA3393" w:rsidP="00CA3393">
      <w:pPr>
        <w:spacing w:after="0" w:line="360" w:lineRule="auto"/>
        <w:rPr>
          <w:rFonts w:ascii="Verdana" w:eastAsia="Times New Roman" w:hAnsi="Verdana" w:cs="Calibri"/>
          <w:lang w:eastAsia="en-GB"/>
        </w:rPr>
      </w:pPr>
      <w:r w:rsidRPr="006D77DC">
        <w:rPr>
          <w:rFonts w:ascii="Verdana" w:eastAsia="Times New Roman" w:hAnsi="Verdana" w:cs="Calibri"/>
          <w:lang w:eastAsia="en-GB"/>
        </w:rPr>
        <w:t xml:space="preserve">If the information you give in your response contains personal data under General Data Protection Regulation (EU) 2016/679 and Data Protection Act </w:t>
      </w:r>
      <w:r w:rsidRPr="006D77DC">
        <w:rPr>
          <w:rFonts w:ascii="Verdana" w:eastAsia="Times New Roman" w:hAnsi="Verdana" w:cs="Calibri"/>
          <w:lang w:eastAsia="en-GB"/>
        </w:rPr>
        <w:lastRenderedPageBreak/>
        <w:t>2018, the Gas and Electricity Markets Authority will be the data controller. Ofgem uses the information in responses in performing its statutory functions and in accordance with section 105 of the Utilities Act 2000. If you are including any confidential material in your response, please put it in the appendices.</w:t>
      </w:r>
    </w:p>
    <w:p w14:paraId="5A9F4E89" w14:textId="77777777" w:rsidR="00733F3B" w:rsidRDefault="00733F3B">
      <w:pPr>
        <w:rPr>
          <w:rFonts w:ascii="Verdana" w:hAnsi="Verdana"/>
          <w:b/>
          <w:color w:val="ED7D31" w:themeColor="accent2"/>
          <w:sz w:val="28"/>
          <w:szCs w:val="28"/>
        </w:rPr>
      </w:pPr>
      <w:r>
        <w:rPr>
          <w:rFonts w:ascii="Verdana" w:hAnsi="Verdana"/>
          <w:b/>
          <w:color w:val="ED7D31" w:themeColor="accent2"/>
          <w:sz w:val="28"/>
          <w:szCs w:val="28"/>
        </w:rPr>
        <w:br w:type="page"/>
      </w:r>
    </w:p>
    <w:p w14:paraId="375E737A" w14:textId="3AB8B25C" w:rsidR="00B017CD" w:rsidRPr="00AE152F"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lastRenderedPageBreak/>
        <w:t>Target Operating Model (TOM)</w:t>
      </w:r>
    </w:p>
    <w:p w14:paraId="375E737B" w14:textId="77777777" w:rsidR="00AE152F" w:rsidRPr="006D77DC" w:rsidRDefault="00B017CD" w:rsidP="00000E0A">
      <w:pPr>
        <w:pStyle w:val="ListParagraph"/>
        <w:numPr>
          <w:ilvl w:val="0"/>
          <w:numId w:val="1"/>
        </w:numPr>
        <w:spacing w:line="360" w:lineRule="auto"/>
        <w:ind w:left="357" w:hanging="357"/>
        <w:rPr>
          <w:rFonts w:ascii="Verdana" w:hAnsi="Verdana"/>
        </w:rPr>
      </w:pPr>
      <w:r w:rsidRPr="006D77DC">
        <w:rPr>
          <w:rFonts w:ascii="Verdana" w:hAnsi="Verdana"/>
        </w:rPr>
        <w:t xml:space="preserve">We propose to introduce MHHS on the basis of the Target Operating Model recommended by the Design Working Group last year. </w:t>
      </w:r>
      <w:r w:rsidR="006D77DC" w:rsidRPr="006D77DC">
        <w:rPr>
          <w:rFonts w:ascii="Verdana" w:hAnsi="Verdana"/>
          <w:color w:val="000000"/>
        </w:rPr>
        <w:t>Do you agree? We welcome your views.</w:t>
      </w:r>
      <w:r w:rsidRPr="006D77DC">
        <w:rPr>
          <w:rFonts w:ascii="Verdana" w:hAnsi="Verdana"/>
        </w:rPr>
        <w:t xml:space="preserve"> </w:t>
      </w:r>
    </w:p>
    <w:tbl>
      <w:tblPr>
        <w:tblpPr w:leftFromText="180" w:rightFromText="180" w:vertAnchor="text"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9"/>
      </w:tblGrid>
      <w:tr w:rsidR="00AE152F" w14:paraId="375E737D" w14:textId="77777777" w:rsidTr="00B30754">
        <w:trPr>
          <w:trHeight w:val="11396"/>
        </w:trPr>
        <w:tc>
          <w:tcPr>
            <w:tcW w:w="8659" w:type="dxa"/>
          </w:tcPr>
          <w:p w14:paraId="375E737C" w14:textId="77777777" w:rsidR="00AE152F" w:rsidRDefault="00AE152F" w:rsidP="00AE152F">
            <w:pPr>
              <w:rPr>
                <w:rFonts w:ascii="Verdana" w:hAnsi="Verdana"/>
                <w:sz w:val="24"/>
                <w:szCs w:val="24"/>
              </w:rPr>
            </w:pPr>
          </w:p>
        </w:tc>
      </w:tr>
    </w:tbl>
    <w:p w14:paraId="375E737E" w14:textId="77777777" w:rsidR="00AE152F" w:rsidRDefault="00AE152F">
      <w:pPr>
        <w:rPr>
          <w:rFonts w:ascii="Verdana" w:hAnsi="Verdana"/>
          <w:sz w:val="24"/>
          <w:szCs w:val="24"/>
        </w:rPr>
      </w:pPr>
      <w:r>
        <w:rPr>
          <w:rFonts w:ascii="Verdana" w:hAnsi="Verdana"/>
          <w:sz w:val="24"/>
          <w:szCs w:val="24"/>
        </w:rPr>
        <w:br w:type="page"/>
      </w:r>
    </w:p>
    <w:p w14:paraId="375E737F"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Ofgem’s preferred position is that HH electricity consumption data should be sent to central settlement systems in non-aggregated form.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6"/>
      </w:tblGrid>
      <w:tr w:rsidR="00AE152F" w14:paraId="375E7381" w14:textId="77777777" w:rsidTr="00CA3393">
        <w:trPr>
          <w:trHeight w:val="11880"/>
          <w:jc w:val="center"/>
        </w:trPr>
        <w:tc>
          <w:tcPr>
            <w:tcW w:w="8456" w:type="dxa"/>
          </w:tcPr>
          <w:p w14:paraId="375E7380" w14:textId="77777777" w:rsidR="00AE152F" w:rsidRDefault="00AE152F" w:rsidP="00AE152F">
            <w:pPr>
              <w:rPr>
                <w:rFonts w:ascii="Verdana" w:hAnsi="Verdana"/>
                <w:sz w:val="24"/>
                <w:szCs w:val="24"/>
              </w:rPr>
            </w:pPr>
            <w:r>
              <w:rPr>
                <w:rFonts w:ascii="Verdana" w:hAnsi="Verdana"/>
                <w:sz w:val="24"/>
                <w:szCs w:val="24"/>
              </w:rPr>
              <w:br w:type="page"/>
            </w:r>
          </w:p>
        </w:tc>
      </w:tr>
    </w:tbl>
    <w:p w14:paraId="375E7382" w14:textId="77777777" w:rsidR="00AE152F" w:rsidRDefault="00AE152F" w:rsidP="00B017CD">
      <w:pPr>
        <w:rPr>
          <w:rFonts w:ascii="Verdana" w:hAnsi="Verdana"/>
          <w:b/>
          <w:color w:val="ED7D31" w:themeColor="accent2"/>
          <w:sz w:val="28"/>
          <w:szCs w:val="28"/>
        </w:rPr>
      </w:pPr>
      <w:bookmarkStart w:id="0" w:name="_GoBack"/>
      <w:bookmarkEnd w:id="0"/>
    </w:p>
    <w:p w14:paraId="375E7384" w14:textId="41E58801" w:rsidR="00B017CD" w:rsidRPr="00AE152F"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lastRenderedPageBreak/>
        <w:t>Settlement timetable</w:t>
      </w:r>
    </w:p>
    <w:p w14:paraId="375E7385"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t>We propose that the Initial Settlement (SF) Run should take place 5-7 working days after the settlement date.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E152F" w14:paraId="375E7387" w14:textId="77777777" w:rsidTr="00A36A82">
        <w:trPr>
          <w:trHeight w:val="11469"/>
          <w:jc w:val="center"/>
        </w:trPr>
        <w:tc>
          <w:tcPr>
            <w:tcW w:w="8602" w:type="dxa"/>
          </w:tcPr>
          <w:p w14:paraId="375E7386" w14:textId="77777777" w:rsidR="00AE152F" w:rsidRDefault="00AE152F" w:rsidP="00AE152F">
            <w:pPr>
              <w:rPr>
                <w:rFonts w:ascii="Verdana" w:hAnsi="Verdana"/>
                <w:sz w:val="24"/>
                <w:szCs w:val="24"/>
              </w:rPr>
            </w:pPr>
            <w:r>
              <w:rPr>
                <w:rFonts w:ascii="Verdana" w:hAnsi="Verdana"/>
                <w:sz w:val="24"/>
                <w:szCs w:val="24"/>
              </w:rPr>
              <w:br w:type="page"/>
            </w:r>
          </w:p>
        </w:tc>
      </w:tr>
    </w:tbl>
    <w:p w14:paraId="375E7389"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We propose that the Final Reconciliation Run (RF) should take place 4 months after the settlement date.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8"/>
      </w:tblGrid>
      <w:tr w:rsidR="0050337E" w14:paraId="375E738B" w14:textId="77777777" w:rsidTr="006D77DC">
        <w:trPr>
          <w:trHeight w:val="12086"/>
          <w:jc w:val="center"/>
        </w:trPr>
        <w:tc>
          <w:tcPr>
            <w:tcW w:w="8848" w:type="dxa"/>
          </w:tcPr>
          <w:p w14:paraId="375E738A" w14:textId="77777777" w:rsidR="0050337E" w:rsidRDefault="0050337E" w:rsidP="0050337E">
            <w:pPr>
              <w:rPr>
                <w:rFonts w:ascii="Verdana" w:hAnsi="Verdana"/>
                <w:sz w:val="24"/>
                <w:szCs w:val="24"/>
              </w:rPr>
            </w:pPr>
            <w:r>
              <w:rPr>
                <w:rFonts w:ascii="Verdana" w:hAnsi="Verdana"/>
                <w:sz w:val="24"/>
                <w:szCs w:val="24"/>
              </w:rPr>
              <w:br w:type="page"/>
            </w:r>
          </w:p>
        </w:tc>
      </w:tr>
    </w:tbl>
    <w:p w14:paraId="375E738C" w14:textId="77777777" w:rsidR="0050337E" w:rsidRDefault="0050337E" w:rsidP="0050337E">
      <w:pPr>
        <w:pStyle w:val="ListParagraph"/>
        <w:rPr>
          <w:rFonts w:ascii="Verdana" w:hAnsi="Verdana"/>
          <w:sz w:val="24"/>
          <w:szCs w:val="24"/>
        </w:rPr>
      </w:pPr>
    </w:p>
    <w:p w14:paraId="375E738D" w14:textId="77777777" w:rsidR="0050337E" w:rsidRDefault="0050337E" w:rsidP="0050337E">
      <w:pPr>
        <w:pStyle w:val="ListParagraph"/>
        <w:rPr>
          <w:rFonts w:ascii="Verdana" w:hAnsi="Verdana"/>
          <w:sz w:val="24"/>
          <w:szCs w:val="24"/>
        </w:rPr>
      </w:pPr>
    </w:p>
    <w:p w14:paraId="375E738F"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 xml:space="preserve">We propose that the post-final (DF) settlement run should take place 20 months after the settlement date, with the ratcheted materiality proposals described </w:t>
      </w:r>
      <w:r w:rsidR="006D77DC" w:rsidRPr="006D77DC">
        <w:rPr>
          <w:rFonts w:ascii="Verdana" w:hAnsi="Verdana"/>
          <w:szCs w:val="24"/>
        </w:rPr>
        <w:t>in chapter 4</w:t>
      </w:r>
      <w:r w:rsidRPr="006D77DC">
        <w:rPr>
          <w:rFonts w:ascii="Verdana" w:hAnsi="Verdana"/>
          <w:szCs w:val="24"/>
        </w:rPr>
        <w:t>. Do you agree? We welcome your views on this proposal</w:t>
      </w:r>
      <w:r w:rsidR="006D77DC" w:rsidRPr="006D77DC">
        <w:rPr>
          <w:rFonts w:ascii="Verdana" w:hAnsi="Verdana"/>
          <w:szCs w:val="24"/>
        </w:rPr>
        <w:t>,</w:t>
      </w:r>
      <w:r w:rsidRPr="006D77DC">
        <w:rPr>
          <w:rFonts w:ascii="Verdana" w:hAnsi="Verdana"/>
          <w:szCs w:val="24"/>
        </w:rPr>
        <w:t xml:space="preserve"> and in particular about its potential impact on financial certainty for Balancing and Settlement Code parties.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2"/>
      </w:tblGrid>
      <w:tr w:rsidR="0050337E" w14:paraId="375E7391" w14:textId="77777777" w:rsidTr="00A36A82">
        <w:trPr>
          <w:trHeight w:val="11322"/>
          <w:jc w:val="center"/>
        </w:trPr>
        <w:tc>
          <w:tcPr>
            <w:tcW w:w="8682" w:type="dxa"/>
          </w:tcPr>
          <w:p w14:paraId="375E7390" w14:textId="77777777" w:rsidR="0050337E" w:rsidRDefault="0050337E" w:rsidP="0050337E">
            <w:pPr>
              <w:rPr>
                <w:rFonts w:ascii="Verdana" w:hAnsi="Verdana"/>
                <w:sz w:val="24"/>
                <w:szCs w:val="24"/>
              </w:rPr>
            </w:pPr>
            <w:r>
              <w:rPr>
                <w:rFonts w:ascii="Verdana" w:hAnsi="Verdana"/>
                <w:sz w:val="24"/>
                <w:szCs w:val="24"/>
              </w:rPr>
              <w:br w:type="page"/>
            </w:r>
          </w:p>
        </w:tc>
      </w:tr>
    </w:tbl>
    <w:p w14:paraId="375E7392" w14:textId="77777777" w:rsidR="0050337E" w:rsidRDefault="0050337E" w:rsidP="00B017CD">
      <w:pPr>
        <w:ind w:left="360"/>
        <w:rPr>
          <w:rFonts w:ascii="Verdana" w:hAnsi="Verdana"/>
          <w:b/>
          <w:color w:val="ED7D31" w:themeColor="accent2"/>
          <w:sz w:val="28"/>
          <w:szCs w:val="28"/>
        </w:rPr>
      </w:pPr>
    </w:p>
    <w:p w14:paraId="375E7394" w14:textId="290DBE3C" w:rsidR="00B017CD" w:rsidRDefault="00000E0A" w:rsidP="00000E0A">
      <w:pPr>
        <w:rPr>
          <w:rFonts w:ascii="Verdana" w:hAnsi="Verdana"/>
          <w:b/>
          <w:color w:val="ED7D31" w:themeColor="accent2"/>
          <w:sz w:val="28"/>
          <w:szCs w:val="28"/>
        </w:rPr>
      </w:pPr>
      <w:r>
        <w:rPr>
          <w:rFonts w:ascii="Verdana" w:hAnsi="Verdana"/>
          <w:b/>
          <w:color w:val="ED7D31" w:themeColor="accent2"/>
          <w:sz w:val="28"/>
          <w:szCs w:val="28"/>
        </w:rPr>
        <w:lastRenderedPageBreak/>
        <w:t>E</w:t>
      </w:r>
      <w:r w:rsidR="00B017CD" w:rsidRPr="00AE152F">
        <w:rPr>
          <w:rFonts w:ascii="Verdana" w:hAnsi="Verdana"/>
          <w:b/>
          <w:color w:val="ED7D31" w:themeColor="accent2"/>
          <w:sz w:val="28"/>
          <w:szCs w:val="28"/>
        </w:rPr>
        <w:t>xport-related meter points</w:t>
      </w:r>
    </w:p>
    <w:p w14:paraId="375E7395"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t xml:space="preserve">We propose to introduce MHHS for both import and export related MPANs. Do you agree? We welcome your views.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2"/>
      </w:tblGrid>
      <w:tr w:rsidR="0050337E" w14:paraId="375E7397" w14:textId="77777777" w:rsidTr="00000E0A">
        <w:trPr>
          <w:trHeight w:val="11878"/>
          <w:jc w:val="center"/>
        </w:trPr>
        <w:tc>
          <w:tcPr>
            <w:tcW w:w="8912" w:type="dxa"/>
          </w:tcPr>
          <w:p w14:paraId="375E7396" w14:textId="77777777" w:rsidR="0050337E" w:rsidRDefault="0050337E" w:rsidP="0050337E">
            <w:pPr>
              <w:rPr>
                <w:rFonts w:ascii="Verdana" w:hAnsi="Verdana"/>
                <w:b/>
                <w:color w:val="ED7D31" w:themeColor="accent2"/>
                <w:sz w:val="28"/>
                <w:szCs w:val="28"/>
              </w:rPr>
            </w:pPr>
            <w:r>
              <w:rPr>
                <w:rFonts w:ascii="Verdana" w:hAnsi="Verdana"/>
                <w:b/>
                <w:color w:val="ED7D31" w:themeColor="accent2"/>
                <w:sz w:val="28"/>
                <w:szCs w:val="28"/>
              </w:rPr>
              <w:br w:type="page"/>
            </w:r>
          </w:p>
        </w:tc>
      </w:tr>
    </w:tbl>
    <w:p w14:paraId="375E7398" w14:textId="77777777" w:rsidR="0050337E" w:rsidRDefault="0050337E" w:rsidP="00B017CD">
      <w:pPr>
        <w:ind w:left="360"/>
        <w:rPr>
          <w:rFonts w:ascii="Verdana" w:hAnsi="Verdana"/>
          <w:b/>
          <w:color w:val="ED7D31" w:themeColor="accent2"/>
          <w:sz w:val="28"/>
          <w:szCs w:val="28"/>
        </w:rPr>
      </w:pPr>
    </w:p>
    <w:p w14:paraId="375E739A"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We propose that the transition period to the new settlement arrangements should be the same for import and export related MPANs. Do you agree? We welcome your views.</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2"/>
      </w:tblGrid>
      <w:tr w:rsidR="0050337E" w14:paraId="375E739C" w14:textId="77777777" w:rsidTr="00000E0A">
        <w:trPr>
          <w:trHeight w:val="12182"/>
          <w:jc w:val="center"/>
        </w:trPr>
        <w:tc>
          <w:tcPr>
            <w:tcW w:w="9412" w:type="dxa"/>
          </w:tcPr>
          <w:p w14:paraId="375E739B" w14:textId="77777777" w:rsidR="0050337E" w:rsidRDefault="0050337E" w:rsidP="0050337E">
            <w:pPr>
              <w:rPr>
                <w:rFonts w:ascii="Verdana" w:hAnsi="Verdana"/>
                <w:sz w:val="24"/>
                <w:szCs w:val="24"/>
              </w:rPr>
            </w:pPr>
            <w:r>
              <w:rPr>
                <w:rFonts w:ascii="Verdana" w:hAnsi="Verdana"/>
                <w:sz w:val="24"/>
                <w:szCs w:val="24"/>
              </w:rPr>
              <w:br w:type="page"/>
            </w:r>
          </w:p>
        </w:tc>
      </w:tr>
    </w:tbl>
    <w:p w14:paraId="75D641C8" w14:textId="77777777" w:rsidR="00000E0A" w:rsidRDefault="00000E0A" w:rsidP="00000E0A">
      <w:pPr>
        <w:rPr>
          <w:rFonts w:ascii="Verdana" w:hAnsi="Verdana"/>
          <w:b/>
          <w:color w:val="ED7D31" w:themeColor="accent2"/>
          <w:sz w:val="28"/>
          <w:szCs w:val="28"/>
        </w:rPr>
      </w:pPr>
    </w:p>
    <w:p w14:paraId="375E73A1" w14:textId="022F90E5" w:rsidR="00A36A82" w:rsidRPr="00463021" w:rsidRDefault="00000E0A" w:rsidP="00000E0A">
      <w:pPr>
        <w:rPr>
          <w:rFonts w:ascii="Verdana" w:hAnsi="Verdana"/>
          <w:b/>
          <w:color w:val="ED7D31" w:themeColor="accent2"/>
          <w:sz w:val="28"/>
          <w:szCs w:val="28"/>
        </w:rPr>
      </w:pPr>
      <w:r>
        <w:rPr>
          <w:rFonts w:ascii="Verdana" w:hAnsi="Verdana"/>
          <w:b/>
          <w:color w:val="ED7D31" w:themeColor="accent2"/>
          <w:sz w:val="28"/>
          <w:szCs w:val="28"/>
        </w:rPr>
        <w:lastRenderedPageBreak/>
        <w:t>T</w:t>
      </w:r>
      <w:r w:rsidR="006D77DC" w:rsidRPr="00AE152F">
        <w:rPr>
          <w:rFonts w:ascii="Verdana" w:hAnsi="Verdana"/>
          <w:b/>
          <w:color w:val="ED7D31" w:themeColor="accent2"/>
          <w:sz w:val="28"/>
          <w:szCs w:val="28"/>
        </w:rPr>
        <w:t>ransition period</w:t>
      </w:r>
    </w:p>
    <w:p w14:paraId="375E73A2" w14:textId="2877771A" w:rsidR="00AE152F" w:rsidRPr="00463021" w:rsidRDefault="00463021" w:rsidP="00000E0A">
      <w:pPr>
        <w:pStyle w:val="ListParagraph"/>
        <w:numPr>
          <w:ilvl w:val="0"/>
          <w:numId w:val="1"/>
        </w:numPr>
        <w:spacing w:line="360" w:lineRule="auto"/>
        <w:ind w:left="357" w:hanging="357"/>
        <w:rPr>
          <w:rFonts w:ascii="Verdana" w:hAnsi="Verdana"/>
          <w:szCs w:val="24"/>
        </w:rPr>
      </w:pPr>
      <w:r w:rsidRPr="00463021">
        <w:rPr>
          <w:rFonts w:ascii="Verdana" w:hAnsi="Verdana"/>
          <w:color w:val="000000"/>
        </w:rPr>
        <w:t>We propose a transition period of approximately 4 years, which at the time of analysis would have been up to the end of 2024. This would comprise an initial 3-year period to develop and test new systems and processes, and then 1 year to migrate meter points to the new arrangements. Do you agree? We welcome your views.</w:t>
      </w:r>
    </w:p>
    <w:tbl>
      <w:tblPr>
        <w:tblpPr w:leftFromText="180" w:rightFromText="180" w:vertAnchor="text"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3"/>
      </w:tblGrid>
      <w:tr w:rsidR="0050337E" w14:paraId="375E73A4" w14:textId="77777777" w:rsidTr="00000E0A">
        <w:trPr>
          <w:trHeight w:val="10941"/>
        </w:trPr>
        <w:tc>
          <w:tcPr>
            <w:tcW w:w="8803" w:type="dxa"/>
          </w:tcPr>
          <w:p w14:paraId="375E73A3" w14:textId="77777777" w:rsidR="0050337E" w:rsidRDefault="0050337E" w:rsidP="0050337E">
            <w:pPr>
              <w:rPr>
                <w:rFonts w:ascii="Verdana" w:hAnsi="Verdana"/>
                <w:sz w:val="24"/>
                <w:szCs w:val="24"/>
              </w:rPr>
            </w:pPr>
          </w:p>
        </w:tc>
      </w:tr>
    </w:tbl>
    <w:p w14:paraId="375E73A6" w14:textId="77777777" w:rsidR="00AE152F" w:rsidRPr="006D77DC" w:rsidRDefault="00B017CD" w:rsidP="00000E0A">
      <w:pPr>
        <w:pStyle w:val="ListParagraph"/>
        <w:numPr>
          <w:ilvl w:val="0"/>
          <w:numId w:val="1"/>
        </w:numPr>
        <w:spacing w:line="360" w:lineRule="auto"/>
        <w:ind w:left="357" w:hanging="357"/>
        <w:rPr>
          <w:rFonts w:ascii="Verdana" w:hAnsi="Verdana"/>
          <w:sz w:val="20"/>
          <w:szCs w:val="24"/>
        </w:rPr>
      </w:pPr>
      <w:r w:rsidRPr="006D77DC">
        <w:rPr>
          <w:rFonts w:ascii="Verdana" w:hAnsi="Verdana"/>
          <w:szCs w:val="24"/>
        </w:rPr>
        <w:lastRenderedPageBreak/>
        <w:t xml:space="preserve">We have set out high-level timings for the main parties required to complete a successful 4-year transition to MHHS. Do you agree? We welcome </w:t>
      </w:r>
      <w:r w:rsidR="00FD598A">
        <w:rPr>
          <w:rFonts w:ascii="Verdana" w:hAnsi="Verdana"/>
          <w:szCs w:val="24"/>
        </w:rPr>
        <w:t xml:space="preserve">your </w:t>
      </w:r>
      <w:r w:rsidRPr="006D77DC">
        <w:rPr>
          <w:rFonts w:ascii="Verdana" w:hAnsi="Verdana"/>
          <w:szCs w:val="24"/>
        </w:rPr>
        <w:t>views, particularly if your organisation has been identified specifically within the timings</w:t>
      </w:r>
      <w:r w:rsidRPr="006D77DC">
        <w:rPr>
          <w:rFonts w:ascii="Verdana" w:hAnsi="Verdana"/>
          <w:sz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3"/>
      </w:tblGrid>
      <w:tr w:rsidR="0050337E" w14:paraId="375E73A8" w14:textId="77777777" w:rsidTr="006D77DC">
        <w:trPr>
          <w:trHeight w:val="11879"/>
          <w:jc w:val="center"/>
        </w:trPr>
        <w:tc>
          <w:tcPr>
            <w:tcW w:w="8553" w:type="dxa"/>
          </w:tcPr>
          <w:p w14:paraId="375E73A7" w14:textId="77777777" w:rsidR="0050337E" w:rsidRDefault="0050337E" w:rsidP="0050337E">
            <w:pPr>
              <w:rPr>
                <w:rFonts w:ascii="Verdana" w:hAnsi="Verdana"/>
                <w:sz w:val="24"/>
                <w:szCs w:val="24"/>
              </w:rPr>
            </w:pPr>
            <w:r>
              <w:rPr>
                <w:rFonts w:ascii="Verdana" w:hAnsi="Verdana"/>
                <w:sz w:val="24"/>
                <w:szCs w:val="24"/>
              </w:rPr>
              <w:br w:type="page"/>
            </w:r>
          </w:p>
        </w:tc>
      </w:tr>
    </w:tbl>
    <w:p w14:paraId="375E73A9" w14:textId="77777777" w:rsidR="0050337E" w:rsidRDefault="0050337E" w:rsidP="0050337E">
      <w:pPr>
        <w:pStyle w:val="ListParagraph"/>
        <w:rPr>
          <w:rFonts w:ascii="Verdana" w:hAnsi="Verdana"/>
          <w:sz w:val="24"/>
          <w:szCs w:val="24"/>
        </w:rPr>
      </w:pPr>
    </w:p>
    <w:p w14:paraId="375E73AB" w14:textId="77777777" w:rsidR="00AE152F" w:rsidRPr="00000E0A" w:rsidRDefault="00A36A82" w:rsidP="00000E0A">
      <w:pPr>
        <w:pStyle w:val="ListParagraph"/>
        <w:numPr>
          <w:ilvl w:val="0"/>
          <w:numId w:val="1"/>
        </w:numPr>
        <w:spacing w:line="360" w:lineRule="auto"/>
        <w:ind w:left="357" w:hanging="357"/>
        <w:rPr>
          <w:rFonts w:ascii="Verdana" w:hAnsi="Verdana"/>
          <w:sz w:val="24"/>
          <w:szCs w:val="24"/>
        </w:rPr>
      </w:pPr>
      <w:r w:rsidRPr="00000E0A">
        <w:rPr>
          <w:rFonts w:ascii="Verdana" w:hAnsi="Verdana"/>
          <w:sz w:val="24"/>
          <w:szCs w:val="24"/>
        </w:rPr>
        <w:lastRenderedPageBreak/>
        <w:t xml:space="preserve"> </w:t>
      </w:r>
      <w:r w:rsidR="00B017CD" w:rsidRPr="00000E0A">
        <w:rPr>
          <w:rFonts w:ascii="Verdana" w:hAnsi="Verdana"/>
          <w:szCs w:val="24"/>
        </w:rPr>
        <w:t>What impact do you think the ongoing COVID-19 pandemic will have on these timescales?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7"/>
      </w:tblGrid>
      <w:tr w:rsidR="0050337E" w14:paraId="375E73AD" w14:textId="77777777" w:rsidTr="006D77DC">
        <w:trPr>
          <w:trHeight w:val="12337"/>
          <w:jc w:val="center"/>
        </w:trPr>
        <w:tc>
          <w:tcPr>
            <w:tcW w:w="8597" w:type="dxa"/>
          </w:tcPr>
          <w:p w14:paraId="375E73AC" w14:textId="77777777" w:rsidR="0050337E" w:rsidRDefault="0050337E" w:rsidP="0050337E">
            <w:pPr>
              <w:rPr>
                <w:rFonts w:ascii="Verdana" w:hAnsi="Verdana"/>
                <w:sz w:val="24"/>
                <w:szCs w:val="24"/>
              </w:rPr>
            </w:pPr>
            <w:r>
              <w:rPr>
                <w:rFonts w:ascii="Verdana" w:hAnsi="Verdana"/>
                <w:sz w:val="24"/>
                <w:szCs w:val="24"/>
              </w:rPr>
              <w:br w:type="page"/>
            </w:r>
          </w:p>
        </w:tc>
      </w:tr>
    </w:tbl>
    <w:p w14:paraId="375E73AE" w14:textId="77777777" w:rsidR="0050337E" w:rsidRDefault="0050337E" w:rsidP="00B017CD">
      <w:pPr>
        <w:ind w:left="360"/>
        <w:rPr>
          <w:rFonts w:ascii="Verdana" w:hAnsi="Verdana"/>
          <w:b/>
          <w:color w:val="ED7D31" w:themeColor="accent2"/>
          <w:sz w:val="28"/>
          <w:szCs w:val="28"/>
        </w:rPr>
      </w:pPr>
    </w:p>
    <w:p w14:paraId="375E73AF" w14:textId="77777777"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lastRenderedPageBreak/>
        <w:t>Data access and privacy</w:t>
      </w:r>
    </w:p>
    <w:p w14:paraId="375E73B0" w14:textId="77777777" w:rsidR="00AE152F" w:rsidRPr="006D77DC" w:rsidRDefault="00A36A82" w:rsidP="00000E0A">
      <w:pPr>
        <w:pStyle w:val="ListParagraph"/>
        <w:numPr>
          <w:ilvl w:val="0"/>
          <w:numId w:val="1"/>
        </w:numPr>
        <w:spacing w:line="360" w:lineRule="auto"/>
        <w:ind w:left="357" w:hanging="357"/>
        <w:rPr>
          <w:rFonts w:ascii="Verdana" w:hAnsi="Verdana"/>
          <w:szCs w:val="24"/>
        </w:rPr>
      </w:pPr>
      <w:r>
        <w:rPr>
          <w:rFonts w:ascii="Verdana" w:hAnsi="Verdana"/>
          <w:sz w:val="24"/>
          <w:szCs w:val="24"/>
        </w:rPr>
        <w:t xml:space="preserve"> </w:t>
      </w:r>
      <w:r w:rsidR="00B017CD" w:rsidRPr="006D77DC">
        <w:rPr>
          <w:rFonts w:ascii="Verdana" w:hAnsi="Verdana"/>
          <w:szCs w:val="24"/>
        </w:rPr>
        <w:t>We propose that there should be a legal obligation on the party responsible for settlement to collect data at daily granularity from domestic consumers who have opted out of HH data collection for settlement and forecasting purposes. Do you agree that this is a proportionate approach?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50337E" w14:paraId="375E73B2" w14:textId="77777777" w:rsidTr="00A36A82">
        <w:trPr>
          <w:trHeight w:val="10869"/>
          <w:jc w:val="center"/>
        </w:trPr>
        <w:tc>
          <w:tcPr>
            <w:tcW w:w="8655" w:type="dxa"/>
          </w:tcPr>
          <w:p w14:paraId="375E73B1" w14:textId="77777777" w:rsidR="0050337E" w:rsidRDefault="0050337E" w:rsidP="0050337E">
            <w:pPr>
              <w:rPr>
                <w:rFonts w:ascii="Verdana" w:hAnsi="Verdana"/>
                <w:sz w:val="24"/>
                <w:szCs w:val="24"/>
              </w:rPr>
            </w:pPr>
            <w:r>
              <w:rPr>
                <w:rFonts w:ascii="Verdana" w:hAnsi="Verdana"/>
                <w:sz w:val="24"/>
                <w:szCs w:val="24"/>
              </w:rPr>
              <w:br w:type="page"/>
            </w:r>
          </w:p>
        </w:tc>
      </w:tr>
    </w:tbl>
    <w:p w14:paraId="375E73B3" w14:textId="77777777" w:rsidR="0050337E" w:rsidRDefault="0050337E" w:rsidP="0050337E">
      <w:pPr>
        <w:pStyle w:val="ListParagraph"/>
        <w:rPr>
          <w:rFonts w:ascii="Verdana" w:hAnsi="Verdana"/>
          <w:sz w:val="24"/>
          <w:szCs w:val="24"/>
        </w:rPr>
      </w:pPr>
    </w:p>
    <w:p w14:paraId="375E73B4" w14:textId="77777777" w:rsidR="0050337E" w:rsidRDefault="0050337E" w:rsidP="0050337E">
      <w:pPr>
        <w:pStyle w:val="ListParagraph"/>
        <w:rPr>
          <w:rFonts w:ascii="Verdana" w:hAnsi="Verdana"/>
          <w:sz w:val="24"/>
          <w:szCs w:val="24"/>
        </w:rPr>
      </w:pPr>
    </w:p>
    <w:p w14:paraId="375E73B5"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FD598A" w:rsidRPr="00FD598A">
        <w:rPr>
          <w:rFonts w:ascii="Verdana" w:hAnsi="Verdana"/>
          <w:bCs/>
        </w:rPr>
        <w:t>Existing customers currently have the right to opt out to monthly granularity of data collection. We are seeking evidence about whether it is proportionate to require data to be collected at daily granularity for settlement and forecasting purposes for some or all of these consumers.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7"/>
      </w:tblGrid>
      <w:tr w:rsidR="0050337E" w14:paraId="375E73B7" w14:textId="77777777" w:rsidTr="00DB6939">
        <w:trPr>
          <w:trHeight w:val="11389"/>
          <w:jc w:val="center"/>
        </w:trPr>
        <w:tc>
          <w:tcPr>
            <w:tcW w:w="8737" w:type="dxa"/>
          </w:tcPr>
          <w:p w14:paraId="375E73B6" w14:textId="77777777" w:rsidR="0050337E" w:rsidRDefault="0050337E" w:rsidP="0050337E">
            <w:pPr>
              <w:rPr>
                <w:rFonts w:ascii="Verdana" w:hAnsi="Verdana"/>
                <w:sz w:val="24"/>
                <w:szCs w:val="24"/>
              </w:rPr>
            </w:pPr>
            <w:r>
              <w:rPr>
                <w:rFonts w:ascii="Verdana" w:hAnsi="Verdana"/>
                <w:sz w:val="24"/>
                <w:szCs w:val="24"/>
              </w:rPr>
              <w:br w:type="page"/>
            </w:r>
          </w:p>
        </w:tc>
      </w:tr>
    </w:tbl>
    <w:p w14:paraId="375E73BB"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lastRenderedPageBreak/>
        <w:t xml:space="preserve"> </w:t>
      </w:r>
      <w:r w:rsidR="00FD598A" w:rsidRPr="00FD598A">
        <w:rPr>
          <w:rFonts w:ascii="Verdana" w:hAnsi="Verdana"/>
          <w:color w:val="000000"/>
        </w:rPr>
        <w:t>Should there be a central element to the communication of settlement / forecasting and associated data sharing choices to consumers? For example, this may be a central body hosting a dedicated website or webpage to which suppliers may refer their customers if they want more information. If yes, what should that role be and who should fulfil it?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50337E" w14:paraId="375E73BD" w14:textId="77777777" w:rsidTr="00A36A82">
        <w:trPr>
          <w:trHeight w:val="11428"/>
          <w:jc w:val="center"/>
        </w:trPr>
        <w:tc>
          <w:tcPr>
            <w:tcW w:w="8655" w:type="dxa"/>
          </w:tcPr>
          <w:p w14:paraId="375E73BC" w14:textId="77777777" w:rsidR="0050337E" w:rsidRDefault="0050337E" w:rsidP="0050337E">
            <w:pPr>
              <w:rPr>
                <w:rFonts w:ascii="Verdana" w:hAnsi="Verdana"/>
                <w:sz w:val="24"/>
                <w:szCs w:val="24"/>
              </w:rPr>
            </w:pPr>
            <w:r>
              <w:rPr>
                <w:rFonts w:ascii="Verdana" w:hAnsi="Verdana"/>
                <w:sz w:val="24"/>
                <w:szCs w:val="24"/>
              </w:rPr>
              <w:br w:type="page"/>
            </w:r>
          </w:p>
        </w:tc>
      </w:tr>
    </w:tbl>
    <w:p w14:paraId="375E73BE" w14:textId="77777777" w:rsidR="0050337E" w:rsidRDefault="0050337E" w:rsidP="00B017CD">
      <w:pPr>
        <w:ind w:left="360"/>
        <w:rPr>
          <w:rFonts w:ascii="Verdana" w:hAnsi="Verdana"/>
          <w:b/>
          <w:color w:val="ED7D31" w:themeColor="accent2"/>
          <w:sz w:val="28"/>
          <w:szCs w:val="28"/>
        </w:rPr>
      </w:pPr>
    </w:p>
    <w:p w14:paraId="375E73BF" w14:textId="77777777"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lastRenderedPageBreak/>
        <w:t>Consumer impacts</w:t>
      </w:r>
    </w:p>
    <w:p w14:paraId="375E73C0" w14:textId="77777777" w:rsidR="00AE152F" w:rsidRPr="00FD598A" w:rsidRDefault="00FD598A"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Pr="00FD598A">
        <w:rPr>
          <w:rFonts w:ascii="Verdana" w:hAnsi="Verdana"/>
          <w:color w:val="000000"/>
        </w:rPr>
        <w:t>Do you have additional evidence which would help us refine the load shifting assumptions we have made in the Impact Assessment?</w:t>
      </w:r>
    </w:p>
    <w:tbl>
      <w:tblPr>
        <w:tblpPr w:leftFromText="180" w:rightFromText="180" w:vertAnchor="text"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7"/>
      </w:tblGrid>
      <w:tr w:rsidR="00CA3393" w14:paraId="375E73C2" w14:textId="77777777" w:rsidTr="00FD598A">
        <w:trPr>
          <w:trHeight w:val="11751"/>
        </w:trPr>
        <w:tc>
          <w:tcPr>
            <w:tcW w:w="8787" w:type="dxa"/>
          </w:tcPr>
          <w:p w14:paraId="375E73C1" w14:textId="77777777" w:rsidR="00CA3393" w:rsidRDefault="00CA3393" w:rsidP="00CA3393">
            <w:pPr>
              <w:rPr>
                <w:rFonts w:ascii="Verdana" w:hAnsi="Verdana"/>
                <w:sz w:val="24"/>
                <w:szCs w:val="24"/>
              </w:rPr>
            </w:pPr>
          </w:p>
        </w:tc>
      </w:tr>
    </w:tbl>
    <w:p w14:paraId="375E73C3" w14:textId="77777777" w:rsidR="00AE152F" w:rsidRDefault="00AE152F">
      <w:pPr>
        <w:rPr>
          <w:rFonts w:ascii="Verdana" w:hAnsi="Verdana"/>
          <w:sz w:val="24"/>
          <w:szCs w:val="24"/>
        </w:rPr>
      </w:pPr>
      <w:r>
        <w:rPr>
          <w:rFonts w:ascii="Verdana" w:hAnsi="Verdana"/>
          <w:sz w:val="24"/>
          <w:szCs w:val="24"/>
        </w:rPr>
        <w:br w:type="page"/>
      </w:r>
    </w:p>
    <w:p w14:paraId="375E73C4"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sidRPr="00FD598A">
        <w:rPr>
          <w:rFonts w:ascii="Verdana" w:hAnsi="Verdana"/>
          <w:sz w:val="24"/>
          <w:szCs w:val="24"/>
        </w:rPr>
        <w:lastRenderedPageBreak/>
        <w:t xml:space="preserve"> </w:t>
      </w:r>
      <w:r w:rsidR="00FD598A" w:rsidRPr="00FD598A">
        <w:rPr>
          <w:rFonts w:ascii="Verdana" w:hAnsi="Verdana"/>
          <w:color w:val="000000"/>
        </w:rPr>
        <w:t>Do you have any views on the issues regarding the consumer impacts following implementation of MHHS? Please refer to the standalone paper we have published for more detailed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2"/>
      </w:tblGrid>
      <w:tr w:rsidR="00CA3393" w14:paraId="375E73C6" w14:textId="77777777" w:rsidTr="00292403">
        <w:trPr>
          <w:trHeight w:val="11477"/>
          <w:jc w:val="center"/>
        </w:trPr>
        <w:tc>
          <w:tcPr>
            <w:tcW w:w="8662" w:type="dxa"/>
          </w:tcPr>
          <w:p w14:paraId="375E73C5" w14:textId="77777777" w:rsidR="00CA3393" w:rsidRDefault="00CA3393" w:rsidP="00CA3393">
            <w:pPr>
              <w:rPr>
                <w:rFonts w:ascii="Verdana" w:hAnsi="Verdana"/>
                <w:sz w:val="24"/>
                <w:szCs w:val="24"/>
              </w:rPr>
            </w:pPr>
            <w:r>
              <w:rPr>
                <w:rFonts w:ascii="Verdana" w:hAnsi="Verdana"/>
                <w:sz w:val="24"/>
                <w:szCs w:val="24"/>
              </w:rPr>
              <w:br w:type="page"/>
            </w:r>
          </w:p>
        </w:tc>
      </w:tr>
    </w:tbl>
    <w:p w14:paraId="375E73C7" w14:textId="77777777" w:rsidR="00CA3393" w:rsidRDefault="00CA3393" w:rsidP="00B017CD">
      <w:pPr>
        <w:ind w:left="360"/>
        <w:rPr>
          <w:rFonts w:ascii="Verdana" w:hAnsi="Verdana"/>
          <w:b/>
          <w:color w:val="ED7D31" w:themeColor="accent2"/>
          <w:sz w:val="28"/>
          <w:szCs w:val="28"/>
        </w:rPr>
      </w:pPr>
    </w:p>
    <w:p w14:paraId="375E73C8" w14:textId="77777777" w:rsidR="00CA3393" w:rsidRDefault="00CA3393" w:rsidP="00B017CD">
      <w:pPr>
        <w:ind w:left="360"/>
        <w:rPr>
          <w:rFonts w:ascii="Verdana" w:hAnsi="Verdana"/>
          <w:b/>
          <w:color w:val="ED7D31" w:themeColor="accent2"/>
          <w:sz w:val="28"/>
          <w:szCs w:val="28"/>
        </w:rPr>
      </w:pPr>
    </w:p>
    <w:p w14:paraId="375E73C9" w14:textId="5E9AE72F"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lastRenderedPageBreak/>
        <w:t>Programme management</w:t>
      </w:r>
    </w:p>
    <w:p w14:paraId="375E73CA" w14:textId="77777777" w:rsidR="00AE152F" w:rsidRDefault="00F5067B"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B017CD" w:rsidRPr="00FD598A">
        <w:rPr>
          <w:rFonts w:ascii="Verdana" w:hAnsi="Verdana"/>
          <w:szCs w:val="24"/>
        </w:rPr>
        <w:t>Do you agree we have identified the right delivery functions to implement MHHS? We welcome your views</w:t>
      </w:r>
      <w:r w:rsidR="00B017CD" w:rsidRPr="00AE152F">
        <w:rPr>
          <w:rFonts w:ascii="Verdana" w:hAnsi="Verdan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4"/>
      </w:tblGrid>
      <w:tr w:rsidR="00CA3393" w14:paraId="375E73CC" w14:textId="77777777" w:rsidTr="00A36A82">
        <w:trPr>
          <w:trHeight w:val="11932"/>
          <w:jc w:val="center"/>
        </w:trPr>
        <w:tc>
          <w:tcPr>
            <w:tcW w:w="8894" w:type="dxa"/>
          </w:tcPr>
          <w:p w14:paraId="375E73CB" w14:textId="77777777" w:rsidR="00CA3393" w:rsidRDefault="00CA3393" w:rsidP="00CA3393">
            <w:pPr>
              <w:rPr>
                <w:rFonts w:ascii="Verdana" w:hAnsi="Verdana"/>
                <w:sz w:val="24"/>
                <w:szCs w:val="24"/>
              </w:rPr>
            </w:pPr>
            <w:r>
              <w:rPr>
                <w:rFonts w:ascii="Verdana" w:hAnsi="Verdana"/>
                <w:sz w:val="24"/>
                <w:szCs w:val="24"/>
              </w:rPr>
              <w:br w:type="page"/>
            </w:r>
          </w:p>
        </w:tc>
      </w:tr>
    </w:tbl>
    <w:p w14:paraId="375E73CD" w14:textId="77777777" w:rsidR="00CA3393" w:rsidRDefault="00CA3393" w:rsidP="00CA3393">
      <w:pPr>
        <w:pStyle w:val="ListParagraph"/>
        <w:rPr>
          <w:rFonts w:ascii="Verdana" w:hAnsi="Verdana"/>
          <w:sz w:val="24"/>
          <w:szCs w:val="24"/>
        </w:rPr>
      </w:pPr>
    </w:p>
    <w:p w14:paraId="375E73CE" w14:textId="77777777" w:rsidR="00CA3393" w:rsidRDefault="00CA3393" w:rsidP="00CA3393">
      <w:pPr>
        <w:pStyle w:val="ListParagraph"/>
        <w:rPr>
          <w:rFonts w:ascii="Verdana" w:hAnsi="Verdana"/>
          <w:sz w:val="24"/>
          <w:szCs w:val="24"/>
        </w:rPr>
      </w:pPr>
    </w:p>
    <w:p w14:paraId="375E73CF" w14:textId="77777777" w:rsidR="00B017CD" w:rsidRPr="00FD598A" w:rsidRDefault="00F5067B"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FD598A" w:rsidRPr="00FD598A">
        <w:rPr>
          <w:rFonts w:ascii="Verdana" w:hAnsi="Verdana"/>
          <w:color w:val="000000"/>
        </w:rPr>
        <w:t>We have set out some possible options for the management of the delivery functions, and a proposal on how these would be funded. We welcome your views on this.</w:t>
      </w:r>
    </w:p>
    <w:tbl>
      <w:tblPr>
        <w:tblpPr w:leftFromText="180" w:rightFromText="180" w:vertAnchor="text"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CA3393" w14:paraId="375E73D1" w14:textId="77777777" w:rsidTr="00000E0A">
        <w:trPr>
          <w:trHeight w:val="12109"/>
        </w:trPr>
        <w:tc>
          <w:tcPr>
            <w:tcW w:w="8778" w:type="dxa"/>
          </w:tcPr>
          <w:p w14:paraId="375E73D0" w14:textId="77777777" w:rsidR="00CA3393" w:rsidRDefault="00CA3393" w:rsidP="00CA3393">
            <w:pPr>
              <w:rPr>
                <w:rFonts w:ascii="Verdana" w:hAnsi="Verdana"/>
                <w:sz w:val="24"/>
                <w:szCs w:val="24"/>
              </w:rPr>
            </w:pPr>
          </w:p>
        </w:tc>
      </w:tr>
    </w:tbl>
    <w:p w14:paraId="375E73D3" w14:textId="5A9915AC" w:rsidR="00B017CD" w:rsidRPr="00A36A82"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lastRenderedPageBreak/>
        <w:t>Other</w:t>
      </w:r>
    </w:p>
    <w:tbl>
      <w:tblPr>
        <w:tblpPr w:leftFromText="180" w:rightFromText="180" w:vertAnchor="text" w:tblpXSpec="center" w:tblpY="1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3"/>
      </w:tblGrid>
      <w:tr w:rsidR="00CA3393" w14:paraId="375E73D5" w14:textId="77777777" w:rsidTr="00000E0A">
        <w:trPr>
          <w:trHeight w:val="12178"/>
        </w:trPr>
        <w:tc>
          <w:tcPr>
            <w:tcW w:w="8633" w:type="dxa"/>
          </w:tcPr>
          <w:p w14:paraId="375E73D4" w14:textId="77777777" w:rsidR="00CA3393" w:rsidRPr="00CA3393" w:rsidRDefault="00CA3393" w:rsidP="00CA3393">
            <w:pPr>
              <w:jc w:val="center"/>
              <w:rPr>
                <w:rFonts w:ascii="Verdana" w:hAnsi="Verdana"/>
                <w:sz w:val="24"/>
                <w:szCs w:val="24"/>
              </w:rPr>
            </w:pPr>
          </w:p>
        </w:tc>
      </w:tr>
    </w:tbl>
    <w:p w14:paraId="375E73D6" w14:textId="77777777" w:rsidR="00B017CD" w:rsidRPr="00AE152F"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B017CD" w:rsidRPr="00FD598A">
        <w:rPr>
          <w:rFonts w:ascii="Verdana" w:hAnsi="Verdana"/>
          <w:szCs w:val="24"/>
        </w:rPr>
        <w:t>Do you have any comments on the Impact Assessment published alongside this document, or any additional evidence that you think we should take into account?</w:t>
      </w:r>
    </w:p>
    <w:sectPr w:rsidR="00B017CD" w:rsidRPr="00AE152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73DF" w14:textId="77777777" w:rsidR="00FA299F" w:rsidRDefault="00FA299F" w:rsidP="00B017CD">
      <w:pPr>
        <w:spacing w:after="0" w:line="240" w:lineRule="auto"/>
      </w:pPr>
      <w:r>
        <w:separator/>
      </w:r>
    </w:p>
  </w:endnote>
  <w:endnote w:type="continuationSeparator" w:id="0">
    <w:p w14:paraId="375E73E0" w14:textId="77777777" w:rsidR="00FA299F" w:rsidRDefault="00FA299F" w:rsidP="00B0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6CD7" w14:textId="77777777" w:rsidR="007C5BC8" w:rsidRDefault="007C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07780"/>
      <w:docPartObj>
        <w:docPartGallery w:val="Page Numbers (Bottom of Page)"/>
        <w:docPartUnique/>
      </w:docPartObj>
    </w:sdtPr>
    <w:sdtEndPr>
      <w:rPr>
        <w:noProof/>
      </w:rPr>
    </w:sdtEndPr>
    <w:sdtContent>
      <w:p w14:paraId="375E73E4" w14:textId="71635A15" w:rsidR="00A36A82" w:rsidRDefault="00A36A82">
        <w:pPr>
          <w:pStyle w:val="Footer"/>
          <w:jc w:val="right"/>
        </w:pPr>
        <w:r>
          <w:fldChar w:fldCharType="begin"/>
        </w:r>
        <w:r>
          <w:instrText xml:space="preserve"> PAGE   \* MERGEFORMAT </w:instrText>
        </w:r>
        <w:r>
          <w:fldChar w:fldCharType="separate"/>
        </w:r>
        <w:r w:rsidR="007C5BC8">
          <w:rPr>
            <w:noProof/>
          </w:rPr>
          <w:t>5</w:t>
        </w:r>
        <w:r>
          <w:rPr>
            <w:noProof/>
          </w:rPr>
          <w:fldChar w:fldCharType="end"/>
        </w:r>
      </w:p>
    </w:sdtContent>
  </w:sdt>
  <w:p w14:paraId="375E73E5" w14:textId="77777777" w:rsidR="00B017CD" w:rsidRPr="00A36A82" w:rsidRDefault="00B017CD" w:rsidP="00A36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805F" w14:textId="77777777" w:rsidR="007C5BC8" w:rsidRDefault="007C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73DD" w14:textId="77777777" w:rsidR="00FA299F" w:rsidRDefault="00FA299F" w:rsidP="00B017CD">
      <w:pPr>
        <w:spacing w:after="0" w:line="240" w:lineRule="auto"/>
      </w:pPr>
      <w:r>
        <w:separator/>
      </w:r>
    </w:p>
  </w:footnote>
  <w:footnote w:type="continuationSeparator" w:id="0">
    <w:p w14:paraId="375E73DE" w14:textId="77777777" w:rsidR="00FA299F" w:rsidRDefault="00FA299F" w:rsidP="00B0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5068" w14:textId="77777777" w:rsidR="007C5BC8" w:rsidRDefault="007C5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CB8A" w14:textId="77777777" w:rsidR="007C5BC8" w:rsidRDefault="007C5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9972" w14:textId="77777777" w:rsidR="007C5BC8" w:rsidRDefault="007C5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A10FB"/>
    <w:multiLevelType w:val="hybridMultilevel"/>
    <w:tmpl w:val="5E009BEA"/>
    <w:lvl w:ilvl="0" w:tplc="EC2266BE">
      <w:start w:val="1"/>
      <w:numFmt w:val="decimal"/>
      <w:lvlText w:val="%1."/>
      <w:lvlJc w:val="left"/>
      <w:pPr>
        <w:ind w:left="360" w:hanging="360"/>
      </w:pPr>
      <w:rPr>
        <w:rFonts w:ascii="Verdana" w:hAnsi="Verdana" w:hint="default"/>
        <w:b w:val="0"/>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D"/>
    <w:rsid w:val="00000E0A"/>
    <w:rsid w:val="000C0EB5"/>
    <w:rsid w:val="000E48BC"/>
    <w:rsid w:val="00192535"/>
    <w:rsid w:val="00292403"/>
    <w:rsid w:val="00294E7C"/>
    <w:rsid w:val="003D1167"/>
    <w:rsid w:val="00463021"/>
    <w:rsid w:val="0050337E"/>
    <w:rsid w:val="005822BA"/>
    <w:rsid w:val="006D77DC"/>
    <w:rsid w:val="006F0F25"/>
    <w:rsid w:val="00733F3B"/>
    <w:rsid w:val="007C5BC8"/>
    <w:rsid w:val="00A36A82"/>
    <w:rsid w:val="00AC60D9"/>
    <w:rsid w:val="00AD6581"/>
    <w:rsid w:val="00AE152F"/>
    <w:rsid w:val="00B017CD"/>
    <w:rsid w:val="00B241EB"/>
    <w:rsid w:val="00B30754"/>
    <w:rsid w:val="00CA3393"/>
    <w:rsid w:val="00D516D6"/>
    <w:rsid w:val="00DB6939"/>
    <w:rsid w:val="00F5067B"/>
    <w:rsid w:val="00FA299F"/>
    <w:rsid w:val="00FD12F2"/>
    <w:rsid w:val="00FD598A"/>
    <w:rsid w:val="00FE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E7365"/>
  <w15:chartTrackingRefBased/>
  <w15:docId w15:val="{67BF72C7-94B7-4199-B21B-55987A70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7CD"/>
  </w:style>
  <w:style w:type="paragraph" w:styleId="Footer">
    <w:name w:val="footer"/>
    <w:basedOn w:val="Normal"/>
    <w:link w:val="FooterChar"/>
    <w:uiPriority w:val="99"/>
    <w:unhideWhenUsed/>
    <w:rsid w:val="00B01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7CD"/>
  </w:style>
  <w:style w:type="paragraph" w:styleId="ListParagraph">
    <w:name w:val="List Paragraph"/>
    <w:basedOn w:val="Normal"/>
    <w:uiPriority w:val="34"/>
    <w:qFormat/>
    <w:rsid w:val="00B0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972">
      <w:bodyDiv w:val="1"/>
      <w:marLeft w:val="0"/>
      <w:marRight w:val="0"/>
      <w:marTop w:val="0"/>
      <w:marBottom w:val="0"/>
      <w:divBdr>
        <w:top w:val="none" w:sz="0" w:space="0" w:color="auto"/>
        <w:left w:val="none" w:sz="0" w:space="0" w:color="auto"/>
        <w:bottom w:val="none" w:sz="0" w:space="0" w:color="auto"/>
        <w:right w:val="none" w:sz="0" w:space="0" w:color="auto"/>
      </w:divBdr>
    </w:div>
    <w:div w:id="255135104">
      <w:bodyDiv w:val="1"/>
      <w:marLeft w:val="0"/>
      <w:marRight w:val="0"/>
      <w:marTop w:val="0"/>
      <w:marBottom w:val="0"/>
      <w:divBdr>
        <w:top w:val="none" w:sz="0" w:space="0" w:color="auto"/>
        <w:left w:val="none" w:sz="0" w:space="0" w:color="auto"/>
        <w:bottom w:val="none" w:sz="0" w:space="0" w:color="auto"/>
        <w:right w:val="none" w:sz="0" w:space="0" w:color="auto"/>
      </w:divBdr>
    </w:div>
    <w:div w:id="1120343331">
      <w:bodyDiv w:val="1"/>
      <w:marLeft w:val="0"/>
      <w:marRight w:val="0"/>
      <w:marTop w:val="0"/>
      <w:marBottom w:val="0"/>
      <w:divBdr>
        <w:top w:val="none" w:sz="0" w:space="0" w:color="auto"/>
        <w:left w:val="none" w:sz="0" w:space="0" w:color="auto"/>
        <w:bottom w:val="none" w:sz="0" w:space="0" w:color="auto"/>
        <w:right w:val="none" w:sz="0" w:space="0" w:color="auto"/>
      </w:divBdr>
    </w:div>
    <w:div w:id="1215194901">
      <w:bodyDiv w:val="1"/>
      <w:marLeft w:val="0"/>
      <w:marRight w:val="0"/>
      <w:marTop w:val="0"/>
      <w:marBottom w:val="0"/>
      <w:divBdr>
        <w:top w:val="none" w:sz="0" w:space="0" w:color="auto"/>
        <w:left w:val="none" w:sz="0" w:space="0" w:color="auto"/>
        <w:bottom w:val="none" w:sz="0" w:space="0" w:color="auto"/>
        <w:right w:val="none" w:sz="0" w:space="0" w:color="auto"/>
      </w:divBdr>
    </w:div>
    <w:div w:id="1340541112">
      <w:bodyDiv w:val="1"/>
      <w:marLeft w:val="0"/>
      <w:marRight w:val="0"/>
      <w:marTop w:val="0"/>
      <w:marBottom w:val="0"/>
      <w:divBdr>
        <w:top w:val="none" w:sz="0" w:space="0" w:color="auto"/>
        <w:left w:val="none" w:sz="0" w:space="0" w:color="auto"/>
        <w:bottom w:val="none" w:sz="0" w:space="0" w:color="auto"/>
        <w:right w:val="none" w:sz="0" w:space="0" w:color="auto"/>
      </w:divBdr>
    </w:div>
    <w:div w:id="1452171309">
      <w:bodyDiv w:val="1"/>
      <w:marLeft w:val="0"/>
      <w:marRight w:val="0"/>
      <w:marTop w:val="0"/>
      <w:marBottom w:val="0"/>
      <w:divBdr>
        <w:top w:val="none" w:sz="0" w:space="0" w:color="auto"/>
        <w:left w:val="none" w:sz="0" w:space="0" w:color="auto"/>
        <w:bottom w:val="none" w:sz="0" w:space="0" w:color="auto"/>
        <w:right w:val="none" w:sz="0" w:space="0" w:color="auto"/>
      </w:divBdr>
    </w:div>
    <w:div w:id="1927615452">
      <w:bodyDiv w:val="1"/>
      <w:marLeft w:val="0"/>
      <w:marRight w:val="0"/>
      <w:marTop w:val="0"/>
      <w:marBottom w:val="0"/>
      <w:divBdr>
        <w:top w:val="none" w:sz="0" w:space="0" w:color="auto"/>
        <w:left w:val="none" w:sz="0" w:space="0" w:color="auto"/>
        <w:bottom w:val="none" w:sz="0" w:space="0" w:color="auto"/>
        <w:right w:val="none" w:sz="0" w:space="0" w:color="auto"/>
      </w:divBdr>
    </w:div>
    <w:div w:id="20583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ge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lfHourlySettlement@ofge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JSCc5a055b0_x002D_1bed_x002D_4579_x xmlns="26796cb8-a246-4456-b581-7dcda078de4c" xsi:nil="true"/>
    <BJSCdd9eba61_x002D_d6b9_x002D_469b_x xmlns="26796cb8-a246-4456-b581-7dcda078de4c" xsi:nil="true"/>
    <BJSCSummaryMarking xmlns="26796cb8-a246-4456-b581-7dcda078de4c">This item has no classification</BJSCSummaryMarking>
    <BJSCInternalLabel xmlns="26796cb8-a246-4456-b581-7dcda078de4c">&lt;?xml version="1.0" encoding="us-ascii"?&gt;&lt;sisl xmlns:xsi="http://www.w3.org/2001/XMLSchema-instance" xmlns:xsd="http://www.w3.org/2001/XMLSchema" sislVersion="0" policy="973096ae-7329-4b3b-9368-47aeba6959e1" xmlns="http://www.boldonjames.com/2008/01/sie/internal/label" /&gt;</BJSCInternalLabel>
    <Document_x0020_Status xmlns="74565e04-d6b2-45a3-b9b7-4a15edde7cb9">Final</Document_x0020_Status>
    <Document_x0020_Type xmlns="74565e04-d6b2-45a3-b9b7-4a15edde7cb9">External document</Document_x0020_Type>
    <TaxCatchAll xmlns="631298fc-6a88-4548-b7d9-3b164918c4a3">
      <Value>601</Value>
      <Value>411</Value>
    </TaxCatchAll>
    <Workstream xmlns="26796cb8-a246-4456-b581-7dcda078de4c">Mandatory</Workstream>
    <jfc60aaa43c242a7a3a374b1462ecca8 xmlns="74565e04-d6b2-45a3-b9b7-4a15edde7cb9">
      <Terms xmlns="http://schemas.microsoft.com/office/infopath/2007/PartnerControls"/>
    </jfc60aaa43c242a7a3a374b1462ecca8>
    <Event_x0020_Date xmlns="74565e04-d6b2-45a3-b9b7-4a15edde7cb9" xsi:nil="true"/>
    <Descriptor xmlns="631298fc-6a88-4548-b7d9-3b164918c4a3" xsi:nil="true"/>
    <Classification xmlns="631298fc-6a88-4548-b7d9-3b164918c4a3">Official</Classification>
    <e6c5641de6e34232b9873c93259aad76 xmlns="26796cb8-a246-4456-b581-7dcda078de4c">
      <Terms xmlns="http://schemas.microsoft.com/office/infopath/2007/PartnerControls">
        <TermInfo xmlns="http://schemas.microsoft.com/office/infopath/2007/PartnerControls">
          <TermName xmlns="http://schemas.microsoft.com/office/infopath/2007/PartnerControls">Website Document</TermName>
          <TermId xmlns="http://schemas.microsoft.com/office/infopath/2007/PartnerControls">2187de18-d3d3-4dad-a179-a9ba6c9f41ac</TermId>
        </TermInfo>
        <TermInfo xmlns="http://schemas.microsoft.com/office/infopath/2007/PartnerControls">
          <TermName xmlns="http://schemas.microsoft.com/office/infopath/2007/PartnerControls">Impact assessment</TermName>
          <TermId xmlns="http://schemas.microsoft.com/office/infopath/2007/PartnerControls">eb6306c3-1db7-4235-ba81-83616fa76ba0</TermId>
        </TermInfo>
      </Terms>
    </e6c5641de6e34232b9873c93259aad76>
    <Project_x0020_Stage xmlns="74565e04-d6b2-45a3-b9b7-4a15edde7c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t Type 1" ma:contentTypeID="0x010100B73AC9881012B84386BD33078BAD49E3000113CFF8A2B8814BB56A67640953265E" ma:contentTypeVersion="22" ma:contentTypeDescription="" ma:contentTypeScope="" ma:versionID="3274adca5475fa9c436e1fb1b34bf30b">
  <xsd:schema xmlns:xsd="http://www.w3.org/2001/XMLSchema" xmlns:xs="http://www.w3.org/2001/XMLSchema" xmlns:p="http://schemas.microsoft.com/office/2006/metadata/properties" xmlns:ns2="74565e04-d6b2-45a3-b9b7-4a15edde7cb9" xmlns:ns3="631298fc-6a88-4548-b7d9-3b164918c4a3" xmlns:ns4="26796cb8-a246-4456-b581-7dcda078de4c" targetNamespace="http://schemas.microsoft.com/office/2006/metadata/properties" ma:root="true" ma:fieldsID="6572c4cf7918c02f6f041cbdfc961752" ns2:_="" ns3:_="" ns4:_="">
    <xsd:import namespace="74565e04-d6b2-45a3-b9b7-4a15edde7cb9"/>
    <xsd:import namespace="631298fc-6a88-4548-b7d9-3b164918c4a3"/>
    <xsd:import namespace="26796cb8-a246-4456-b581-7dcda078de4c"/>
    <xsd:element name="properties">
      <xsd:complexType>
        <xsd:sequence>
          <xsd:element name="documentManagement">
            <xsd:complexType>
              <xsd:all>
                <xsd:element ref="ns2:Project_x0020_Stage" minOccurs="0"/>
                <xsd:element ref="ns2:Document_x0020_Type" minOccurs="0"/>
                <xsd:element ref="ns2:Document_x0020_Status" minOccurs="0"/>
                <xsd:element ref="ns3:Classification" minOccurs="0"/>
                <xsd:element ref="ns3:Descriptor" minOccurs="0"/>
                <xsd:element ref="ns2:Event_x0020_Date" minOccurs="0"/>
                <xsd:element ref="ns3:TaxCatchAll" minOccurs="0"/>
                <xsd:element ref="ns3:TaxCatchAllLabel" minOccurs="0"/>
                <xsd:element ref="ns2:jfc60aaa43c242a7a3a374b1462ecca8" minOccurs="0"/>
                <xsd:element ref="ns4:e6c5641de6e34232b9873c93259aad76" minOccurs="0"/>
                <xsd:element ref="ns4:BJSCInternalLabel" minOccurs="0"/>
                <xsd:element ref="ns4:BJSCdd9eba61_x002D_d6b9_x002D_469b_x" minOccurs="0"/>
                <xsd:element ref="ns4:BJSCc5a055b0_x002D_1bed_x002D_4579_x" minOccurs="0"/>
                <xsd:element ref="ns4:BJSCSummaryMarking" minOccurs="0"/>
                <xsd:element ref="ns4: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65e04-d6b2-45a3-b9b7-4a15edde7cb9" elementFormDefault="qualified">
    <xsd:import namespace="http://schemas.microsoft.com/office/2006/documentManagement/types"/>
    <xsd:import namespace="http://schemas.microsoft.com/office/infopath/2007/PartnerControls"/>
    <xsd:element name="Project_x0020_Stage" ma:index="2" nillable="true" ma:displayName="Project Stage" ma:format="Dropdown" ma:hidden="true" ma:internalName="Project_x0020_Stage" ma:readOnly="false">
      <xsd:simpleType>
        <xsd:restriction base="dms:Choice">
          <xsd:enumeration value="Project Management"/>
          <xsd:enumeration value="Research, Analysis and Evidence"/>
          <xsd:enumeration value="Decision making/Publish"/>
        </xsd:restriction>
      </xsd:simpleType>
    </xsd:element>
    <xsd:element name="Document_x0020_Type" ma:index="3" nillable="true"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enumeration value="External document"/>
        </xsd:restriction>
      </xsd:simpleType>
    </xsd:element>
    <xsd:element name="Document_x0020_Status" ma:index="5" nillable="true" ma:displayName="Document Status" ma:format="RadioButtons" ma:internalName="Document_x0020_Status">
      <xsd:simpleType>
        <xsd:restriction base="dms:Choice">
          <xsd:enumeration value="Draft"/>
          <xsd:enumeration value="Final"/>
        </xsd:restriction>
      </xsd:simpleType>
    </xsd:element>
    <xsd:element name="Event_x0020_Date" ma:index="8" nillable="true" ma:displayName="Event Date" ma:format="DateOnly" ma:indexed="true" ma:internalName="Event_x0020_Date">
      <xsd:simpleType>
        <xsd:restriction base="dms:DateTime"/>
      </xsd:simpleType>
    </xsd:element>
    <xsd:element name="jfc60aaa43c242a7a3a374b1462ecca8" ma:index="16" nillable="true" ma:taxonomy="true" ma:internalName="jfc60aaa43c242a7a3a374b1462ecca8" ma:taxonomyFieldName="Organisation_Contactshare" ma:displayName="Organisation_Contactshare" ma:indexed="true" ma:readOnly="false" ma:default="" ma:fieldId="{3fc60aaa-43c2-42a7-a3a3-74b1462ecca8}"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Classification" ma:index="6" nillable="true" ma:displayName="Security Classification" ma:default="Official" ma:format="Dropdown" ma:hidden="true" ma:internalName="Classification" ma:readOnly="false">
      <xsd:simpleType>
        <xsd:restriction base="dms:Choice">
          <xsd:enumeration value="Official"/>
          <xsd:enumeration value="Official Sensitive"/>
        </xsd:restriction>
      </xsd:simpleType>
    </xsd:element>
    <xsd:element name="Descriptor" ma:index="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TaxCatchAll" ma:index="9" nillable="true" ma:displayName="Taxonomy Catch All Column" ma:hidden="true" ma:list="{7322fadc-f799-4e41-8862-be1b14da3f2e}" ma:internalName="TaxCatchAll" ma:showField="CatchAllData" ma:web="74565e04-d6b2-45a3-b9b7-4a15edde7c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2fadc-f799-4e41-8862-be1b14da3f2e}" ma:internalName="TaxCatchAllLabel" ma:readOnly="true" ma:showField="CatchAllDataLabel" ma:web="74565e04-d6b2-45a3-b9b7-4a15edde7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96cb8-a246-4456-b581-7dcda078de4c" elementFormDefault="qualified">
    <xsd:import namespace="http://schemas.microsoft.com/office/2006/documentManagement/types"/>
    <xsd:import namespace="http://schemas.microsoft.com/office/infopath/2007/PartnerControls"/>
    <xsd:element name="e6c5641de6e34232b9873c93259aad76" ma:index="19" ma:taxonomy="true" ma:internalName="e6c5641de6e34232b9873c93259aad76" ma:taxonomyFieldName="HH_settlement_folksonomy" ma:displayName="HH_settlement_folksonomy" ma:readOnly="false" ma:default="" ma:fieldId="{e6c5641d-e6e3-4232-b987-3c93259aad76}" ma:taxonomyMulti="true" ma:sspId="ca9306fc-8436-45f0-b931-e34f519be3a3" ma:termSetId="0c9c863a-1c37-4fc5-9d6b-36e5cb1f1438" ma:anchorId="00000000-0000-0000-0000-000000000000" ma:open="true" ma:isKeyword="false">
      <xsd:complexType>
        <xsd:sequence>
          <xsd:element ref="pc:Terms" minOccurs="0" maxOccurs="1"/>
        </xsd:sequence>
      </xsd:complexType>
    </xsd:element>
    <xsd:element name="BJSCInternalLabel" ma:index="20" nillable="true" ma:displayName="Classifier Label" ma:internalName="BJSCInternalLabel">
      <xsd:simpleType>
        <xsd:restriction base="dms:Unknown"/>
      </xsd:simpleType>
    </xsd:element>
    <xsd:element name="BJSCdd9eba61_x002D_d6b9_x002D_469b_x" ma:index="21" nillable="true" ma:displayName="Audience" ma:internalName="BJSCdd9eba61_x002D_d6b9_x002D_469b_x">
      <xsd:simpleType>
        <xsd:restriction base="dms:Text"/>
      </xsd:simpleType>
    </xsd:element>
    <xsd:element name="BJSCc5a055b0_x002D_1bed_x002D_4579_x" ma:index="22" nillable="true" ma:displayName="Visual marking" ma:internalName="BJSCc5a055b0_x002D_1bed_x002D_4579_x">
      <xsd:simpleType>
        <xsd:restriction base="dms:Text"/>
      </xsd:simpleType>
    </xsd:element>
    <xsd:element name="BJSCSummaryMarking" ma:index="23" nillable="true" ma:displayName="Summary Marking" ma:internalName="BJSCSummaryMarking">
      <xsd:simpleType>
        <xsd:restriction base="dms:Text"/>
      </xsd:simpleType>
    </xsd:element>
    <xsd:element name="Workstream" ma:index="24" nillable="true" ma:displayName="Workstream" ma:format="Dropdown" ma:internalName="Workstream">
      <xsd:simpleType>
        <xsd:restriction base="dms:Choice">
          <xsd:enumeration value="SCR - Responses"/>
          <xsd:enumeration value="Team admin"/>
          <xsd:enumeration value="Mandatory"/>
          <xsd:enumeration value="Elective"/>
          <xsd:enumeration value="P27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CA6B838D-AD77-4621-A469-A72EE3531E00}">
  <ds:schemaRefs>
    <ds:schemaRef ds:uri="http://purl.org/dc/terms/"/>
    <ds:schemaRef ds:uri="74565e04-d6b2-45a3-b9b7-4a15edde7cb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6796cb8-a246-4456-b581-7dcda078de4c"/>
    <ds:schemaRef ds:uri="http://schemas.microsoft.com/office/infopath/2007/PartnerControls"/>
    <ds:schemaRef ds:uri="631298fc-6a88-4548-b7d9-3b164918c4a3"/>
    <ds:schemaRef ds:uri="http://www.w3.org/XML/1998/namespace"/>
    <ds:schemaRef ds:uri="http://purl.org/dc/dcmitype/"/>
  </ds:schemaRefs>
</ds:datastoreItem>
</file>

<file path=customXml/itemProps2.xml><?xml version="1.0" encoding="utf-8"?>
<ds:datastoreItem xmlns:ds="http://schemas.openxmlformats.org/officeDocument/2006/customXml" ds:itemID="{B43E81D3-5575-4050-8609-75F6210A0111}">
  <ds:schemaRefs>
    <ds:schemaRef ds:uri="http://schemas.microsoft.com/sharepoint/v3/contenttype/forms"/>
  </ds:schemaRefs>
</ds:datastoreItem>
</file>

<file path=customXml/itemProps3.xml><?xml version="1.0" encoding="utf-8"?>
<ds:datastoreItem xmlns:ds="http://schemas.openxmlformats.org/officeDocument/2006/customXml" ds:itemID="{C712D986-511F-4902-A76E-72ABE54A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65e04-d6b2-45a3-b9b7-4a15edde7cb9"/>
    <ds:schemaRef ds:uri="631298fc-6a88-4548-b7d9-3b164918c4a3"/>
    <ds:schemaRef ds:uri="26796cb8-a246-4456-b581-7dcda078d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58F55-D76F-458B-9FD6-A4922A417F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836</Words>
  <Characters>4345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McKever</dc:creator>
  <cp:keywords/>
  <dc:description/>
  <cp:lastModifiedBy>Sinead Quinn</cp:lastModifiedBy>
  <cp:revision>2</cp:revision>
  <dcterms:created xsi:type="dcterms:W3CDTF">2020-06-16T14:39:00Z</dcterms:created>
  <dcterms:modified xsi:type="dcterms:W3CDTF">2020-06-16T14:39:00Z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b76927fa-fb44-4d67-9609-f1b48a238c25</vt:lpwstr>
  </property>
  <property fmtid="{D5CDD505-2E9C-101B-9397-08002B2CF9AE}" pid="3" name="bjSaver">
    <vt:lpwstr>6c6IyzMSAVPrENm5AvMVvS+mYkbi1qv/</vt:lpwstr>
  </property>
  <property fmtid="{D5CDD505-2E9C-101B-9397-08002B2CF9AE}" pid="4" name="ContentTypeId">
    <vt:lpwstr>0x010100B73AC9881012B84386BD33078BAD49E3000113CFF8A2B8814BB56A67640953265E</vt:lpwstr>
  </property>
  <property fmtid="{D5CDD505-2E9C-101B-9397-08002B2CF9AE}" pid="5" name="HH_settlement_folksonomy">
    <vt:lpwstr>601;#Website Document|2187de18-d3d3-4dad-a179-a9ba6c9f41ac;#411;#Impact assessment|eb6306c3-1db7-4235-ba81-83616fa76ba0</vt:lpwstr>
  </property>
  <property fmtid="{D5CDD505-2E9C-101B-9397-08002B2CF9AE}" pid="6" name="Organisation_Contactshare">
    <vt:lpwstr/>
  </property>
  <property fmtid="{D5CDD505-2E9C-101B-9397-08002B2CF9AE}" pid="7" name="bjDocumentSecurityLabel">
    <vt:lpwstr>This item has no classification</vt:lpwstr>
  </property>
</Properties>
</file>