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Default Extension="pptx" ContentType="application/vnd.openxmlformats-officedocument.presentationml.presentation"/>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0"/>
      </w:tblGrid>
      <w:tr w:rsidR="00615055" w14:paraId="21A543BB" w14:textId="77777777" w:rsidTr="003964D4">
        <w:trPr>
          <w:trHeight w:val="558"/>
        </w:trPr>
        <w:tc>
          <w:tcPr>
            <w:tcW w:w="5000" w:type="pct"/>
            <w:shd w:val="clear" w:color="auto" w:fill="E5EBEE"/>
          </w:tcPr>
          <w:p w14:paraId="69594B29" w14:textId="77777777" w:rsidR="00615055" w:rsidRDefault="00615055">
            <w:bookmarkStart w:id="0" w:name="_GoBack"/>
            <w:bookmarkEnd w:id="0"/>
          </w:p>
        </w:tc>
      </w:tr>
      <w:tr w:rsidR="00BE71AA" w14:paraId="706AE8BC" w14:textId="77777777" w:rsidTr="003964D4">
        <w:trPr>
          <w:trHeight w:val="295"/>
        </w:trPr>
        <w:tc>
          <w:tcPr>
            <w:tcW w:w="5000" w:type="pct"/>
            <w:shd w:val="clear" w:color="auto" w:fill="E5EBEE"/>
            <w:tcMar>
              <w:left w:w="4536" w:type="dxa"/>
            </w:tcMar>
          </w:tcPr>
          <w:p w14:paraId="5C241C9F" w14:textId="76543872" w:rsidR="00BE71AA" w:rsidRDefault="00625EE0">
            <w:pPr>
              <w:rPr>
                <w:b/>
                <w:bCs/>
                <w:noProof/>
                <w:color w:val="000080"/>
                <w:szCs w:val="20"/>
                <w:lang w:eastAsia="en-GB"/>
              </w:rPr>
            </w:pPr>
            <w:r>
              <w:rPr>
                <w:b/>
                <w:bCs/>
                <w:noProof/>
                <w:color w:val="000080"/>
                <w:szCs w:val="20"/>
                <w:lang w:eastAsia="en-GB"/>
              </w:rPr>
              <w:drawing>
                <wp:anchor distT="0" distB="0" distL="114300" distR="114300" simplePos="0" relativeHeight="251658240" behindDoc="0" locked="0" layoutInCell="1" allowOverlap="1" wp14:anchorId="1503EBC6" wp14:editId="5278D87B">
                  <wp:simplePos x="0" y="0"/>
                  <wp:positionH relativeFrom="column">
                    <wp:posOffset>-2667000</wp:posOffset>
                  </wp:positionH>
                  <wp:positionV relativeFrom="paragraph">
                    <wp:posOffset>50800</wp:posOffset>
                  </wp:positionV>
                  <wp:extent cx="3038475" cy="485775"/>
                  <wp:effectExtent l="19050" t="0" r="9525" b="0"/>
                  <wp:wrapNone/>
                  <wp:docPr id="5" name="Logo" descr="C:\CERT\GreatWrittenCommunication\zOldStuffDoNotUse\ofgemelecs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ERT\GreatWrittenCommunication\zOldStuffDoNotUse\ofgemelecsig.gif"/>
                          <pic:cNvPicPr>
                            <a:picLocks noChangeAspect="1" noChangeArrowheads="1"/>
                          </pic:cNvPicPr>
                        </pic:nvPicPr>
                        <pic:blipFill>
                          <a:blip r:embed="rId12"/>
                          <a:stretch>
                            <a:fillRect/>
                          </a:stretch>
                        </pic:blipFill>
                        <pic:spPr bwMode="auto">
                          <a:xfrm>
                            <a:off x="0" y="0"/>
                            <a:ext cx="3038475" cy="485775"/>
                          </a:xfrm>
                          <a:prstGeom prst="rect">
                            <a:avLst/>
                          </a:prstGeom>
                          <a:noFill/>
                          <a:ln w="9525">
                            <a:noFill/>
                            <a:miter lim="800000"/>
                            <a:headEnd/>
                            <a:tailEnd/>
                          </a:ln>
                        </pic:spPr>
                      </pic:pic>
                    </a:graphicData>
                  </a:graphic>
                </wp:anchor>
              </w:drawing>
            </w:r>
          </w:p>
        </w:tc>
      </w:tr>
      <w:tr w:rsidR="00BE71AA" w14:paraId="5BD5A6B3" w14:textId="77777777" w:rsidTr="003964D4">
        <w:trPr>
          <w:trHeight w:val="558"/>
        </w:trPr>
        <w:tc>
          <w:tcPr>
            <w:tcW w:w="5000" w:type="pct"/>
            <w:shd w:val="clear" w:color="auto" w:fill="E5EBEE"/>
            <w:tcMar>
              <w:left w:w="4536" w:type="dxa"/>
            </w:tcMar>
          </w:tcPr>
          <w:p w14:paraId="506F607E" w14:textId="77777777" w:rsidR="00BE71AA" w:rsidRDefault="00BE71AA"/>
        </w:tc>
      </w:tr>
      <w:tr w:rsidR="00615055" w14:paraId="1046DBF7" w14:textId="77777777" w:rsidTr="003964D4">
        <w:trPr>
          <w:trHeight w:val="659"/>
        </w:trPr>
        <w:tc>
          <w:tcPr>
            <w:tcW w:w="5000" w:type="pct"/>
            <w:shd w:val="clear" w:color="auto" w:fill="E5EBEE"/>
          </w:tcPr>
          <w:p w14:paraId="2E691491" w14:textId="77777777" w:rsidR="00615055" w:rsidRDefault="00615055"/>
        </w:tc>
      </w:tr>
      <w:tr w:rsidR="00615055" w14:paraId="260B5CE8" w14:textId="77777777" w:rsidTr="003964D4">
        <w:trPr>
          <w:trHeight w:val="1842"/>
        </w:trPr>
        <w:tc>
          <w:tcPr>
            <w:tcW w:w="5000" w:type="pct"/>
            <w:shd w:val="clear" w:color="auto" w:fill="E5EBEE"/>
            <w:tcMar>
              <w:left w:w="284" w:type="dxa"/>
            </w:tcMar>
          </w:tcPr>
          <w:p w14:paraId="09714BAE" w14:textId="55DE83BA" w:rsidR="00691C30" w:rsidRDefault="00691C30" w:rsidP="00691C30">
            <w:pPr>
              <w:pStyle w:val="oStyle21ptAfter10pt"/>
              <w:rPr>
                <w:noProof/>
                <w:lang w:eastAsia="en-GB"/>
              </w:rPr>
            </w:pPr>
            <w:r>
              <w:rPr>
                <w:noProof/>
                <w:lang w:eastAsia="en-GB"/>
              </w:rPr>
              <w:t>D-4.1.5 E2E Solution Architecture</w:t>
            </w:r>
          </w:p>
          <w:p w14:paraId="4EAEE170" w14:textId="62576ACD" w:rsidR="00AA42CC" w:rsidRPr="005E0513" w:rsidRDefault="00691C30" w:rsidP="00691C30">
            <w:pPr>
              <w:pStyle w:val="oStyle21ptAfter10pt"/>
              <w:rPr>
                <w:noProof/>
                <w:lang w:eastAsia="en-GB"/>
              </w:rPr>
            </w:pPr>
            <w:r>
              <w:rPr>
                <w:noProof/>
                <w:lang w:eastAsia="en-GB"/>
              </w:rPr>
              <w:t>Ofgem Switching Programme</w:t>
            </w:r>
          </w:p>
        </w:tc>
      </w:tr>
      <w:tr w:rsidR="00E36CE3" w14:paraId="6F61BEB2" w14:textId="77777777" w:rsidTr="003964D4">
        <w:trPr>
          <w:trHeight w:val="607"/>
        </w:trPr>
        <w:tc>
          <w:tcPr>
            <w:tcW w:w="5000" w:type="pct"/>
            <w:shd w:val="clear" w:color="auto" w:fill="7E99AA"/>
            <w:tcMar>
              <w:left w:w="284" w:type="dxa"/>
            </w:tcMar>
            <w:vAlign w:val="center"/>
          </w:tcPr>
          <w:p w14:paraId="1CF7F43E" w14:textId="54706384" w:rsidR="00E36CE3" w:rsidRPr="00F27E33" w:rsidRDefault="00E36CE3" w:rsidP="009E53F2">
            <w:pPr>
              <w:rPr>
                <w:rStyle w:val="oStyle17ptBold"/>
                <w:color w:val="FFFFFF"/>
              </w:rPr>
            </w:pPr>
          </w:p>
        </w:tc>
      </w:tr>
    </w:tbl>
    <w:p w14:paraId="13DD9A25" w14:textId="77777777" w:rsidR="00E02033" w:rsidRPr="00E80DD4" w:rsidRDefault="00E02033">
      <w:pPr>
        <w:rPr>
          <w:rStyle w:val="oStyle6pt"/>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2"/>
        <w:gridCol w:w="1892"/>
        <w:gridCol w:w="95"/>
        <w:gridCol w:w="95"/>
        <w:gridCol w:w="1159"/>
        <w:gridCol w:w="3927"/>
      </w:tblGrid>
      <w:tr w:rsidR="00897F49" w14:paraId="77BF06ED" w14:textId="77777777" w:rsidTr="00641C3D">
        <w:trPr>
          <w:trHeight w:hRule="exact" w:val="227"/>
        </w:trPr>
        <w:tc>
          <w:tcPr>
            <w:tcW w:w="1320" w:type="pct"/>
            <w:shd w:val="clear" w:color="auto" w:fill="E4E5E5"/>
          </w:tcPr>
          <w:p w14:paraId="376F2B13" w14:textId="77777777" w:rsidR="00897F49" w:rsidRPr="005D27E0" w:rsidRDefault="00897F49" w:rsidP="006A74B3">
            <w:pPr>
              <w:ind w:left="-113"/>
              <w:rPr>
                <w:b/>
              </w:rPr>
            </w:pPr>
          </w:p>
        </w:tc>
        <w:tc>
          <w:tcPr>
            <w:tcW w:w="971" w:type="pct"/>
            <w:shd w:val="clear" w:color="auto" w:fill="E4E5E5"/>
          </w:tcPr>
          <w:p w14:paraId="3ED44321" w14:textId="77777777" w:rsidR="00897F49" w:rsidRDefault="00897F49" w:rsidP="006A74B3">
            <w:pPr>
              <w:ind w:left="-113"/>
            </w:pPr>
          </w:p>
        </w:tc>
        <w:tc>
          <w:tcPr>
            <w:tcW w:w="49" w:type="pct"/>
            <w:tcBorders>
              <w:right w:val="single" w:sz="4" w:space="0" w:color="auto"/>
            </w:tcBorders>
            <w:tcMar>
              <w:left w:w="0" w:type="dxa"/>
              <w:right w:w="0" w:type="dxa"/>
            </w:tcMar>
          </w:tcPr>
          <w:p w14:paraId="702030E9" w14:textId="77777777" w:rsidR="00897F49" w:rsidRDefault="00897F49" w:rsidP="009104CA"/>
        </w:tc>
        <w:tc>
          <w:tcPr>
            <w:tcW w:w="49" w:type="pct"/>
            <w:tcBorders>
              <w:left w:val="single" w:sz="4" w:space="0" w:color="auto"/>
            </w:tcBorders>
            <w:tcMar>
              <w:left w:w="0" w:type="dxa"/>
              <w:right w:w="0" w:type="dxa"/>
            </w:tcMar>
          </w:tcPr>
          <w:p w14:paraId="1E015860" w14:textId="77777777" w:rsidR="00897F49" w:rsidRDefault="00897F49" w:rsidP="009104CA"/>
        </w:tc>
        <w:tc>
          <w:tcPr>
            <w:tcW w:w="595" w:type="pct"/>
            <w:shd w:val="clear" w:color="auto" w:fill="E4E5E5"/>
          </w:tcPr>
          <w:p w14:paraId="34A82CEC" w14:textId="77777777" w:rsidR="00897F49" w:rsidRDefault="00897F49" w:rsidP="001452F0">
            <w:pPr>
              <w:ind w:left="-57"/>
            </w:pPr>
          </w:p>
        </w:tc>
        <w:tc>
          <w:tcPr>
            <w:tcW w:w="2016" w:type="pct"/>
            <w:shd w:val="clear" w:color="auto" w:fill="E4E5E5"/>
          </w:tcPr>
          <w:p w14:paraId="32D02F9A" w14:textId="77777777" w:rsidR="00897F49" w:rsidRDefault="00897F49" w:rsidP="001452F0">
            <w:pPr>
              <w:ind w:left="-113"/>
            </w:pPr>
          </w:p>
        </w:tc>
      </w:tr>
      <w:tr w:rsidR="00B95AE2" w14:paraId="44FF7FF5" w14:textId="77777777" w:rsidTr="00641C3D">
        <w:trPr>
          <w:trHeight w:hRule="exact" w:val="510"/>
        </w:trPr>
        <w:tc>
          <w:tcPr>
            <w:tcW w:w="1320" w:type="pct"/>
            <w:shd w:val="clear" w:color="auto" w:fill="E4E5E5"/>
            <w:tcMar>
              <w:left w:w="284" w:type="dxa"/>
            </w:tcMar>
          </w:tcPr>
          <w:p w14:paraId="7679A615" w14:textId="375D9448" w:rsidR="00B95AE2" w:rsidRPr="005D27E0" w:rsidRDefault="00B95AE2" w:rsidP="001B1D2E">
            <w:pPr>
              <w:ind w:left="-113"/>
              <w:rPr>
                <w:b/>
              </w:rPr>
            </w:pPr>
            <w:r>
              <w:rPr>
                <w:b/>
              </w:rPr>
              <w:t>Author(s):</w:t>
            </w:r>
          </w:p>
        </w:tc>
        <w:tc>
          <w:tcPr>
            <w:tcW w:w="971" w:type="pct"/>
            <w:shd w:val="clear" w:color="auto" w:fill="E4E5E5"/>
          </w:tcPr>
          <w:p w14:paraId="33E57ABA" w14:textId="616E6F2B" w:rsidR="00B95AE2" w:rsidRDefault="00B95AE2" w:rsidP="00456F9F">
            <w:pPr>
              <w:ind w:left="-113"/>
            </w:pPr>
            <w:r>
              <w:t>Ofgem</w:t>
            </w:r>
          </w:p>
        </w:tc>
        <w:tc>
          <w:tcPr>
            <w:tcW w:w="49" w:type="pct"/>
            <w:tcBorders>
              <w:right w:val="single" w:sz="4" w:space="0" w:color="auto"/>
            </w:tcBorders>
            <w:tcMar>
              <w:left w:w="0" w:type="dxa"/>
              <w:right w:w="0" w:type="dxa"/>
            </w:tcMar>
          </w:tcPr>
          <w:p w14:paraId="05A1F83B" w14:textId="77777777" w:rsidR="00B95AE2" w:rsidRDefault="00B95AE2" w:rsidP="001B1D2E"/>
        </w:tc>
        <w:tc>
          <w:tcPr>
            <w:tcW w:w="49" w:type="pct"/>
            <w:tcBorders>
              <w:left w:val="single" w:sz="4" w:space="0" w:color="auto"/>
            </w:tcBorders>
            <w:tcMar>
              <w:left w:w="0" w:type="dxa"/>
              <w:right w:w="0" w:type="dxa"/>
            </w:tcMar>
          </w:tcPr>
          <w:p w14:paraId="31BCADED" w14:textId="77777777" w:rsidR="00B95AE2" w:rsidRDefault="00B95AE2" w:rsidP="001B1D2E"/>
        </w:tc>
        <w:tc>
          <w:tcPr>
            <w:tcW w:w="595" w:type="pct"/>
            <w:shd w:val="clear" w:color="auto" w:fill="E4E5E5"/>
            <w:tcMar>
              <w:left w:w="170" w:type="dxa"/>
            </w:tcMar>
          </w:tcPr>
          <w:p w14:paraId="2E69234F" w14:textId="17710F01" w:rsidR="00B95AE2" w:rsidRPr="000A4712" w:rsidRDefault="00B95AE2" w:rsidP="001B1D2E">
            <w:pPr>
              <w:ind w:left="-57"/>
              <w:rPr>
                <w:b/>
                <w:bCs/>
              </w:rPr>
            </w:pPr>
            <w:r w:rsidRPr="000A4712">
              <w:rPr>
                <w:b/>
                <w:bCs/>
              </w:rPr>
              <w:t>Team:</w:t>
            </w:r>
          </w:p>
        </w:tc>
        <w:tc>
          <w:tcPr>
            <w:tcW w:w="2016" w:type="pct"/>
            <w:shd w:val="clear" w:color="auto" w:fill="E4E5E5"/>
          </w:tcPr>
          <w:p w14:paraId="127C48BF" w14:textId="58EA80C3" w:rsidR="00B95AE2" w:rsidRDefault="00B95AE2" w:rsidP="001B1D2E">
            <w:pPr>
              <w:ind w:left="-113"/>
            </w:pPr>
            <w:r>
              <w:t>Switching Design Team</w:t>
            </w:r>
          </w:p>
        </w:tc>
      </w:tr>
      <w:tr w:rsidR="00641C3D" w14:paraId="1D79634F" w14:textId="77777777" w:rsidTr="00641C3D">
        <w:trPr>
          <w:trHeight w:hRule="exact" w:val="510"/>
        </w:trPr>
        <w:tc>
          <w:tcPr>
            <w:tcW w:w="1320" w:type="pct"/>
            <w:shd w:val="clear" w:color="auto" w:fill="E4E5E5"/>
            <w:tcMar>
              <w:left w:w="284" w:type="dxa"/>
            </w:tcMar>
          </w:tcPr>
          <w:p w14:paraId="18DCB92A" w14:textId="44E420EA" w:rsidR="00641C3D" w:rsidRPr="005D27E0" w:rsidRDefault="00641C3D" w:rsidP="001B1D2E">
            <w:pPr>
              <w:ind w:left="-113"/>
              <w:rPr>
                <w:b/>
              </w:rPr>
            </w:pPr>
            <w:r w:rsidRPr="005D27E0">
              <w:rPr>
                <w:b/>
              </w:rPr>
              <w:t>Publication date:</w:t>
            </w:r>
          </w:p>
        </w:tc>
        <w:tc>
          <w:tcPr>
            <w:tcW w:w="971" w:type="pct"/>
            <w:shd w:val="clear" w:color="auto" w:fill="E4E5E5"/>
          </w:tcPr>
          <w:p w14:paraId="66B84DF5" w14:textId="65AB770F" w:rsidR="00641C3D" w:rsidRDefault="001A3253" w:rsidP="001B1D2E">
            <w:pPr>
              <w:ind w:left="-113"/>
            </w:pPr>
            <w:r>
              <w:fldChar w:fldCharType="begin"/>
            </w:r>
            <w:r>
              <w:instrText xml:space="preserve"> SAVEDATE  \@ "dd MMMM yyyy"  \* MERGEFORMAT </w:instrText>
            </w:r>
            <w:r>
              <w:fldChar w:fldCharType="separate"/>
            </w:r>
            <w:r w:rsidR="00123A06">
              <w:rPr>
                <w:noProof/>
              </w:rPr>
              <w:t>03 June 2019</w:t>
            </w:r>
            <w:r>
              <w:fldChar w:fldCharType="end"/>
            </w:r>
          </w:p>
        </w:tc>
        <w:tc>
          <w:tcPr>
            <w:tcW w:w="49" w:type="pct"/>
            <w:tcBorders>
              <w:right w:val="single" w:sz="4" w:space="0" w:color="auto"/>
            </w:tcBorders>
            <w:tcMar>
              <w:left w:w="0" w:type="dxa"/>
              <w:right w:w="0" w:type="dxa"/>
            </w:tcMar>
          </w:tcPr>
          <w:p w14:paraId="479397B4" w14:textId="77777777" w:rsidR="00641C3D" w:rsidRDefault="00641C3D" w:rsidP="001B1D2E"/>
        </w:tc>
        <w:tc>
          <w:tcPr>
            <w:tcW w:w="49" w:type="pct"/>
            <w:tcBorders>
              <w:left w:val="single" w:sz="4" w:space="0" w:color="auto"/>
            </w:tcBorders>
            <w:tcMar>
              <w:left w:w="0" w:type="dxa"/>
              <w:right w:w="0" w:type="dxa"/>
            </w:tcMar>
          </w:tcPr>
          <w:p w14:paraId="042FBD38" w14:textId="77777777" w:rsidR="00641C3D" w:rsidRDefault="00641C3D" w:rsidP="001B1D2E"/>
        </w:tc>
        <w:tc>
          <w:tcPr>
            <w:tcW w:w="595" w:type="pct"/>
            <w:shd w:val="clear" w:color="auto" w:fill="E4E5E5"/>
            <w:tcMar>
              <w:left w:w="170" w:type="dxa"/>
            </w:tcMar>
          </w:tcPr>
          <w:p w14:paraId="367AC53E" w14:textId="3976709D" w:rsidR="00641C3D" w:rsidRPr="000A4712" w:rsidRDefault="00641C3D" w:rsidP="001B1D2E">
            <w:pPr>
              <w:ind w:left="-57"/>
              <w:rPr>
                <w:b/>
                <w:bCs/>
              </w:rPr>
            </w:pPr>
            <w:r w:rsidRPr="000A4712">
              <w:rPr>
                <w:b/>
                <w:bCs/>
              </w:rPr>
              <w:t>Email:</w:t>
            </w:r>
          </w:p>
        </w:tc>
        <w:tc>
          <w:tcPr>
            <w:tcW w:w="2016" w:type="pct"/>
            <w:shd w:val="clear" w:color="auto" w:fill="E4E5E5"/>
          </w:tcPr>
          <w:p w14:paraId="1EEDA255" w14:textId="7D72A61C" w:rsidR="00641C3D" w:rsidRDefault="00641C3D" w:rsidP="001B1D2E">
            <w:pPr>
              <w:ind w:left="-113"/>
            </w:pPr>
            <w:r w:rsidRPr="008653BE">
              <w:t>SwitchingPMO@ofgem.gov.uk</w:t>
            </w:r>
          </w:p>
        </w:tc>
      </w:tr>
      <w:tr w:rsidR="00641C3D" w14:paraId="1A2BC390" w14:textId="77777777" w:rsidTr="00641C3D">
        <w:trPr>
          <w:trHeight w:hRule="exact" w:val="510"/>
        </w:trPr>
        <w:tc>
          <w:tcPr>
            <w:tcW w:w="1320" w:type="pct"/>
            <w:shd w:val="clear" w:color="auto" w:fill="E4E5E5"/>
            <w:tcMar>
              <w:left w:w="284" w:type="dxa"/>
            </w:tcMar>
          </w:tcPr>
          <w:p w14:paraId="54E38BAA" w14:textId="46473D80" w:rsidR="00641C3D" w:rsidRPr="005D27E0" w:rsidRDefault="00641C3D" w:rsidP="001B1D2E">
            <w:pPr>
              <w:ind w:left="-113"/>
              <w:rPr>
                <w:b/>
              </w:rPr>
            </w:pPr>
            <w:r>
              <w:rPr>
                <w:b/>
              </w:rPr>
              <w:t>Version:</w:t>
            </w:r>
          </w:p>
        </w:tc>
        <w:tc>
          <w:tcPr>
            <w:tcW w:w="971" w:type="pct"/>
            <w:shd w:val="clear" w:color="auto" w:fill="E4E5E5"/>
          </w:tcPr>
          <w:p w14:paraId="3871DAEA" w14:textId="4E95F99C" w:rsidR="00641C3D" w:rsidRDefault="00641C3D" w:rsidP="001B1D2E">
            <w:pPr>
              <w:ind w:left="-113"/>
            </w:pPr>
            <w:r>
              <w:t>2.</w:t>
            </w:r>
            <w:r w:rsidR="001A3253">
              <w:t>2</w:t>
            </w:r>
          </w:p>
        </w:tc>
        <w:tc>
          <w:tcPr>
            <w:tcW w:w="49" w:type="pct"/>
            <w:tcBorders>
              <w:right w:val="single" w:sz="4" w:space="0" w:color="auto"/>
            </w:tcBorders>
            <w:tcMar>
              <w:left w:w="0" w:type="dxa"/>
              <w:right w:w="0" w:type="dxa"/>
            </w:tcMar>
          </w:tcPr>
          <w:p w14:paraId="02E81AE7" w14:textId="77777777" w:rsidR="00641C3D" w:rsidRDefault="00641C3D" w:rsidP="001B1D2E"/>
        </w:tc>
        <w:tc>
          <w:tcPr>
            <w:tcW w:w="49" w:type="pct"/>
            <w:tcBorders>
              <w:left w:val="single" w:sz="4" w:space="0" w:color="auto"/>
            </w:tcBorders>
            <w:tcMar>
              <w:left w:w="0" w:type="dxa"/>
              <w:right w:w="0" w:type="dxa"/>
            </w:tcMar>
          </w:tcPr>
          <w:p w14:paraId="1D5CC5DE" w14:textId="77777777" w:rsidR="00641C3D" w:rsidRDefault="00641C3D" w:rsidP="001B1D2E"/>
        </w:tc>
        <w:tc>
          <w:tcPr>
            <w:tcW w:w="595" w:type="pct"/>
            <w:shd w:val="clear" w:color="auto" w:fill="E4E5E5"/>
            <w:tcMar>
              <w:left w:w="170" w:type="dxa"/>
            </w:tcMar>
          </w:tcPr>
          <w:p w14:paraId="0B1FA71A" w14:textId="325B89D1" w:rsidR="00641C3D" w:rsidRPr="000A4712" w:rsidRDefault="00641C3D" w:rsidP="001B1D2E">
            <w:pPr>
              <w:ind w:left="-57"/>
              <w:rPr>
                <w:b/>
                <w:bCs/>
              </w:rPr>
            </w:pPr>
          </w:p>
        </w:tc>
        <w:tc>
          <w:tcPr>
            <w:tcW w:w="2016" w:type="pct"/>
            <w:shd w:val="clear" w:color="auto" w:fill="E4E5E5"/>
          </w:tcPr>
          <w:p w14:paraId="585A4591" w14:textId="7CC2E453" w:rsidR="00641C3D" w:rsidRDefault="00641C3D" w:rsidP="00BA1726">
            <w:pPr>
              <w:ind w:left="-113"/>
            </w:pPr>
          </w:p>
        </w:tc>
      </w:tr>
      <w:tr w:rsidR="00641C3D" w14:paraId="71265B65" w14:textId="77777777" w:rsidTr="00641C3D">
        <w:trPr>
          <w:trHeight w:hRule="exact" w:val="567"/>
        </w:trPr>
        <w:tc>
          <w:tcPr>
            <w:tcW w:w="1320" w:type="pct"/>
            <w:shd w:val="clear" w:color="auto" w:fill="E4E5E5"/>
            <w:tcMar>
              <w:left w:w="284" w:type="dxa"/>
            </w:tcMar>
          </w:tcPr>
          <w:p w14:paraId="1BFA36C5" w14:textId="77777777" w:rsidR="00641C3D" w:rsidRDefault="00641C3D" w:rsidP="001B1D2E">
            <w:pPr>
              <w:ind w:left="-113"/>
            </w:pPr>
          </w:p>
        </w:tc>
        <w:tc>
          <w:tcPr>
            <w:tcW w:w="971" w:type="pct"/>
            <w:shd w:val="clear" w:color="auto" w:fill="E4E5E5"/>
          </w:tcPr>
          <w:p w14:paraId="6913D3AB" w14:textId="77777777" w:rsidR="00641C3D" w:rsidRDefault="00641C3D" w:rsidP="001B1D2E">
            <w:pPr>
              <w:ind w:left="-113"/>
            </w:pPr>
          </w:p>
        </w:tc>
        <w:tc>
          <w:tcPr>
            <w:tcW w:w="49" w:type="pct"/>
            <w:tcBorders>
              <w:right w:val="single" w:sz="4" w:space="0" w:color="auto"/>
            </w:tcBorders>
            <w:tcMar>
              <w:left w:w="0" w:type="dxa"/>
              <w:right w:w="0" w:type="dxa"/>
            </w:tcMar>
          </w:tcPr>
          <w:p w14:paraId="38AC387D" w14:textId="77777777" w:rsidR="00641C3D" w:rsidRDefault="00641C3D" w:rsidP="001B1D2E"/>
        </w:tc>
        <w:tc>
          <w:tcPr>
            <w:tcW w:w="49" w:type="pct"/>
            <w:tcBorders>
              <w:left w:val="single" w:sz="4" w:space="0" w:color="auto"/>
            </w:tcBorders>
            <w:tcMar>
              <w:left w:w="0" w:type="dxa"/>
              <w:right w:w="0" w:type="dxa"/>
            </w:tcMar>
          </w:tcPr>
          <w:p w14:paraId="41FFE66E" w14:textId="77777777" w:rsidR="00641C3D" w:rsidRDefault="00641C3D" w:rsidP="001B1D2E"/>
        </w:tc>
        <w:tc>
          <w:tcPr>
            <w:tcW w:w="595" w:type="pct"/>
            <w:shd w:val="clear" w:color="auto" w:fill="E4E5E5"/>
            <w:tcMar>
              <w:left w:w="170" w:type="dxa"/>
            </w:tcMar>
          </w:tcPr>
          <w:p w14:paraId="1137EDB2" w14:textId="60CF46D5" w:rsidR="00641C3D" w:rsidRPr="000A4712" w:rsidRDefault="00641C3D" w:rsidP="001B1D2E">
            <w:pPr>
              <w:ind w:left="-57"/>
              <w:rPr>
                <w:b/>
                <w:bCs/>
              </w:rPr>
            </w:pPr>
          </w:p>
        </w:tc>
        <w:tc>
          <w:tcPr>
            <w:tcW w:w="2016" w:type="pct"/>
            <w:shd w:val="clear" w:color="auto" w:fill="E4E5E5"/>
          </w:tcPr>
          <w:p w14:paraId="29A67013" w14:textId="0ADD4547" w:rsidR="00641C3D" w:rsidRDefault="00641C3D" w:rsidP="001B1D2E">
            <w:pPr>
              <w:ind w:left="-113"/>
            </w:pPr>
          </w:p>
        </w:tc>
      </w:tr>
    </w:tbl>
    <w:p w14:paraId="678D315E" w14:textId="77777777" w:rsidR="00D136BA" w:rsidRPr="00E80DD4" w:rsidRDefault="00D136BA" w:rsidP="009104CA">
      <w:pPr>
        <w:rPr>
          <w:rStyle w:val="oStyle4pt"/>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36774"/>
        <w:tblLook w:val="04A0" w:firstRow="1" w:lastRow="0" w:firstColumn="1" w:lastColumn="0" w:noHBand="0" w:noVBand="1"/>
      </w:tblPr>
      <w:tblGrid>
        <w:gridCol w:w="9740"/>
      </w:tblGrid>
      <w:tr w:rsidR="00D136BA" w:rsidRPr="00A55BE9" w14:paraId="1074E571" w14:textId="77777777" w:rsidTr="003964D4">
        <w:tc>
          <w:tcPr>
            <w:tcW w:w="5000" w:type="pct"/>
            <w:shd w:val="clear" w:color="auto" w:fill="336774"/>
          </w:tcPr>
          <w:p w14:paraId="2EABD0C5" w14:textId="77777777" w:rsidR="00D136BA" w:rsidRPr="00A55BE9" w:rsidRDefault="00D136BA" w:rsidP="009104CA">
            <w:pPr>
              <w:rPr>
                <w:sz w:val="8"/>
                <w:szCs w:val="8"/>
              </w:rPr>
            </w:pPr>
          </w:p>
        </w:tc>
      </w:tr>
    </w:tbl>
    <w:p w14:paraId="6F92EBA7" w14:textId="77777777" w:rsidR="00F63F1D" w:rsidRDefault="00F63F1D" w:rsidP="00F63F1D">
      <w:pPr>
        <w:ind w:left="-709"/>
      </w:pPr>
    </w:p>
    <w:p w14:paraId="72674A12" w14:textId="77777777" w:rsidR="00F63F1D" w:rsidRDefault="00F63F1D" w:rsidP="00F63F1D">
      <w:pPr>
        <w:ind w:left="-709"/>
      </w:pPr>
    </w:p>
    <w:p w14:paraId="7F917DA9" w14:textId="77777777" w:rsidR="00F63F1D" w:rsidRPr="00E36163" w:rsidRDefault="00F63F1D" w:rsidP="003964D4">
      <w:pPr>
        <w:rPr>
          <w:b/>
        </w:rPr>
      </w:pPr>
      <w:r w:rsidRPr="00E36163">
        <w:rPr>
          <w:b/>
        </w:rPr>
        <w:t>Overview:</w:t>
      </w:r>
    </w:p>
    <w:p w14:paraId="0B8EB69B" w14:textId="77777777" w:rsidR="0001401F" w:rsidRDefault="0001401F" w:rsidP="003964D4">
      <w:pPr>
        <w:tabs>
          <w:tab w:val="left" w:pos="2581"/>
        </w:tabs>
      </w:pPr>
    </w:p>
    <w:p w14:paraId="7D0015AC" w14:textId="33F5CD57" w:rsidR="001B19FD" w:rsidRDefault="00BA1726" w:rsidP="003964D4">
      <w:pPr>
        <w:tabs>
          <w:tab w:val="left" w:pos="2581"/>
        </w:tabs>
      </w:pPr>
      <w:r>
        <w:t>This document describes the l</w:t>
      </w:r>
      <w:r w:rsidR="00017E76">
        <w:t xml:space="preserve">ogical architecture of the new </w:t>
      </w:r>
      <w:r w:rsidR="00CE1E73">
        <w:t>S</w:t>
      </w:r>
      <w:r w:rsidR="00125818">
        <w:t>witching A</w:t>
      </w:r>
      <w:r w:rsidR="00C07C5F">
        <w:t>rrangements</w:t>
      </w:r>
      <w:r>
        <w:t xml:space="preserve">. It identifies changes that will need to be made by </w:t>
      </w:r>
      <w:r w:rsidR="00017E76">
        <w:t>Market Participants</w:t>
      </w:r>
      <w:r>
        <w:t xml:space="preserve"> and Central Data Service </w:t>
      </w:r>
      <w:r w:rsidR="00610D4F">
        <w:t>Operator</w:t>
      </w:r>
      <w:r w:rsidR="00125818">
        <w:t>s in order to support the new a</w:t>
      </w:r>
      <w:r>
        <w:t>rrangements and describes the inter</w:t>
      </w:r>
      <w:r w:rsidR="00017E76">
        <w:t>actions</w:t>
      </w:r>
      <w:r>
        <w:t xml:space="preserve"> between these organisations and </w:t>
      </w:r>
      <w:r w:rsidR="00783488">
        <w:t>the Central Switching System (</w:t>
      </w:r>
      <w:r>
        <w:t>CSS</w:t>
      </w:r>
      <w:r w:rsidR="00783488">
        <w:t>)</w:t>
      </w:r>
      <w:r>
        <w:t xml:space="preserve">. </w:t>
      </w:r>
      <w:r w:rsidR="00155397">
        <w:t xml:space="preserve">The changes are summarised and ordered to aid reference by each organisation. </w:t>
      </w:r>
      <w:r>
        <w:t xml:space="preserve">It classifies each interaction, using a defined set of logical patterns. </w:t>
      </w:r>
    </w:p>
    <w:p w14:paraId="46C10BB9" w14:textId="00AE25CC" w:rsidR="008653BE" w:rsidRDefault="008653BE" w:rsidP="003964D4">
      <w:pPr>
        <w:tabs>
          <w:tab w:val="left" w:pos="2581"/>
        </w:tabs>
      </w:pPr>
    </w:p>
    <w:p w14:paraId="33ECC113" w14:textId="03B0A607" w:rsidR="008653BE" w:rsidRDefault="008653BE" w:rsidP="003964D4">
      <w:pPr>
        <w:tabs>
          <w:tab w:val="left" w:pos="2581"/>
        </w:tabs>
      </w:pPr>
      <w:r>
        <w:rPr>
          <w:i/>
          <w:iCs/>
          <w:szCs w:val="20"/>
        </w:rPr>
        <w:t>This document provides illustrative information on how central systems will operate. These requirements may be updated as the design progresses from the logical to the physical level. In particular, updates may be required as a result of procurement of the CSS as well as development of the changes needed to other central data services, such as UK Link and MPAS, which are being progressed under the UNC and MRA.</w:t>
      </w:r>
    </w:p>
    <w:p w14:paraId="4653DD09" w14:textId="77777777" w:rsidR="00783488" w:rsidRDefault="00783488" w:rsidP="003964D4">
      <w:pPr>
        <w:tabs>
          <w:tab w:val="left" w:pos="2581"/>
        </w:tabs>
      </w:pPr>
    </w:p>
    <w:p w14:paraId="074C5EA0" w14:textId="77777777" w:rsidR="009C1B17" w:rsidRDefault="009C1B17" w:rsidP="0039452D">
      <w:pPr>
        <w:tabs>
          <w:tab w:val="left" w:pos="2581"/>
        </w:tabs>
        <w:ind w:left="-709"/>
      </w:pPr>
    </w:p>
    <w:p w14:paraId="17D6CC69" w14:textId="77777777" w:rsidR="0001401F" w:rsidRDefault="0001401F" w:rsidP="0039452D">
      <w:pPr>
        <w:tabs>
          <w:tab w:val="left" w:pos="2581"/>
        </w:tabs>
        <w:ind w:left="-709"/>
      </w:pPr>
    </w:p>
    <w:p w14:paraId="266C9909" w14:textId="4732510E" w:rsidR="00763029" w:rsidRDefault="00763029" w:rsidP="003964D4">
      <w:r>
        <w:br w:type="page"/>
      </w:r>
    </w:p>
    <w:p w14:paraId="05FF9A25" w14:textId="13D0CD53" w:rsidR="005B02CC" w:rsidRDefault="00627AF3" w:rsidP="00017E76">
      <w:pPr>
        <w:pStyle w:val="SameasHeading1butdoesnotappearinTableofContents"/>
        <w:jc w:val="center"/>
      </w:pPr>
      <w:bookmarkStart w:id="1" w:name="_Toc284412115"/>
      <w:r>
        <w:lastRenderedPageBreak/>
        <w:t xml:space="preserve">Associated </w:t>
      </w:r>
      <w:r w:rsidR="00543BFB">
        <w:t>D</w:t>
      </w:r>
      <w:r>
        <w:t>ocuments</w:t>
      </w:r>
      <w:bookmarkStart w:id="2" w:name="_Toc284412116"/>
      <w:bookmarkEnd w:id="1"/>
    </w:p>
    <w:tbl>
      <w:tblPr>
        <w:tblStyle w:val="TableTemplate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856"/>
        <w:gridCol w:w="7023"/>
        <w:gridCol w:w="1851"/>
      </w:tblGrid>
      <w:tr w:rsidR="005B02CC" w:rsidRPr="00EC5868" w14:paraId="6AFB367E" w14:textId="77777777" w:rsidTr="00CF0573">
        <w:trPr>
          <w:cnfStyle w:val="100000000000" w:firstRow="1" w:lastRow="0" w:firstColumn="0" w:lastColumn="0" w:oddVBand="0" w:evenVBand="0" w:oddHBand="0" w:evenHBand="0" w:firstRowFirstColumn="0" w:firstRowLastColumn="0" w:lastRowFirstColumn="0" w:lastRowLastColumn="0"/>
        </w:trPr>
        <w:tc>
          <w:tcPr>
            <w:tcW w:w="440" w:type="pct"/>
            <w:shd w:val="clear" w:color="auto" w:fill="A6A6A6" w:themeFill="background1" w:themeFillShade="A6"/>
            <w:vAlign w:val="top"/>
            <w:hideMark/>
          </w:tcPr>
          <w:p w14:paraId="39C94200" w14:textId="77777777" w:rsidR="005B02CC" w:rsidRPr="003568B8" w:rsidRDefault="005B02CC" w:rsidP="00CF0573">
            <w:pPr>
              <w:pStyle w:val="TableHeadings"/>
            </w:pPr>
            <w:bookmarkStart w:id="3" w:name="_Hlk497208131"/>
            <w:r>
              <w:t>Ref.</w:t>
            </w:r>
          </w:p>
        </w:tc>
        <w:tc>
          <w:tcPr>
            <w:tcW w:w="3609" w:type="pct"/>
            <w:shd w:val="clear" w:color="auto" w:fill="A6A6A6" w:themeFill="background1" w:themeFillShade="A6"/>
            <w:vAlign w:val="top"/>
            <w:hideMark/>
          </w:tcPr>
          <w:p w14:paraId="78F5DB8E" w14:textId="77777777" w:rsidR="005B02CC" w:rsidRPr="00EC2C82" w:rsidRDefault="005B02CC" w:rsidP="00CF0573">
            <w:pPr>
              <w:pStyle w:val="TableHeadings"/>
            </w:pPr>
            <w:r>
              <w:t>Document Title or Name</w:t>
            </w:r>
          </w:p>
        </w:tc>
        <w:tc>
          <w:tcPr>
            <w:tcW w:w="951" w:type="pct"/>
            <w:shd w:val="clear" w:color="auto" w:fill="A6A6A6" w:themeFill="background1" w:themeFillShade="A6"/>
            <w:vAlign w:val="top"/>
            <w:hideMark/>
          </w:tcPr>
          <w:p w14:paraId="0AF4C376" w14:textId="77777777" w:rsidR="005B02CC" w:rsidRPr="003568B8" w:rsidRDefault="005B02CC" w:rsidP="00CF0573">
            <w:pPr>
              <w:pStyle w:val="TableHeadings"/>
            </w:pPr>
            <w:r>
              <w:t>Version / Date</w:t>
            </w:r>
          </w:p>
        </w:tc>
      </w:tr>
      <w:tr w:rsidR="005B02CC" w:rsidRPr="00EC5868" w14:paraId="26A08FAC" w14:textId="77777777" w:rsidTr="00CF0573">
        <w:trPr>
          <w:cnfStyle w:val="000000100000" w:firstRow="0" w:lastRow="0" w:firstColumn="0" w:lastColumn="0" w:oddVBand="0" w:evenVBand="0" w:oddHBand="1" w:evenHBand="0" w:firstRowFirstColumn="0" w:firstRowLastColumn="0" w:lastRowFirstColumn="0" w:lastRowLastColumn="0"/>
          <w:trHeight w:val="372"/>
        </w:trPr>
        <w:tc>
          <w:tcPr>
            <w:tcW w:w="440" w:type="pct"/>
            <w:shd w:val="clear" w:color="auto" w:fill="auto"/>
            <w:vAlign w:val="top"/>
          </w:tcPr>
          <w:p w14:paraId="42667B8E" w14:textId="0E09F60F" w:rsidR="005B02CC" w:rsidRPr="00EC5868" w:rsidRDefault="00782AC2" w:rsidP="00CF0573">
            <w:pPr>
              <w:pStyle w:val="TableText-Left"/>
            </w:pPr>
            <w:bookmarkStart w:id="4" w:name="NFR_ref"/>
            <w:bookmarkStart w:id="5" w:name="D_1"/>
            <w:r>
              <w:t>[</w:t>
            </w:r>
            <w:r w:rsidR="005B02CC">
              <w:t>1</w:t>
            </w:r>
            <w:r>
              <w:t>]</w:t>
            </w:r>
            <w:bookmarkEnd w:id="4"/>
            <w:bookmarkEnd w:id="5"/>
          </w:p>
        </w:tc>
        <w:tc>
          <w:tcPr>
            <w:tcW w:w="3609" w:type="pct"/>
            <w:shd w:val="clear" w:color="auto" w:fill="auto"/>
            <w:vAlign w:val="top"/>
          </w:tcPr>
          <w:p w14:paraId="709ED31F" w14:textId="77777777" w:rsidR="005B02CC" w:rsidRPr="00EC5868" w:rsidRDefault="00765CF1" w:rsidP="00CF0573">
            <w:pPr>
              <w:pStyle w:val="TableText-Left"/>
            </w:pPr>
            <w:r>
              <w:t>D-</w:t>
            </w:r>
            <w:r w:rsidR="005B02CC">
              <w:t>1.1 Architectural Principles</w:t>
            </w:r>
          </w:p>
        </w:tc>
        <w:tc>
          <w:tcPr>
            <w:tcW w:w="951" w:type="pct"/>
            <w:shd w:val="clear" w:color="auto" w:fill="auto"/>
            <w:vAlign w:val="top"/>
          </w:tcPr>
          <w:p w14:paraId="1816329E" w14:textId="16D81379" w:rsidR="005B02CC" w:rsidRPr="00EC5868" w:rsidRDefault="00D0240C" w:rsidP="00CF0573">
            <w:pPr>
              <w:pStyle w:val="TableText-Left"/>
            </w:pPr>
            <w:r>
              <w:t>TDA paper 20/03/2017</w:t>
            </w:r>
          </w:p>
        </w:tc>
      </w:tr>
      <w:tr w:rsidR="00017E76" w:rsidRPr="00EC5868" w14:paraId="52102A48" w14:textId="77777777" w:rsidTr="00CF0573">
        <w:trPr>
          <w:cnfStyle w:val="000000010000" w:firstRow="0" w:lastRow="0" w:firstColumn="0" w:lastColumn="0" w:oddVBand="0" w:evenVBand="0" w:oddHBand="0" w:evenHBand="1" w:firstRowFirstColumn="0" w:firstRowLastColumn="0" w:lastRowFirstColumn="0" w:lastRowLastColumn="0"/>
        </w:trPr>
        <w:tc>
          <w:tcPr>
            <w:tcW w:w="440" w:type="pct"/>
            <w:shd w:val="clear" w:color="auto" w:fill="auto"/>
            <w:vAlign w:val="top"/>
          </w:tcPr>
          <w:p w14:paraId="78B47CC4" w14:textId="36ADBC43" w:rsidR="00017E76" w:rsidRPr="00EC5868" w:rsidRDefault="00834407" w:rsidP="0064655A">
            <w:pPr>
              <w:pStyle w:val="TableText-Left"/>
            </w:pPr>
            <w:bookmarkStart w:id="6" w:name="D_4_1_2"/>
            <w:r>
              <w:t>[</w:t>
            </w:r>
            <w:r w:rsidR="00017E76">
              <w:t>2</w:t>
            </w:r>
            <w:r>
              <w:t>]</w:t>
            </w:r>
            <w:bookmarkEnd w:id="6"/>
          </w:p>
        </w:tc>
        <w:tc>
          <w:tcPr>
            <w:tcW w:w="3609" w:type="pct"/>
            <w:shd w:val="clear" w:color="auto" w:fill="auto"/>
            <w:vAlign w:val="top"/>
          </w:tcPr>
          <w:p w14:paraId="3F236FC0" w14:textId="77777777" w:rsidR="00017E76" w:rsidRDefault="00017E76" w:rsidP="0064655A">
            <w:pPr>
              <w:pStyle w:val="TableText-Left"/>
            </w:pPr>
            <w:r>
              <w:t>D-4.1.2 E2E Detailed Design Model (ABACUS Switching Design Repository)</w:t>
            </w:r>
          </w:p>
          <w:p w14:paraId="4D82FF07" w14:textId="77777777" w:rsidR="00017E76" w:rsidRPr="00EC5868" w:rsidRDefault="00017E76" w:rsidP="0064655A">
            <w:pPr>
              <w:pStyle w:val="TableText-Left"/>
            </w:pPr>
            <w:r>
              <w:t xml:space="preserve">Note that this product also fulfils D-4.1.3 Data Architecture and Data Governance </w:t>
            </w:r>
          </w:p>
        </w:tc>
        <w:tc>
          <w:tcPr>
            <w:tcW w:w="951" w:type="pct"/>
            <w:shd w:val="clear" w:color="auto" w:fill="auto"/>
            <w:vAlign w:val="top"/>
          </w:tcPr>
          <w:p w14:paraId="4A43C4EE" w14:textId="77777777" w:rsidR="00C6179F" w:rsidRDefault="00C6179F" w:rsidP="00C6179F">
            <w:pPr>
              <w:pStyle w:val="TableText-Left"/>
            </w:pPr>
            <w:r>
              <w:t xml:space="preserve">V4.1 </w:t>
            </w:r>
          </w:p>
          <w:p w14:paraId="357E870F" w14:textId="24E6AC63" w:rsidR="00017E76" w:rsidRPr="00EC5868" w:rsidRDefault="00C6179F" w:rsidP="00C6179F">
            <w:pPr>
              <w:pStyle w:val="TableText-Left"/>
            </w:pPr>
            <w:r>
              <w:t>30/05/2019</w:t>
            </w:r>
          </w:p>
        </w:tc>
      </w:tr>
      <w:tr w:rsidR="00017E76" w:rsidRPr="00EC5868" w14:paraId="4E9F02A2" w14:textId="77777777" w:rsidTr="00CF0573">
        <w:trPr>
          <w:cnfStyle w:val="000000100000" w:firstRow="0" w:lastRow="0" w:firstColumn="0" w:lastColumn="0" w:oddVBand="0" w:evenVBand="0" w:oddHBand="1" w:evenHBand="0" w:firstRowFirstColumn="0" w:firstRowLastColumn="0" w:lastRowFirstColumn="0" w:lastRowLastColumn="0"/>
        </w:trPr>
        <w:tc>
          <w:tcPr>
            <w:tcW w:w="440" w:type="pct"/>
            <w:shd w:val="clear" w:color="auto" w:fill="auto"/>
            <w:vAlign w:val="top"/>
          </w:tcPr>
          <w:p w14:paraId="5132F235" w14:textId="0C12575A" w:rsidR="00017E76" w:rsidRPr="00EC5868" w:rsidRDefault="00782AC2" w:rsidP="0064655A">
            <w:pPr>
              <w:pStyle w:val="TableText-Left"/>
            </w:pPr>
            <w:bookmarkStart w:id="7" w:name="D_4_1_4"/>
            <w:r>
              <w:t>[</w:t>
            </w:r>
            <w:r w:rsidR="00017E76">
              <w:t>3</w:t>
            </w:r>
            <w:r>
              <w:t>]</w:t>
            </w:r>
            <w:bookmarkEnd w:id="7"/>
          </w:p>
        </w:tc>
        <w:tc>
          <w:tcPr>
            <w:tcW w:w="3609" w:type="pct"/>
            <w:shd w:val="clear" w:color="auto" w:fill="auto"/>
            <w:vAlign w:val="top"/>
          </w:tcPr>
          <w:p w14:paraId="2A82C43B" w14:textId="77777777" w:rsidR="00017E76" w:rsidRPr="00EC5868" w:rsidRDefault="00017E76" w:rsidP="0064655A">
            <w:pPr>
              <w:pStyle w:val="TableText-Left"/>
            </w:pPr>
            <w:r>
              <w:t>D-4.1.4 E2E Switching Arrangements NFR</w:t>
            </w:r>
          </w:p>
        </w:tc>
        <w:tc>
          <w:tcPr>
            <w:tcW w:w="951" w:type="pct"/>
            <w:shd w:val="clear" w:color="auto" w:fill="auto"/>
            <w:vAlign w:val="top"/>
          </w:tcPr>
          <w:p w14:paraId="75AED144" w14:textId="07ED0ED0" w:rsidR="00017E76" w:rsidRPr="00EC5868" w:rsidRDefault="008653BE" w:rsidP="0064655A">
            <w:pPr>
              <w:pStyle w:val="TableText-Left"/>
            </w:pPr>
            <w:r>
              <w:t>22</w:t>
            </w:r>
            <w:r w:rsidR="009F6E77">
              <w:t>/06</w:t>
            </w:r>
            <w:r w:rsidR="00017E76">
              <w:t>/2018</w:t>
            </w:r>
          </w:p>
        </w:tc>
      </w:tr>
      <w:tr w:rsidR="00017E76" w:rsidRPr="00EC5868" w14:paraId="5CDE26FE" w14:textId="77777777" w:rsidTr="00CF0573">
        <w:trPr>
          <w:cnfStyle w:val="000000010000" w:firstRow="0" w:lastRow="0" w:firstColumn="0" w:lastColumn="0" w:oddVBand="0" w:evenVBand="0" w:oddHBand="0" w:evenHBand="1" w:firstRowFirstColumn="0" w:firstRowLastColumn="0" w:lastRowFirstColumn="0" w:lastRowLastColumn="0"/>
          <w:trHeight w:val="372"/>
        </w:trPr>
        <w:tc>
          <w:tcPr>
            <w:tcW w:w="440" w:type="pct"/>
            <w:shd w:val="clear" w:color="auto" w:fill="auto"/>
            <w:vAlign w:val="top"/>
          </w:tcPr>
          <w:p w14:paraId="4534CE1A" w14:textId="4086B100" w:rsidR="00017E76" w:rsidRPr="00EC5868" w:rsidRDefault="00834407" w:rsidP="0064655A">
            <w:pPr>
              <w:pStyle w:val="TableText-Left"/>
            </w:pPr>
            <w:bookmarkStart w:id="8" w:name="D_4_1_6"/>
            <w:r>
              <w:t>[</w:t>
            </w:r>
            <w:r w:rsidR="00017E76">
              <w:t>4</w:t>
            </w:r>
            <w:r>
              <w:t>]</w:t>
            </w:r>
            <w:bookmarkEnd w:id="8"/>
          </w:p>
        </w:tc>
        <w:tc>
          <w:tcPr>
            <w:tcW w:w="3609" w:type="pct"/>
            <w:shd w:val="clear" w:color="auto" w:fill="auto"/>
            <w:vAlign w:val="top"/>
          </w:tcPr>
          <w:p w14:paraId="15D39FB4" w14:textId="77777777" w:rsidR="00017E76" w:rsidRPr="00EC5868" w:rsidRDefault="00017E76" w:rsidP="0064655A">
            <w:pPr>
              <w:pStyle w:val="TableText-Left"/>
            </w:pPr>
            <w:r>
              <w:t>D-4.1.6 E2E Operational Choreography</w:t>
            </w:r>
          </w:p>
        </w:tc>
        <w:tc>
          <w:tcPr>
            <w:tcW w:w="951" w:type="pct"/>
            <w:shd w:val="clear" w:color="auto" w:fill="auto"/>
            <w:vAlign w:val="top"/>
          </w:tcPr>
          <w:p w14:paraId="72A27136" w14:textId="075D0DAB" w:rsidR="00017E76" w:rsidRPr="00EC5868" w:rsidRDefault="00020BDA" w:rsidP="0064655A">
            <w:pPr>
              <w:pStyle w:val="TableText-Left"/>
            </w:pPr>
            <w:r>
              <w:t>30</w:t>
            </w:r>
            <w:r w:rsidR="00017E76">
              <w:t>/</w:t>
            </w:r>
            <w:r>
              <w:t>11</w:t>
            </w:r>
            <w:r w:rsidR="00017E76">
              <w:t>/2018</w:t>
            </w:r>
          </w:p>
        </w:tc>
      </w:tr>
      <w:tr w:rsidR="00017E76" w:rsidRPr="00EC5868" w14:paraId="425924A2" w14:textId="77777777" w:rsidTr="00CF0573">
        <w:trPr>
          <w:cnfStyle w:val="000000100000" w:firstRow="0" w:lastRow="0" w:firstColumn="0" w:lastColumn="0" w:oddVBand="0" w:evenVBand="0" w:oddHBand="1" w:evenHBand="0" w:firstRowFirstColumn="0" w:firstRowLastColumn="0" w:lastRowFirstColumn="0" w:lastRowLastColumn="0"/>
        </w:trPr>
        <w:tc>
          <w:tcPr>
            <w:tcW w:w="440" w:type="pct"/>
            <w:shd w:val="clear" w:color="auto" w:fill="auto"/>
            <w:vAlign w:val="top"/>
          </w:tcPr>
          <w:p w14:paraId="065FD7B6" w14:textId="2A06F85E" w:rsidR="00017E76" w:rsidRPr="00EC5868" w:rsidRDefault="00834407" w:rsidP="0064655A">
            <w:pPr>
              <w:pStyle w:val="TableText-Left"/>
            </w:pPr>
            <w:bookmarkStart w:id="9" w:name="D_4_1_9"/>
            <w:r>
              <w:t>[</w:t>
            </w:r>
            <w:r w:rsidR="00AD4B48">
              <w:t>5</w:t>
            </w:r>
            <w:r>
              <w:t>]</w:t>
            </w:r>
            <w:bookmarkEnd w:id="9"/>
          </w:p>
        </w:tc>
        <w:tc>
          <w:tcPr>
            <w:tcW w:w="3609" w:type="pct"/>
            <w:shd w:val="clear" w:color="auto" w:fill="auto"/>
            <w:vAlign w:val="top"/>
          </w:tcPr>
          <w:p w14:paraId="25E3053C" w14:textId="77777777" w:rsidR="00017E76" w:rsidRPr="00EC5868" w:rsidRDefault="00017E76" w:rsidP="0064655A">
            <w:pPr>
              <w:pStyle w:val="TableText-Left"/>
            </w:pPr>
            <w:r>
              <w:t>D-4.1.9 E2E Switching Service Management Strategy</w:t>
            </w:r>
          </w:p>
        </w:tc>
        <w:tc>
          <w:tcPr>
            <w:tcW w:w="951" w:type="pct"/>
            <w:shd w:val="clear" w:color="auto" w:fill="auto"/>
            <w:vAlign w:val="top"/>
          </w:tcPr>
          <w:p w14:paraId="114C9768" w14:textId="5CEED5A1" w:rsidR="00017E76" w:rsidRPr="00EC5868" w:rsidRDefault="00017E76" w:rsidP="0064655A">
            <w:pPr>
              <w:pStyle w:val="TableText-Left"/>
            </w:pPr>
            <w:r>
              <w:t>12/02/2018</w:t>
            </w:r>
          </w:p>
        </w:tc>
      </w:tr>
      <w:tr w:rsidR="00017E76" w:rsidRPr="00EC5868" w14:paraId="231B6B2B" w14:textId="77777777" w:rsidTr="00CF0573">
        <w:trPr>
          <w:cnfStyle w:val="000000010000" w:firstRow="0" w:lastRow="0" w:firstColumn="0" w:lastColumn="0" w:oddVBand="0" w:evenVBand="0" w:oddHBand="0" w:evenHBand="1" w:firstRowFirstColumn="0" w:firstRowLastColumn="0" w:lastRowFirstColumn="0" w:lastRowLastColumn="0"/>
          <w:trHeight w:val="372"/>
        </w:trPr>
        <w:tc>
          <w:tcPr>
            <w:tcW w:w="440" w:type="pct"/>
            <w:shd w:val="clear" w:color="auto" w:fill="auto"/>
            <w:vAlign w:val="top"/>
          </w:tcPr>
          <w:p w14:paraId="70DF2900" w14:textId="0EEC22F0" w:rsidR="00017E76" w:rsidRPr="00EC5868" w:rsidRDefault="00834407" w:rsidP="0064655A">
            <w:pPr>
              <w:pStyle w:val="TableText-Left"/>
            </w:pPr>
            <w:bookmarkStart w:id="10" w:name="D_4_1_10_1"/>
            <w:r>
              <w:t>[</w:t>
            </w:r>
            <w:r w:rsidR="00F03AB2">
              <w:t>6</w:t>
            </w:r>
            <w:r>
              <w:t>]</w:t>
            </w:r>
            <w:bookmarkEnd w:id="10"/>
          </w:p>
        </w:tc>
        <w:tc>
          <w:tcPr>
            <w:tcW w:w="3609" w:type="pct"/>
            <w:shd w:val="clear" w:color="auto" w:fill="auto"/>
            <w:vAlign w:val="top"/>
          </w:tcPr>
          <w:p w14:paraId="3C34D026" w14:textId="77777777" w:rsidR="00017E76" w:rsidRPr="00EC5868" w:rsidRDefault="00017E76" w:rsidP="0064655A">
            <w:pPr>
              <w:pStyle w:val="TableText-Left"/>
            </w:pPr>
            <w:r>
              <w:t>D-4.1.10.1 E2E Security Architecture</w:t>
            </w:r>
          </w:p>
        </w:tc>
        <w:tc>
          <w:tcPr>
            <w:tcW w:w="951" w:type="pct"/>
            <w:shd w:val="clear" w:color="auto" w:fill="auto"/>
            <w:vAlign w:val="top"/>
          </w:tcPr>
          <w:p w14:paraId="5122120D" w14:textId="3CF65EBE" w:rsidR="00017E76" w:rsidRPr="00EC5868" w:rsidRDefault="00017E76" w:rsidP="0064655A">
            <w:pPr>
              <w:pStyle w:val="TableText-Left"/>
            </w:pPr>
            <w:r>
              <w:t>12/02/2018</w:t>
            </w:r>
          </w:p>
        </w:tc>
      </w:tr>
      <w:tr w:rsidR="00017E76" w:rsidRPr="00EC5868" w14:paraId="4041D491" w14:textId="77777777" w:rsidTr="00CF0573">
        <w:trPr>
          <w:cnfStyle w:val="000000100000" w:firstRow="0" w:lastRow="0" w:firstColumn="0" w:lastColumn="0" w:oddVBand="0" w:evenVBand="0" w:oddHBand="1" w:evenHBand="0" w:firstRowFirstColumn="0" w:firstRowLastColumn="0" w:lastRowFirstColumn="0" w:lastRowLastColumn="0"/>
          <w:trHeight w:val="372"/>
        </w:trPr>
        <w:tc>
          <w:tcPr>
            <w:tcW w:w="440" w:type="pct"/>
            <w:shd w:val="clear" w:color="auto" w:fill="auto"/>
            <w:vAlign w:val="top"/>
          </w:tcPr>
          <w:p w14:paraId="5A9A1641" w14:textId="4FE108F7" w:rsidR="00017E76" w:rsidRPr="00EC5868" w:rsidRDefault="00834407" w:rsidP="0064655A">
            <w:pPr>
              <w:pStyle w:val="TableText-Left"/>
            </w:pPr>
            <w:bookmarkStart w:id="11" w:name="D_4_1"/>
            <w:r>
              <w:t>[</w:t>
            </w:r>
            <w:r w:rsidR="00F03AB2">
              <w:t>7</w:t>
            </w:r>
            <w:r>
              <w:t>]</w:t>
            </w:r>
            <w:bookmarkEnd w:id="11"/>
          </w:p>
        </w:tc>
        <w:tc>
          <w:tcPr>
            <w:tcW w:w="3609" w:type="pct"/>
            <w:shd w:val="clear" w:color="auto" w:fill="auto"/>
            <w:vAlign w:val="top"/>
          </w:tcPr>
          <w:p w14:paraId="64549C92" w14:textId="67893A1F" w:rsidR="00017E76" w:rsidRPr="00EC5868" w:rsidRDefault="00017E76" w:rsidP="0064655A">
            <w:pPr>
              <w:pStyle w:val="TableText-Left"/>
            </w:pPr>
            <w:r>
              <w:t>D- 4.1 – DB3 E2E Design Assumptions</w:t>
            </w:r>
          </w:p>
        </w:tc>
        <w:tc>
          <w:tcPr>
            <w:tcW w:w="951" w:type="pct"/>
            <w:shd w:val="clear" w:color="auto" w:fill="auto"/>
            <w:vAlign w:val="top"/>
          </w:tcPr>
          <w:p w14:paraId="1D076887" w14:textId="15911793" w:rsidR="00017E76" w:rsidRPr="00EC5868" w:rsidRDefault="00017E76" w:rsidP="0064655A">
            <w:pPr>
              <w:pStyle w:val="TableText-Left"/>
            </w:pPr>
            <w:r>
              <w:t>12/02/2018</w:t>
            </w:r>
          </w:p>
        </w:tc>
      </w:tr>
      <w:bookmarkEnd w:id="3"/>
    </w:tbl>
    <w:p w14:paraId="370F6DC9" w14:textId="77777777" w:rsidR="00B95AE2" w:rsidRDefault="00B95AE2" w:rsidP="00D02384">
      <w:pPr>
        <w:pStyle w:val="BodyTextNormal"/>
      </w:pPr>
    </w:p>
    <w:p w14:paraId="6D85698A" w14:textId="77777777" w:rsidR="00B95AE2" w:rsidRDefault="00B95AE2" w:rsidP="00D02384">
      <w:pPr>
        <w:pStyle w:val="BodyTextNormal"/>
      </w:pPr>
    </w:p>
    <w:p w14:paraId="5D631FB2" w14:textId="77777777" w:rsidR="00B95AE2" w:rsidRDefault="00B95AE2" w:rsidP="00B95AE2">
      <w:pPr>
        <w:pStyle w:val="SameasHeading1butdoesnotappearinTableofContents"/>
      </w:pPr>
      <w:r>
        <w:t>Version control</w:t>
      </w:r>
    </w:p>
    <w:tbl>
      <w:tblPr>
        <w:tblStyle w:val="TableGrid"/>
        <w:tblW w:w="0" w:type="auto"/>
        <w:tblLook w:val="04A0" w:firstRow="1" w:lastRow="0" w:firstColumn="1" w:lastColumn="0" w:noHBand="0" w:noVBand="1"/>
      </w:tblPr>
      <w:tblGrid>
        <w:gridCol w:w="1973"/>
        <w:gridCol w:w="2930"/>
        <w:gridCol w:w="4158"/>
      </w:tblGrid>
      <w:tr w:rsidR="00B95AE2" w:rsidRPr="00E431D1" w14:paraId="0C5D7193" w14:textId="77777777" w:rsidTr="00A932B6">
        <w:tc>
          <w:tcPr>
            <w:tcW w:w="1973" w:type="dxa"/>
          </w:tcPr>
          <w:p w14:paraId="3EC3C8E7" w14:textId="77777777" w:rsidR="00B95AE2" w:rsidRPr="00E431D1" w:rsidRDefault="00B95AE2" w:rsidP="00DC25A2">
            <w:pPr>
              <w:rPr>
                <w:b/>
              </w:rPr>
            </w:pPr>
            <w:r w:rsidRPr="00E431D1">
              <w:rPr>
                <w:b/>
              </w:rPr>
              <w:t>Revision Date</w:t>
            </w:r>
          </w:p>
        </w:tc>
        <w:tc>
          <w:tcPr>
            <w:tcW w:w="2930" w:type="dxa"/>
          </w:tcPr>
          <w:p w14:paraId="77FF2C91" w14:textId="77777777" w:rsidR="00B95AE2" w:rsidRPr="00E431D1" w:rsidRDefault="00B95AE2" w:rsidP="00DC25A2">
            <w:pPr>
              <w:rPr>
                <w:b/>
              </w:rPr>
            </w:pPr>
            <w:r w:rsidRPr="00E431D1">
              <w:rPr>
                <w:b/>
              </w:rPr>
              <w:t xml:space="preserve">Version </w:t>
            </w:r>
          </w:p>
        </w:tc>
        <w:tc>
          <w:tcPr>
            <w:tcW w:w="4158" w:type="dxa"/>
          </w:tcPr>
          <w:p w14:paraId="135DB109" w14:textId="77777777" w:rsidR="00B95AE2" w:rsidRPr="00E431D1" w:rsidRDefault="00B95AE2" w:rsidP="00DC25A2">
            <w:pPr>
              <w:rPr>
                <w:b/>
              </w:rPr>
            </w:pPr>
            <w:r w:rsidRPr="00E431D1">
              <w:rPr>
                <w:b/>
              </w:rPr>
              <w:t>Summary of changes</w:t>
            </w:r>
          </w:p>
        </w:tc>
      </w:tr>
      <w:tr w:rsidR="00B95AE2" w14:paraId="02D4D3D9" w14:textId="77777777" w:rsidTr="00A932B6">
        <w:tc>
          <w:tcPr>
            <w:tcW w:w="1973" w:type="dxa"/>
          </w:tcPr>
          <w:p w14:paraId="77DADCEE" w14:textId="77777777" w:rsidR="00B95AE2" w:rsidRDefault="00B95AE2" w:rsidP="00DC25A2">
            <w:r>
              <w:t>15/02/2018</w:t>
            </w:r>
          </w:p>
        </w:tc>
        <w:tc>
          <w:tcPr>
            <w:tcW w:w="2930" w:type="dxa"/>
          </w:tcPr>
          <w:p w14:paraId="225A9012" w14:textId="77777777" w:rsidR="00B95AE2" w:rsidRDefault="00B95AE2" w:rsidP="00DC25A2">
            <w:r>
              <w:t>V1.0</w:t>
            </w:r>
          </w:p>
        </w:tc>
        <w:tc>
          <w:tcPr>
            <w:tcW w:w="4158" w:type="dxa"/>
          </w:tcPr>
          <w:p w14:paraId="0755D4E4" w14:textId="77777777" w:rsidR="00B95AE2" w:rsidRDefault="00B95AE2" w:rsidP="00DC25A2">
            <w:r>
              <w:t>Published for DB3.</w:t>
            </w:r>
          </w:p>
        </w:tc>
      </w:tr>
      <w:tr w:rsidR="00B95AE2" w14:paraId="5C1E8C9B" w14:textId="77777777" w:rsidTr="00A932B6">
        <w:tc>
          <w:tcPr>
            <w:tcW w:w="1973" w:type="dxa"/>
          </w:tcPr>
          <w:p w14:paraId="39CFD4F8" w14:textId="77777777" w:rsidR="00B95AE2" w:rsidRDefault="00B95AE2" w:rsidP="00DC25A2">
            <w:r>
              <w:t>22/06/2018</w:t>
            </w:r>
          </w:p>
        </w:tc>
        <w:tc>
          <w:tcPr>
            <w:tcW w:w="2930" w:type="dxa"/>
          </w:tcPr>
          <w:p w14:paraId="7529FD38" w14:textId="77777777" w:rsidR="00B95AE2" w:rsidRDefault="00B95AE2" w:rsidP="00DC25A2">
            <w:r>
              <w:t>V2.0</w:t>
            </w:r>
          </w:p>
        </w:tc>
        <w:tc>
          <w:tcPr>
            <w:tcW w:w="4158" w:type="dxa"/>
          </w:tcPr>
          <w:p w14:paraId="66E436FE" w14:textId="688F05C7" w:rsidR="00B95AE2" w:rsidRDefault="00EF692B" w:rsidP="00DC25A2">
            <w:r>
              <w:t xml:space="preserve">Published for DB4. Incorporates minor amendments agreed in Change Request CR007, </w:t>
            </w:r>
            <w:r w:rsidR="004C0C47">
              <w:t xml:space="preserve">CR008, </w:t>
            </w:r>
            <w:r>
              <w:t>CR009 and CR012.</w:t>
            </w:r>
          </w:p>
        </w:tc>
      </w:tr>
      <w:tr w:rsidR="002D3F6B" w14:paraId="6BF0B23D" w14:textId="77777777" w:rsidTr="00A932B6">
        <w:tc>
          <w:tcPr>
            <w:tcW w:w="1973" w:type="dxa"/>
          </w:tcPr>
          <w:p w14:paraId="5CF7DD0F" w14:textId="14853809" w:rsidR="002D3F6B" w:rsidRDefault="002D3F6B" w:rsidP="002D3F6B">
            <w:r>
              <w:t>30/11/2018</w:t>
            </w:r>
          </w:p>
        </w:tc>
        <w:tc>
          <w:tcPr>
            <w:tcW w:w="2930" w:type="dxa"/>
          </w:tcPr>
          <w:p w14:paraId="2BE8642A" w14:textId="278C4D48" w:rsidR="002D3F6B" w:rsidRDefault="002D3F6B" w:rsidP="002D3F6B">
            <w:r>
              <w:t>V2.1</w:t>
            </w:r>
          </w:p>
        </w:tc>
        <w:tc>
          <w:tcPr>
            <w:tcW w:w="4158" w:type="dxa"/>
          </w:tcPr>
          <w:p w14:paraId="0D575F53" w14:textId="370479AD" w:rsidR="002D3F6B" w:rsidRDefault="002D3F6B" w:rsidP="002D3F6B">
            <w:r>
              <w:t>Changes for CR-E08 and CR-E12</w:t>
            </w:r>
          </w:p>
        </w:tc>
      </w:tr>
      <w:tr w:rsidR="001A3253" w14:paraId="4417A456" w14:textId="77777777" w:rsidTr="00A932B6">
        <w:tc>
          <w:tcPr>
            <w:tcW w:w="1973" w:type="dxa"/>
          </w:tcPr>
          <w:p w14:paraId="3DCC4D1A" w14:textId="68C2FFDA" w:rsidR="001A3253" w:rsidRDefault="00AF4455" w:rsidP="002D3F6B">
            <w:r>
              <w:t>23/04/2019</w:t>
            </w:r>
          </w:p>
        </w:tc>
        <w:tc>
          <w:tcPr>
            <w:tcW w:w="2930" w:type="dxa"/>
          </w:tcPr>
          <w:p w14:paraId="61B6BE5A" w14:textId="66BB344A" w:rsidR="001A3253" w:rsidRDefault="00AF4455" w:rsidP="002D3F6B">
            <w:r>
              <w:t>V2.2</w:t>
            </w:r>
          </w:p>
        </w:tc>
        <w:tc>
          <w:tcPr>
            <w:tcW w:w="4158" w:type="dxa"/>
          </w:tcPr>
          <w:p w14:paraId="3AB16FB7" w14:textId="13EBFC20" w:rsidR="001A3253" w:rsidRDefault="00AF4455" w:rsidP="002D3F6B">
            <w:r>
              <w:t>Change request CR-E33</w:t>
            </w:r>
          </w:p>
        </w:tc>
      </w:tr>
    </w:tbl>
    <w:p w14:paraId="1B050A73" w14:textId="3A3B0BDB" w:rsidR="00B95AE2" w:rsidRDefault="00B95AE2" w:rsidP="00B95AE2">
      <w:pPr>
        <w:rPr>
          <w:color w:val="365F91" w:themeColor="accent1" w:themeShade="BF"/>
          <w:sz w:val="40"/>
        </w:rPr>
      </w:pPr>
    </w:p>
    <w:p w14:paraId="4B4DD8C4" w14:textId="347E54BB" w:rsidR="00D02384" w:rsidRDefault="00D02384" w:rsidP="00D02384">
      <w:pPr>
        <w:pStyle w:val="BodyTextNormal"/>
      </w:pPr>
      <w:r>
        <w:br w:type="page"/>
      </w:r>
    </w:p>
    <w:p w14:paraId="0481BE15" w14:textId="62C7EDDB" w:rsidR="008C7788" w:rsidRPr="00106249" w:rsidRDefault="00A45CFA" w:rsidP="00106249">
      <w:pPr>
        <w:pStyle w:val="SameasHeading1butdoesnotappearinTableofContents"/>
      </w:pPr>
      <w:r w:rsidRPr="00106249">
        <w:lastRenderedPageBreak/>
        <w:t>Contents</w:t>
      </w:r>
      <w:bookmarkEnd w:id="2"/>
    </w:p>
    <w:p w14:paraId="613D6B18" w14:textId="60DD8406" w:rsidR="00521D90" w:rsidRDefault="00827F62">
      <w:pPr>
        <w:pStyle w:val="TOC1"/>
        <w:tabs>
          <w:tab w:val="right" w:pos="9730"/>
        </w:tabs>
        <w:rPr>
          <w:rFonts w:asciiTheme="minorHAnsi" w:eastAsiaTheme="minorEastAsia" w:hAnsiTheme="minorHAnsi" w:cstheme="minorBidi"/>
          <w:b w:val="0"/>
          <w:noProof/>
          <w:szCs w:val="22"/>
          <w:lang w:eastAsia="en-GB"/>
        </w:rPr>
      </w:pPr>
      <w:r>
        <w:rPr>
          <w:b w:val="0"/>
        </w:rPr>
        <w:fldChar w:fldCharType="begin"/>
      </w:r>
      <w:r w:rsidR="00B474CB">
        <w:rPr>
          <w:b w:val="0"/>
        </w:rPr>
        <w:instrText xml:space="preserve"> TOC \o "2-3" \t "Heading 1,1,Chapter Heading,1,Same as Heading 1 but like 2 in Table of Contents,2" </w:instrText>
      </w:r>
      <w:r>
        <w:rPr>
          <w:b w:val="0"/>
        </w:rPr>
        <w:fldChar w:fldCharType="separate"/>
      </w:r>
      <w:r w:rsidR="00521D90">
        <w:rPr>
          <w:noProof/>
        </w:rPr>
        <w:t>1. Executive Summary</w:t>
      </w:r>
      <w:r w:rsidR="00521D90">
        <w:rPr>
          <w:noProof/>
        </w:rPr>
        <w:tab/>
      </w:r>
      <w:r w:rsidR="00521D90">
        <w:rPr>
          <w:noProof/>
        </w:rPr>
        <w:fldChar w:fldCharType="begin"/>
      </w:r>
      <w:r w:rsidR="00521D90">
        <w:rPr>
          <w:noProof/>
        </w:rPr>
        <w:instrText xml:space="preserve"> PAGEREF _Toc9934731 \h </w:instrText>
      </w:r>
      <w:r w:rsidR="00521D90">
        <w:rPr>
          <w:noProof/>
        </w:rPr>
      </w:r>
      <w:r w:rsidR="00521D90">
        <w:rPr>
          <w:noProof/>
        </w:rPr>
        <w:fldChar w:fldCharType="separate"/>
      </w:r>
      <w:r w:rsidR="00521D90">
        <w:rPr>
          <w:noProof/>
        </w:rPr>
        <w:t>5</w:t>
      </w:r>
      <w:r w:rsidR="00521D90">
        <w:rPr>
          <w:noProof/>
        </w:rPr>
        <w:fldChar w:fldCharType="end"/>
      </w:r>
    </w:p>
    <w:p w14:paraId="0C4262A5" w14:textId="0D48E4E0" w:rsidR="00521D90" w:rsidRDefault="00521D90">
      <w:pPr>
        <w:pStyle w:val="TOC1"/>
        <w:tabs>
          <w:tab w:val="right" w:pos="9730"/>
        </w:tabs>
        <w:rPr>
          <w:rFonts w:asciiTheme="minorHAnsi" w:eastAsiaTheme="minorEastAsia" w:hAnsiTheme="minorHAnsi" w:cstheme="minorBidi"/>
          <w:b w:val="0"/>
          <w:noProof/>
          <w:szCs w:val="22"/>
          <w:lang w:eastAsia="en-GB"/>
        </w:rPr>
      </w:pPr>
      <w:r>
        <w:rPr>
          <w:noProof/>
        </w:rPr>
        <w:t>2. Introduction</w:t>
      </w:r>
      <w:r>
        <w:rPr>
          <w:noProof/>
        </w:rPr>
        <w:tab/>
      </w:r>
      <w:r>
        <w:rPr>
          <w:noProof/>
        </w:rPr>
        <w:fldChar w:fldCharType="begin"/>
      </w:r>
      <w:r>
        <w:rPr>
          <w:noProof/>
        </w:rPr>
        <w:instrText xml:space="preserve"> PAGEREF _Toc9934732 \h </w:instrText>
      </w:r>
      <w:r>
        <w:rPr>
          <w:noProof/>
        </w:rPr>
      </w:r>
      <w:r>
        <w:rPr>
          <w:noProof/>
        </w:rPr>
        <w:fldChar w:fldCharType="separate"/>
      </w:r>
      <w:r>
        <w:rPr>
          <w:noProof/>
        </w:rPr>
        <w:t>6</w:t>
      </w:r>
      <w:r>
        <w:rPr>
          <w:noProof/>
        </w:rPr>
        <w:fldChar w:fldCharType="end"/>
      </w:r>
    </w:p>
    <w:p w14:paraId="69CF0F22" w14:textId="4A75E04D" w:rsidR="00521D90" w:rsidRDefault="00521D90">
      <w:pPr>
        <w:pStyle w:val="TOC2"/>
        <w:tabs>
          <w:tab w:val="right" w:pos="9730"/>
        </w:tabs>
        <w:rPr>
          <w:rFonts w:asciiTheme="minorHAnsi" w:eastAsiaTheme="minorEastAsia" w:hAnsiTheme="minorHAnsi" w:cstheme="minorBidi"/>
          <w:noProof/>
          <w:sz w:val="22"/>
          <w:szCs w:val="22"/>
          <w:lang w:eastAsia="en-GB"/>
        </w:rPr>
      </w:pPr>
      <w:r>
        <w:rPr>
          <w:noProof/>
        </w:rPr>
        <w:t>Objective</w:t>
      </w:r>
      <w:r>
        <w:rPr>
          <w:noProof/>
        </w:rPr>
        <w:tab/>
      </w:r>
      <w:r>
        <w:rPr>
          <w:noProof/>
        </w:rPr>
        <w:fldChar w:fldCharType="begin"/>
      </w:r>
      <w:r>
        <w:rPr>
          <w:noProof/>
        </w:rPr>
        <w:instrText xml:space="preserve"> PAGEREF _Toc9934733 \h </w:instrText>
      </w:r>
      <w:r>
        <w:rPr>
          <w:noProof/>
        </w:rPr>
      </w:r>
      <w:r>
        <w:rPr>
          <w:noProof/>
        </w:rPr>
        <w:fldChar w:fldCharType="separate"/>
      </w:r>
      <w:r>
        <w:rPr>
          <w:noProof/>
        </w:rPr>
        <w:t>6</w:t>
      </w:r>
      <w:r>
        <w:rPr>
          <w:noProof/>
        </w:rPr>
        <w:fldChar w:fldCharType="end"/>
      </w:r>
    </w:p>
    <w:p w14:paraId="47847839" w14:textId="19B7DD7A" w:rsidR="00521D90" w:rsidRDefault="00521D90">
      <w:pPr>
        <w:pStyle w:val="TOC2"/>
        <w:tabs>
          <w:tab w:val="right" w:pos="9730"/>
        </w:tabs>
        <w:rPr>
          <w:rFonts w:asciiTheme="minorHAnsi" w:eastAsiaTheme="minorEastAsia" w:hAnsiTheme="minorHAnsi" w:cstheme="minorBidi"/>
          <w:noProof/>
          <w:sz w:val="22"/>
          <w:szCs w:val="22"/>
          <w:lang w:eastAsia="en-GB"/>
        </w:rPr>
      </w:pPr>
      <w:r>
        <w:rPr>
          <w:noProof/>
        </w:rPr>
        <w:t>Scope</w:t>
      </w:r>
      <w:r>
        <w:rPr>
          <w:noProof/>
        </w:rPr>
        <w:tab/>
      </w:r>
      <w:r>
        <w:rPr>
          <w:noProof/>
        </w:rPr>
        <w:fldChar w:fldCharType="begin"/>
      </w:r>
      <w:r>
        <w:rPr>
          <w:noProof/>
        </w:rPr>
        <w:instrText xml:space="preserve"> PAGEREF _Toc9934734 \h </w:instrText>
      </w:r>
      <w:r>
        <w:rPr>
          <w:noProof/>
        </w:rPr>
      </w:r>
      <w:r>
        <w:rPr>
          <w:noProof/>
        </w:rPr>
        <w:fldChar w:fldCharType="separate"/>
      </w:r>
      <w:r>
        <w:rPr>
          <w:noProof/>
        </w:rPr>
        <w:t>6</w:t>
      </w:r>
      <w:r>
        <w:rPr>
          <w:noProof/>
        </w:rPr>
        <w:fldChar w:fldCharType="end"/>
      </w:r>
    </w:p>
    <w:p w14:paraId="4004F9A0" w14:textId="3FD65369" w:rsidR="00521D90" w:rsidRDefault="00521D90">
      <w:pPr>
        <w:pStyle w:val="TOC1"/>
        <w:tabs>
          <w:tab w:val="right" w:pos="9730"/>
        </w:tabs>
        <w:rPr>
          <w:rFonts w:asciiTheme="minorHAnsi" w:eastAsiaTheme="minorEastAsia" w:hAnsiTheme="minorHAnsi" w:cstheme="minorBidi"/>
          <w:b w:val="0"/>
          <w:noProof/>
          <w:szCs w:val="22"/>
          <w:lang w:eastAsia="en-GB"/>
        </w:rPr>
      </w:pPr>
      <w:r>
        <w:rPr>
          <w:noProof/>
        </w:rPr>
        <w:t>3. Considerations and Impacts on Existing Participants</w:t>
      </w:r>
      <w:r>
        <w:rPr>
          <w:noProof/>
        </w:rPr>
        <w:tab/>
      </w:r>
      <w:r>
        <w:rPr>
          <w:noProof/>
        </w:rPr>
        <w:fldChar w:fldCharType="begin"/>
      </w:r>
      <w:r>
        <w:rPr>
          <w:noProof/>
        </w:rPr>
        <w:instrText xml:space="preserve"> PAGEREF _Toc9934735 \h </w:instrText>
      </w:r>
      <w:r>
        <w:rPr>
          <w:noProof/>
        </w:rPr>
      </w:r>
      <w:r>
        <w:rPr>
          <w:noProof/>
        </w:rPr>
        <w:fldChar w:fldCharType="separate"/>
      </w:r>
      <w:r>
        <w:rPr>
          <w:noProof/>
        </w:rPr>
        <w:t>7</w:t>
      </w:r>
      <w:r>
        <w:rPr>
          <w:noProof/>
        </w:rPr>
        <w:fldChar w:fldCharType="end"/>
      </w:r>
    </w:p>
    <w:p w14:paraId="19E93D94" w14:textId="5340D57C" w:rsidR="00521D90" w:rsidRDefault="00521D90">
      <w:pPr>
        <w:pStyle w:val="TOC2"/>
        <w:tabs>
          <w:tab w:val="right" w:pos="9730"/>
        </w:tabs>
        <w:rPr>
          <w:rFonts w:asciiTheme="minorHAnsi" w:eastAsiaTheme="minorEastAsia" w:hAnsiTheme="minorHAnsi" w:cstheme="minorBidi"/>
          <w:noProof/>
          <w:sz w:val="22"/>
          <w:szCs w:val="22"/>
          <w:lang w:eastAsia="en-GB"/>
        </w:rPr>
      </w:pPr>
      <w:r>
        <w:rPr>
          <w:noProof/>
        </w:rPr>
        <w:t>Introduction</w:t>
      </w:r>
      <w:r>
        <w:rPr>
          <w:noProof/>
        </w:rPr>
        <w:tab/>
      </w:r>
      <w:r>
        <w:rPr>
          <w:noProof/>
        </w:rPr>
        <w:fldChar w:fldCharType="begin"/>
      </w:r>
      <w:r>
        <w:rPr>
          <w:noProof/>
        </w:rPr>
        <w:instrText xml:space="preserve"> PAGEREF _Toc9934736 \h </w:instrText>
      </w:r>
      <w:r>
        <w:rPr>
          <w:noProof/>
        </w:rPr>
      </w:r>
      <w:r>
        <w:rPr>
          <w:noProof/>
        </w:rPr>
        <w:fldChar w:fldCharType="separate"/>
      </w:r>
      <w:r>
        <w:rPr>
          <w:noProof/>
        </w:rPr>
        <w:t>7</w:t>
      </w:r>
      <w:r>
        <w:rPr>
          <w:noProof/>
        </w:rPr>
        <w:fldChar w:fldCharType="end"/>
      </w:r>
    </w:p>
    <w:p w14:paraId="23EC1110" w14:textId="6210EFB3" w:rsidR="00521D90" w:rsidRDefault="00521D90">
      <w:pPr>
        <w:pStyle w:val="TOC2"/>
        <w:tabs>
          <w:tab w:val="right" w:pos="9730"/>
        </w:tabs>
        <w:rPr>
          <w:rFonts w:asciiTheme="minorHAnsi" w:eastAsiaTheme="minorEastAsia" w:hAnsiTheme="minorHAnsi" w:cstheme="minorBidi"/>
          <w:noProof/>
          <w:sz w:val="22"/>
          <w:szCs w:val="22"/>
          <w:lang w:eastAsia="en-GB"/>
        </w:rPr>
      </w:pPr>
      <w:r>
        <w:rPr>
          <w:noProof/>
        </w:rPr>
        <w:t>Central Data Services</w:t>
      </w:r>
      <w:r>
        <w:rPr>
          <w:noProof/>
        </w:rPr>
        <w:tab/>
      </w:r>
      <w:r>
        <w:rPr>
          <w:noProof/>
        </w:rPr>
        <w:fldChar w:fldCharType="begin"/>
      </w:r>
      <w:r>
        <w:rPr>
          <w:noProof/>
        </w:rPr>
        <w:instrText xml:space="preserve"> PAGEREF _Toc9934737 \h </w:instrText>
      </w:r>
      <w:r>
        <w:rPr>
          <w:noProof/>
        </w:rPr>
      </w:r>
      <w:r>
        <w:rPr>
          <w:noProof/>
        </w:rPr>
        <w:fldChar w:fldCharType="separate"/>
      </w:r>
      <w:r>
        <w:rPr>
          <w:noProof/>
        </w:rPr>
        <w:t>12</w:t>
      </w:r>
      <w:r>
        <w:rPr>
          <w:noProof/>
        </w:rPr>
        <w:fldChar w:fldCharType="end"/>
      </w:r>
    </w:p>
    <w:p w14:paraId="3257526E" w14:textId="59ED981C" w:rsidR="00521D90" w:rsidRDefault="00521D90">
      <w:pPr>
        <w:pStyle w:val="TOC3"/>
        <w:tabs>
          <w:tab w:val="right" w:pos="9730"/>
        </w:tabs>
        <w:rPr>
          <w:rFonts w:asciiTheme="minorHAnsi" w:eastAsiaTheme="minorEastAsia" w:hAnsiTheme="minorHAnsi" w:cstheme="minorBidi"/>
          <w:noProof/>
          <w:sz w:val="22"/>
          <w:szCs w:val="22"/>
          <w:lang w:eastAsia="en-GB"/>
        </w:rPr>
      </w:pPr>
      <w:r>
        <w:rPr>
          <w:noProof/>
        </w:rPr>
        <w:t>Meter Point Administration Service (MPAS)</w:t>
      </w:r>
      <w:r>
        <w:rPr>
          <w:noProof/>
        </w:rPr>
        <w:tab/>
      </w:r>
      <w:r>
        <w:rPr>
          <w:noProof/>
        </w:rPr>
        <w:fldChar w:fldCharType="begin"/>
      </w:r>
      <w:r>
        <w:rPr>
          <w:noProof/>
        </w:rPr>
        <w:instrText xml:space="preserve"> PAGEREF _Toc9934738 \h </w:instrText>
      </w:r>
      <w:r>
        <w:rPr>
          <w:noProof/>
        </w:rPr>
      </w:r>
      <w:r>
        <w:rPr>
          <w:noProof/>
        </w:rPr>
        <w:fldChar w:fldCharType="separate"/>
      </w:r>
      <w:r>
        <w:rPr>
          <w:noProof/>
        </w:rPr>
        <w:t>12</w:t>
      </w:r>
      <w:r>
        <w:rPr>
          <w:noProof/>
        </w:rPr>
        <w:fldChar w:fldCharType="end"/>
      </w:r>
    </w:p>
    <w:p w14:paraId="5B02019A" w14:textId="479F3CCD" w:rsidR="00521D90" w:rsidRDefault="00521D90">
      <w:pPr>
        <w:pStyle w:val="TOC3"/>
        <w:tabs>
          <w:tab w:val="right" w:pos="9730"/>
        </w:tabs>
        <w:rPr>
          <w:rFonts w:asciiTheme="minorHAnsi" w:eastAsiaTheme="minorEastAsia" w:hAnsiTheme="minorHAnsi" w:cstheme="minorBidi"/>
          <w:noProof/>
          <w:sz w:val="22"/>
          <w:szCs w:val="22"/>
          <w:lang w:eastAsia="en-GB"/>
        </w:rPr>
      </w:pPr>
      <w:r>
        <w:rPr>
          <w:noProof/>
        </w:rPr>
        <w:t>UK Link</w:t>
      </w:r>
      <w:r>
        <w:rPr>
          <w:noProof/>
        </w:rPr>
        <w:tab/>
      </w:r>
      <w:r>
        <w:rPr>
          <w:noProof/>
        </w:rPr>
        <w:fldChar w:fldCharType="begin"/>
      </w:r>
      <w:r>
        <w:rPr>
          <w:noProof/>
        </w:rPr>
        <w:instrText xml:space="preserve"> PAGEREF _Toc9934739 \h </w:instrText>
      </w:r>
      <w:r>
        <w:rPr>
          <w:noProof/>
        </w:rPr>
      </w:r>
      <w:r>
        <w:rPr>
          <w:noProof/>
        </w:rPr>
        <w:fldChar w:fldCharType="separate"/>
      </w:r>
      <w:r>
        <w:rPr>
          <w:noProof/>
        </w:rPr>
        <w:t>14</w:t>
      </w:r>
      <w:r>
        <w:rPr>
          <w:noProof/>
        </w:rPr>
        <w:fldChar w:fldCharType="end"/>
      </w:r>
    </w:p>
    <w:p w14:paraId="77046143" w14:textId="17FF5972" w:rsidR="00521D90" w:rsidRDefault="00521D90">
      <w:pPr>
        <w:pStyle w:val="TOC3"/>
        <w:tabs>
          <w:tab w:val="right" w:pos="9730"/>
        </w:tabs>
        <w:rPr>
          <w:rFonts w:asciiTheme="minorHAnsi" w:eastAsiaTheme="minorEastAsia" w:hAnsiTheme="minorHAnsi" w:cstheme="minorBidi"/>
          <w:noProof/>
          <w:sz w:val="22"/>
          <w:szCs w:val="22"/>
          <w:lang w:eastAsia="en-GB"/>
        </w:rPr>
      </w:pPr>
      <w:r>
        <w:rPr>
          <w:noProof/>
        </w:rPr>
        <w:t>Smart Metering</w:t>
      </w:r>
      <w:r>
        <w:rPr>
          <w:noProof/>
        </w:rPr>
        <w:tab/>
      </w:r>
      <w:r>
        <w:rPr>
          <w:noProof/>
        </w:rPr>
        <w:fldChar w:fldCharType="begin"/>
      </w:r>
      <w:r>
        <w:rPr>
          <w:noProof/>
        </w:rPr>
        <w:instrText xml:space="preserve"> PAGEREF _Toc9934740 \h </w:instrText>
      </w:r>
      <w:r>
        <w:rPr>
          <w:noProof/>
        </w:rPr>
      </w:r>
      <w:r>
        <w:rPr>
          <w:noProof/>
        </w:rPr>
        <w:fldChar w:fldCharType="separate"/>
      </w:r>
      <w:r>
        <w:rPr>
          <w:noProof/>
        </w:rPr>
        <w:t>16</w:t>
      </w:r>
      <w:r>
        <w:rPr>
          <w:noProof/>
        </w:rPr>
        <w:fldChar w:fldCharType="end"/>
      </w:r>
    </w:p>
    <w:p w14:paraId="7E142BE4" w14:textId="66E0D677" w:rsidR="00521D90" w:rsidRDefault="00521D90">
      <w:pPr>
        <w:pStyle w:val="TOC3"/>
        <w:tabs>
          <w:tab w:val="right" w:pos="9730"/>
        </w:tabs>
        <w:rPr>
          <w:rFonts w:asciiTheme="minorHAnsi" w:eastAsiaTheme="minorEastAsia" w:hAnsiTheme="minorHAnsi" w:cstheme="minorBidi"/>
          <w:noProof/>
          <w:sz w:val="22"/>
          <w:szCs w:val="22"/>
          <w:lang w:eastAsia="en-GB"/>
        </w:rPr>
      </w:pPr>
      <w:r>
        <w:rPr>
          <w:noProof/>
        </w:rPr>
        <w:t>Data Enquiry Service (DES)</w:t>
      </w:r>
      <w:r>
        <w:rPr>
          <w:noProof/>
        </w:rPr>
        <w:tab/>
      </w:r>
      <w:r>
        <w:rPr>
          <w:noProof/>
        </w:rPr>
        <w:fldChar w:fldCharType="begin"/>
      </w:r>
      <w:r>
        <w:rPr>
          <w:noProof/>
        </w:rPr>
        <w:instrText xml:space="preserve"> PAGEREF _Toc9934741 \h </w:instrText>
      </w:r>
      <w:r>
        <w:rPr>
          <w:noProof/>
        </w:rPr>
      </w:r>
      <w:r>
        <w:rPr>
          <w:noProof/>
        </w:rPr>
        <w:fldChar w:fldCharType="separate"/>
      </w:r>
      <w:r>
        <w:rPr>
          <w:noProof/>
        </w:rPr>
        <w:t>18</w:t>
      </w:r>
      <w:r>
        <w:rPr>
          <w:noProof/>
        </w:rPr>
        <w:fldChar w:fldCharType="end"/>
      </w:r>
    </w:p>
    <w:p w14:paraId="66E4C109" w14:textId="0EAB78C9" w:rsidR="00521D90" w:rsidRDefault="00521D90">
      <w:pPr>
        <w:pStyle w:val="TOC3"/>
        <w:tabs>
          <w:tab w:val="right" w:pos="9730"/>
        </w:tabs>
        <w:rPr>
          <w:rFonts w:asciiTheme="minorHAnsi" w:eastAsiaTheme="minorEastAsia" w:hAnsiTheme="minorHAnsi" w:cstheme="minorBidi"/>
          <w:noProof/>
          <w:sz w:val="22"/>
          <w:szCs w:val="22"/>
          <w:lang w:eastAsia="en-GB"/>
        </w:rPr>
      </w:pPr>
      <w:r>
        <w:rPr>
          <w:noProof/>
        </w:rPr>
        <w:t>Electricity Central Online Enquiry Service (ECOES)</w:t>
      </w:r>
      <w:r>
        <w:rPr>
          <w:noProof/>
        </w:rPr>
        <w:tab/>
      </w:r>
      <w:r>
        <w:rPr>
          <w:noProof/>
        </w:rPr>
        <w:fldChar w:fldCharType="begin"/>
      </w:r>
      <w:r>
        <w:rPr>
          <w:noProof/>
        </w:rPr>
        <w:instrText xml:space="preserve"> PAGEREF _Toc9934742 \h </w:instrText>
      </w:r>
      <w:r>
        <w:rPr>
          <w:noProof/>
        </w:rPr>
      </w:r>
      <w:r>
        <w:rPr>
          <w:noProof/>
        </w:rPr>
        <w:fldChar w:fldCharType="separate"/>
      </w:r>
      <w:r>
        <w:rPr>
          <w:noProof/>
        </w:rPr>
        <w:t>20</w:t>
      </w:r>
      <w:r>
        <w:rPr>
          <w:noProof/>
        </w:rPr>
        <w:fldChar w:fldCharType="end"/>
      </w:r>
    </w:p>
    <w:p w14:paraId="70CE762B" w14:textId="416A0E27" w:rsidR="00521D90" w:rsidRDefault="00521D90">
      <w:pPr>
        <w:pStyle w:val="TOC2"/>
        <w:tabs>
          <w:tab w:val="right" w:pos="9730"/>
        </w:tabs>
        <w:rPr>
          <w:rFonts w:asciiTheme="minorHAnsi" w:eastAsiaTheme="minorEastAsia" w:hAnsiTheme="minorHAnsi" w:cstheme="minorBidi"/>
          <w:noProof/>
          <w:sz w:val="22"/>
          <w:szCs w:val="22"/>
          <w:lang w:eastAsia="en-GB"/>
        </w:rPr>
      </w:pPr>
      <w:r>
        <w:rPr>
          <w:noProof/>
        </w:rPr>
        <w:t>Suppliers and Shippers</w:t>
      </w:r>
      <w:r>
        <w:rPr>
          <w:noProof/>
        </w:rPr>
        <w:tab/>
      </w:r>
      <w:r>
        <w:rPr>
          <w:noProof/>
        </w:rPr>
        <w:fldChar w:fldCharType="begin"/>
      </w:r>
      <w:r>
        <w:rPr>
          <w:noProof/>
        </w:rPr>
        <w:instrText xml:space="preserve"> PAGEREF _Toc9934743 \h </w:instrText>
      </w:r>
      <w:r>
        <w:rPr>
          <w:noProof/>
        </w:rPr>
      </w:r>
      <w:r>
        <w:rPr>
          <w:noProof/>
        </w:rPr>
        <w:fldChar w:fldCharType="separate"/>
      </w:r>
      <w:r>
        <w:rPr>
          <w:noProof/>
        </w:rPr>
        <w:t>22</w:t>
      </w:r>
      <w:r>
        <w:rPr>
          <w:noProof/>
        </w:rPr>
        <w:fldChar w:fldCharType="end"/>
      </w:r>
    </w:p>
    <w:p w14:paraId="3B985226" w14:textId="0997001C" w:rsidR="00521D90" w:rsidRDefault="00521D90">
      <w:pPr>
        <w:pStyle w:val="TOC3"/>
        <w:tabs>
          <w:tab w:val="right" w:pos="9730"/>
        </w:tabs>
        <w:rPr>
          <w:rFonts w:asciiTheme="minorHAnsi" w:eastAsiaTheme="minorEastAsia" w:hAnsiTheme="minorHAnsi" w:cstheme="minorBidi"/>
          <w:noProof/>
          <w:sz w:val="22"/>
          <w:szCs w:val="22"/>
          <w:lang w:eastAsia="en-GB"/>
        </w:rPr>
      </w:pPr>
      <w:r>
        <w:rPr>
          <w:noProof/>
        </w:rPr>
        <w:t>Supplier (Gaining and Losing) Data Service</w:t>
      </w:r>
      <w:r>
        <w:rPr>
          <w:noProof/>
        </w:rPr>
        <w:tab/>
      </w:r>
      <w:r>
        <w:rPr>
          <w:noProof/>
        </w:rPr>
        <w:fldChar w:fldCharType="begin"/>
      </w:r>
      <w:r>
        <w:rPr>
          <w:noProof/>
        </w:rPr>
        <w:instrText xml:space="preserve"> PAGEREF _Toc9934744 \h </w:instrText>
      </w:r>
      <w:r>
        <w:rPr>
          <w:noProof/>
        </w:rPr>
      </w:r>
      <w:r>
        <w:rPr>
          <w:noProof/>
        </w:rPr>
        <w:fldChar w:fldCharType="separate"/>
      </w:r>
      <w:r>
        <w:rPr>
          <w:noProof/>
        </w:rPr>
        <w:t>22</w:t>
      </w:r>
      <w:r>
        <w:rPr>
          <w:noProof/>
        </w:rPr>
        <w:fldChar w:fldCharType="end"/>
      </w:r>
    </w:p>
    <w:p w14:paraId="5D943F77" w14:textId="16C83375" w:rsidR="00521D90" w:rsidRDefault="00521D90">
      <w:pPr>
        <w:pStyle w:val="TOC3"/>
        <w:tabs>
          <w:tab w:val="right" w:pos="9730"/>
        </w:tabs>
        <w:rPr>
          <w:rFonts w:asciiTheme="minorHAnsi" w:eastAsiaTheme="minorEastAsia" w:hAnsiTheme="minorHAnsi" w:cstheme="minorBidi"/>
          <w:noProof/>
          <w:sz w:val="22"/>
          <w:szCs w:val="22"/>
          <w:lang w:eastAsia="en-GB"/>
        </w:rPr>
      </w:pPr>
      <w:r>
        <w:rPr>
          <w:noProof/>
        </w:rPr>
        <w:t>Shipper Data Service</w:t>
      </w:r>
      <w:r>
        <w:rPr>
          <w:noProof/>
        </w:rPr>
        <w:tab/>
      </w:r>
      <w:r>
        <w:rPr>
          <w:noProof/>
        </w:rPr>
        <w:fldChar w:fldCharType="begin"/>
      </w:r>
      <w:r>
        <w:rPr>
          <w:noProof/>
        </w:rPr>
        <w:instrText xml:space="preserve"> PAGEREF _Toc9934745 \h </w:instrText>
      </w:r>
      <w:r>
        <w:rPr>
          <w:noProof/>
        </w:rPr>
      </w:r>
      <w:r>
        <w:rPr>
          <w:noProof/>
        </w:rPr>
        <w:fldChar w:fldCharType="separate"/>
      </w:r>
      <w:r>
        <w:rPr>
          <w:noProof/>
        </w:rPr>
        <w:t>25</w:t>
      </w:r>
      <w:r>
        <w:rPr>
          <w:noProof/>
        </w:rPr>
        <w:fldChar w:fldCharType="end"/>
      </w:r>
    </w:p>
    <w:p w14:paraId="1B5392E5" w14:textId="68A3E73D" w:rsidR="00521D90" w:rsidRDefault="00521D90">
      <w:pPr>
        <w:pStyle w:val="TOC2"/>
        <w:tabs>
          <w:tab w:val="right" w:pos="9730"/>
        </w:tabs>
        <w:rPr>
          <w:rFonts w:asciiTheme="minorHAnsi" w:eastAsiaTheme="minorEastAsia" w:hAnsiTheme="minorHAnsi" w:cstheme="minorBidi"/>
          <w:noProof/>
          <w:sz w:val="22"/>
          <w:szCs w:val="22"/>
          <w:lang w:eastAsia="en-GB"/>
        </w:rPr>
      </w:pPr>
      <w:r>
        <w:rPr>
          <w:noProof/>
        </w:rPr>
        <w:t>Agents</w:t>
      </w:r>
      <w:r>
        <w:rPr>
          <w:noProof/>
        </w:rPr>
        <w:tab/>
      </w:r>
      <w:r>
        <w:rPr>
          <w:noProof/>
        </w:rPr>
        <w:fldChar w:fldCharType="begin"/>
      </w:r>
      <w:r>
        <w:rPr>
          <w:noProof/>
        </w:rPr>
        <w:instrText xml:space="preserve"> PAGEREF _Toc9934746 \h </w:instrText>
      </w:r>
      <w:r>
        <w:rPr>
          <w:noProof/>
        </w:rPr>
      </w:r>
      <w:r>
        <w:rPr>
          <w:noProof/>
        </w:rPr>
        <w:fldChar w:fldCharType="separate"/>
      </w:r>
      <w:r>
        <w:rPr>
          <w:noProof/>
        </w:rPr>
        <w:t>27</w:t>
      </w:r>
      <w:r>
        <w:rPr>
          <w:noProof/>
        </w:rPr>
        <w:fldChar w:fldCharType="end"/>
      </w:r>
    </w:p>
    <w:p w14:paraId="70372CC9" w14:textId="11D49652" w:rsidR="00521D90" w:rsidRDefault="00521D90">
      <w:pPr>
        <w:pStyle w:val="TOC3"/>
        <w:tabs>
          <w:tab w:val="right" w:pos="9730"/>
        </w:tabs>
        <w:rPr>
          <w:rFonts w:asciiTheme="minorHAnsi" w:eastAsiaTheme="minorEastAsia" w:hAnsiTheme="minorHAnsi" w:cstheme="minorBidi"/>
          <w:noProof/>
          <w:sz w:val="22"/>
          <w:szCs w:val="22"/>
          <w:lang w:eastAsia="en-GB"/>
        </w:rPr>
      </w:pPr>
      <w:r>
        <w:rPr>
          <w:noProof/>
        </w:rPr>
        <w:t>Data Collectors (DC)</w:t>
      </w:r>
      <w:r>
        <w:rPr>
          <w:noProof/>
        </w:rPr>
        <w:tab/>
      </w:r>
      <w:r>
        <w:rPr>
          <w:noProof/>
        </w:rPr>
        <w:fldChar w:fldCharType="begin"/>
      </w:r>
      <w:r>
        <w:rPr>
          <w:noProof/>
        </w:rPr>
        <w:instrText xml:space="preserve"> PAGEREF _Toc9934747 \h </w:instrText>
      </w:r>
      <w:r>
        <w:rPr>
          <w:noProof/>
        </w:rPr>
      </w:r>
      <w:r>
        <w:rPr>
          <w:noProof/>
        </w:rPr>
        <w:fldChar w:fldCharType="separate"/>
      </w:r>
      <w:r>
        <w:rPr>
          <w:noProof/>
        </w:rPr>
        <w:t>27</w:t>
      </w:r>
      <w:r>
        <w:rPr>
          <w:noProof/>
        </w:rPr>
        <w:fldChar w:fldCharType="end"/>
      </w:r>
    </w:p>
    <w:p w14:paraId="0FBE13CF" w14:textId="497ECDDA" w:rsidR="00521D90" w:rsidRDefault="00521D90">
      <w:pPr>
        <w:pStyle w:val="TOC3"/>
        <w:tabs>
          <w:tab w:val="right" w:pos="9730"/>
        </w:tabs>
        <w:rPr>
          <w:rFonts w:asciiTheme="minorHAnsi" w:eastAsiaTheme="minorEastAsia" w:hAnsiTheme="minorHAnsi" w:cstheme="minorBidi"/>
          <w:noProof/>
          <w:sz w:val="22"/>
          <w:szCs w:val="22"/>
          <w:lang w:eastAsia="en-GB"/>
        </w:rPr>
      </w:pPr>
      <w:r>
        <w:rPr>
          <w:noProof/>
        </w:rPr>
        <w:t>Data Aggregators</w:t>
      </w:r>
      <w:r>
        <w:rPr>
          <w:noProof/>
        </w:rPr>
        <w:tab/>
      </w:r>
      <w:r>
        <w:rPr>
          <w:noProof/>
        </w:rPr>
        <w:fldChar w:fldCharType="begin"/>
      </w:r>
      <w:r>
        <w:rPr>
          <w:noProof/>
        </w:rPr>
        <w:instrText xml:space="preserve"> PAGEREF _Toc9934748 \h </w:instrText>
      </w:r>
      <w:r>
        <w:rPr>
          <w:noProof/>
        </w:rPr>
      </w:r>
      <w:r>
        <w:rPr>
          <w:noProof/>
        </w:rPr>
        <w:fldChar w:fldCharType="separate"/>
      </w:r>
      <w:r>
        <w:rPr>
          <w:noProof/>
        </w:rPr>
        <w:t>29</w:t>
      </w:r>
      <w:r>
        <w:rPr>
          <w:noProof/>
        </w:rPr>
        <w:fldChar w:fldCharType="end"/>
      </w:r>
    </w:p>
    <w:p w14:paraId="0A0A9830" w14:textId="2ECB50CB" w:rsidR="00521D90" w:rsidRDefault="00521D90">
      <w:pPr>
        <w:pStyle w:val="TOC3"/>
        <w:tabs>
          <w:tab w:val="right" w:pos="9730"/>
        </w:tabs>
        <w:rPr>
          <w:rFonts w:asciiTheme="minorHAnsi" w:eastAsiaTheme="minorEastAsia" w:hAnsiTheme="minorHAnsi" w:cstheme="minorBidi"/>
          <w:noProof/>
          <w:sz w:val="22"/>
          <w:szCs w:val="22"/>
          <w:lang w:eastAsia="en-GB"/>
        </w:rPr>
      </w:pPr>
      <w:r>
        <w:rPr>
          <w:noProof/>
        </w:rPr>
        <w:t>MEMs</w:t>
      </w:r>
      <w:r>
        <w:rPr>
          <w:noProof/>
        </w:rPr>
        <w:tab/>
      </w:r>
      <w:r>
        <w:rPr>
          <w:noProof/>
        </w:rPr>
        <w:fldChar w:fldCharType="begin"/>
      </w:r>
      <w:r>
        <w:rPr>
          <w:noProof/>
        </w:rPr>
        <w:instrText xml:space="preserve"> PAGEREF _Toc9934749 \h </w:instrText>
      </w:r>
      <w:r>
        <w:rPr>
          <w:noProof/>
        </w:rPr>
      </w:r>
      <w:r>
        <w:rPr>
          <w:noProof/>
        </w:rPr>
        <w:fldChar w:fldCharType="separate"/>
      </w:r>
      <w:r>
        <w:rPr>
          <w:noProof/>
        </w:rPr>
        <w:t>30</w:t>
      </w:r>
      <w:r>
        <w:rPr>
          <w:noProof/>
        </w:rPr>
        <w:fldChar w:fldCharType="end"/>
      </w:r>
    </w:p>
    <w:p w14:paraId="537D0E74" w14:textId="54049A1A" w:rsidR="00521D90" w:rsidRDefault="00521D90">
      <w:pPr>
        <w:pStyle w:val="TOC2"/>
        <w:tabs>
          <w:tab w:val="right" w:pos="9730"/>
        </w:tabs>
        <w:rPr>
          <w:rFonts w:asciiTheme="minorHAnsi" w:eastAsiaTheme="minorEastAsia" w:hAnsiTheme="minorHAnsi" w:cstheme="minorBidi"/>
          <w:noProof/>
          <w:sz w:val="22"/>
          <w:szCs w:val="22"/>
          <w:lang w:eastAsia="en-GB"/>
        </w:rPr>
      </w:pPr>
      <w:r>
        <w:rPr>
          <w:noProof/>
        </w:rPr>
        <w:t>Other Participants</w:t>
      </w:r>
      <w:r>
        <w:rPr>
          <w:noProof/>
        </w:rPr>
        <w:tab/>
      </w:r>
      <w:r>
        <w:rPr>
          <w:noProof/>
        </w:rPr>
        <w:fldChar w:fldCharType="begin"/>
      </w:r>
      <w:r>
        <w:rPr>
          <w:noProof/>
        </w:rPr>
        <w:instrText xml:space="preserve"> PAGEREF _Toc9934750 \h </w:instrText>
      </w:r>
      <w:r>
        <w:rPr>
          <w:noProof/>
        </w:rPr>
      </w:r>
      <w:r>
        <w:rPr>
          <w:noProof/>
        </w:rPr>
        <w:fldChar w:fldCharType="separate"/>
      </w:r>
      <w:r>
        <w:rPr>
          <w:noProof/>
        </w:rPr>
        <w:t>31</w:t>
      </w:r>
      <w:r>
        <w:rPr>
          <w:noProof/>
        </w:rPr>
        <w:fldChar w:fldCharType="end"/>
      </w:r>
    </w:p>
    <w:p w14:paraId="7FA047A3" w14:textId="3FCD68CE" w:rsidR="00521D90" w:rsidRDefault="00521D90">
      <w:pPr>
        <w:pStyle w:val="TOC3"/>
        <w:tabs>
          <w:tab w:val="right" w:pos="9730"/>
        </w:tabs>
        <w:rPr>
          <w:rFonts w:asciiTheme="minorHAnsi" w:eastAsiaTheme="minorEastAsia" w:hAnsiTheme="minorHAnsi" w:cstheme="minorBidi"/>
          <w:noProof/>
          <w:sz w:val="22"/>
          <w:szCs w:val="22"/>
          <w:lang w:eastAsia="en-GB"/>
        </w:rPr>
      </w:pPr>
      <w:r>
        <w:rPr>
          <w:noProof/>
        </w:rPr>
        <w:t>DNOs</w:t>
      </w:r>
      <w:r>
        <w:rPr>
          <w:noProof/>
        </w:rPr>
        <w:tab/>
      </w:r>
      <w:r>
        <w:rPr>
          <w:noProof/>
        </w:rPr>
        <w:fldChar w:fldCharType="begin"/>
      </w:r>
      <w:r>
        <w:rPr>
          <w:noProof/>
        </w:rPr>
        <w:instrText xml:space="preserve"> PAGEREF _Toc9934751 \h </w:instrText>
      </w:r>
      <w:r>
        <w:rPr>
          <w:noProof/>
        </w:rPr>
      </w:r>
      <w:r>
        <w:rPr>
          <w:noProof/>
        </w:rPr>
        <w:fldChar w:fldCharType="separate"/>
      </w:r>
      <w:r>
        <w:rPr>
          <w:noProof/>
        </w:rPr>
        <w:t>31</w:t>
      </w:r>
      <w:r>
        <w:rPr>
          <w:noProof/>
        </w:rPr>
        <w:fldChar w:fldCharType="end"/>
      </w:r>
    </w:p>
    <w:p w14:paraId="42E92DB4" w14:textId="300B3FB6" w:rsidR="00521D90" w:rsidRDefault="00521D90">
      <w:pPr>
        <w:pStyle w:val="TOC3"/>
        <w:tabs>
          <w:tab w:val="right" w:pos="9730"/>
        </w:tabs>
        <w:rPr>
          <w:rFonts w:asciiTheme="minorHAnsi" w:eastAsiaTheme="minorEastAsia" w:hAnsiTheme="minorHAnsi" w:cstheme="minorBidi"/>
          <w:noProof/>
          <w:sz w:val="22"/>
          <w:szCs w:val="22"/>
          <w:lang w:eastAsia="en-GB"/>
        </w:rPr>
      </w:pPr>
      <w:r>
        <w:rPr>
          <w:noProof/>
        </w:rPr>
        <w:t>Gas Transporter Data Service</w:t>
      </w:r>
      <w:r>
        <w:rPr>
          <w:noProof/>
        </w:rPr>
        <w:tab/>
      </w:r>
      <w:r>
        <w:rPr>
          <w:noProof/>
        </w:rPr>
        <w:fldChar w:fldCharType="begin"/>
      </w:r>
      <w:r>
        <w:rPr>
          <w:noProof/>
        </w:rPr>
        <w:instrText xml:space="preserve"> PAGEREF _Toc9934752 \h </w:instrText>
      </w:r>
      <w:r>
        <w:rPr>
          <w:noProof/>
        </w:rPr>
      </w:r>
      <w:r>
        <w:rPr>
          <w:noProof/>
        </w:rPr>
        <w:fldChar w:fldCharType="separate"/>
      </w:r>
      <w:r>
        <w:rPr>
          <w:noProof/>
        </w:rPr>
        <w:t>32</w:t>
      </w:r>
      <w:r>
        <w:rPr>
          <w:noProof/>
        </w:rPr>
        <w:fldChar w:fldCharType="end"/>
      </w:r>
    </w:p>
    <w:p w14:paraId="068B250A" w14:textId="6DBB9530" w:rsidR="00521D90" w:rsidRDefault="00521D90">
      <w:pPr>
        <w:pStyle w:val="TOC3"/>
        <w:tabs>
          <w:tab w:val="right" w:pos="9730"/>
        </w:tabs>
        <w:rPr>
          <w:rFonts w:asciiTheme="minorHAnsi" w:eastAsiaTheme="minorEastAsia" w:hAnsiTheme="minorHAnsi" w:cstheme="minorBidi"/>
          <w:noProof/>
          <w:sz w:val="22"/>
          <w:szCs w:val="22"/>
          <w:lang w:eastAsia="en-GB"/>
        </w:rPr>
      </w:pPr>
      <w:r>
        <w:rPr>
          <w:noProof/>
        </w:rPr>
        <w:t>MAPs</w:t>
      </w:r>
      <w:r>
        <w:rPr>
          <w:noProof/>
        </w:rPr>
        <w:tab/>
      </w:r>
      <w:r>
        <w:rPr>
          <w:noProof/>
        </w:rPr>
        <w:fldChar w:fldCharType="begin"/>
      </w:r>
      <w:r>
        <w:rPr>
          <w:noProof/>
        </w:rPr>
        <w:instrText xml:space="preserve"> PAGEREF _Toc9934753 \h </w:instrText>
      </w:r>
      <w:r>
        <w:rPr>
          <w:noProof/>
        </w:rPr>
      </w:r>
      <w:r>
        <w:rPr>
          <w:noProof/>
        </w:rPr>
        <w:fldChar w:fldCharType="separate"/>
      </w:r>
      <w:r>
        <w:rPr>
          <w:noProof/>
        </w:rPr>
        <w:t>33</w:t>
      </w:r>
      <w:r>
        <w:rPr>
          <w:noProof/>
        </w:rPr>
        <w:fldChar w:fldCharType="end"/>
      </w:r>
    </w:p>
    <w:p w14:paraId="2318B186" w14:textId="2F8F4300" w:rsidR="00521D90" w:rsidRDefault="00521D90">
      <w:pPr>
        <w:pStyle w:val="TOC3"/>
        <w:tabs>
          <w:tab w:val="right" w:pos="9730"/>
        </w:tabs>
        <w:rPr>
          <w:rFonts w:asciiTheme="minorHAnsi" w:eastAsiaTheme="minorEastAsia" w:hAnsiTheme="minorHAnsi" w:cstheme="minorBidi"/>
          <w:noProof/>
          <w:sz w:val="22"/>
          <w:szCs w:val="22"/>
          <w:lang w:eastAsia="en-GB"/>
        </w:rPr>
      </w:pPr>
      <w:r>
        <w:rPr>
          <w:noProof/>
        </w:rPr>
        <w:t>Settlements</w:t>
      </w:r>
      <w:r>
        <w:rPr>
          <w:noProof/>
        </w:rPr>
        <w:tab/>
      </w:r>
      <w:r>
        <w:rPr>
          <w:noProof/>
        </w:rPr>
        <w:fldChar w:fldCharType="begin"/>
      </w:r>
      <w:r>
        <w:rPr>
          <w:noProof/>
        </w:rPr>
        <w:instrText xml:space="preserve"> PAGEREF _Toc9934754 \h </w:instrText>
      </w:r>
      <w:r>
        <w:rPr>
          <w:noProof/>
        </w:rPr>
      </w:r>
      <w:r>
        <w:rPr>
          <w:noProof/>
        </w:rPr>
        <w:fldChar w:fldCharType="separate"/>
      </w:r>
      <w:r>
        <w:rPr>
          <w:noProof/>
        </w:rPr>
        <w:t>35</w:t>
      </w:r>
      <w:r>
        <w:rPr>
          <w:noProof/>
        </w:rPr>
        <w:fldChar w:fldCharType="end"/>
      </w:r>
    </w:p>
    <w:p w14:paraId="055F20B3" w14:textId="41F17926" w:rsidR="00521D90" w:rsidRDefault="00521D90">
      <w:pPr>
        <w:pStyle w:val="TOC3"/>
        <w:tabs>
          <w:tab w:val="right" w:pos="9730"/>
        </w:tabs>
        <w:rPr>
          <w:rFonts w:asciiTheme="minorHAnsi" w:eastAsiaTheme="minorEastAsia" w:hAnsiTheme="minorHAnsi" w:cstheme="minorBidi"/>
          <w:noProof/>
          <w:sz w:val="22"/>
          <w:szCs w:val="22"/>
          <w:lang w:eastAsia="en-GB"/>
        </w:rPr>
      </w:pPr>
      <w:r>
        <w:rPr>
          <w:noProof/>
        </w:rPr>
        <w:t>Third Party Intermediaries (TPI)</w:t>
      </w:r>
      <w:r>
        <w:rPr>
          <w:noProof/>
        </w:rPr>
        <w:tab/>
      </w:r>
      <w:r>
        <w:rPr>
          <w:noProof/>
        </w:rPr>
        <w:fldChar w:fldCharType="begin"/>
      </w:r>
      <w:r>
        <w:rPr>
          <w:noProof/>
        </w:rPr>
        <w:instrText xml:space="preserve"> PAGEREF _Toc9934755 \h </w:instrText>
      </w:r>
      <w:r>
        <w:rPr>
          <w:noProof/>
        </w:rPr>
      </w:r>
      <w:r>
        <w:rPr>
          <w:noProof/>
        </w:rPr>
        <w:fldChar w:fldCharType="separate"/>
      </w:r>
      <w:r>
        <w:rPr>
          <w:noProof/>
        </w:rPr>
        <w:t>36</w:t>
      </w:r>
      <w:r>
        <w:rPr>
          <w:noProof/>
        </w:rPr>
        <w:fldChar w:fldCharType="end"/>
      </w:r>
    </w:p>
    <w:p w14:paraId="2D761D4A" w14:textId="0A87AE9C" w:rsidR="00521D90" w:rsidRDefault="00521D90">
      <w:pPr>
        <w:pStyle w:val="TOC3"/>
        <w:tabs>
          <w:tab w:val="right" w:pos="9730"/>
        </w:tabs>
        <w:rPr>
          <w:rFonts w:asciiTheme="minorHAnsi" w:eastAsiaTheme="minorEastAsia" w:hAnsiTheme="minorHAnsi" w:cstheme="minorBidi"/>
          <w:noProof/>
          <w:sz w:val="22"/>
          <w:szCs w:val="22"/>
          <w:lang w:eastAsia="en-GB"/>
        </w:rPr>
      </w:pPr>
      <w:r>
        <w:rPr>
          <w:noProof/>
        </w:rPr>
        <w:t>Other Agents</w:t>
      </w:r>
      <w:r>
        <w:rPr>
          <w:noProof/>
        </w:rPr>
        <w:tab/>
      </w:r>
      <w:r>
        <w:rPr>
          <w:noProof/>
        </w:rPr>
        <w:fldChar w:fldCharType="begin"/>
      </w:r>
      <w:r>
        <w:rPr>
          <w:noProof/>
        </w:rPr>
        <w:instrText xml:space="preserve"> PAGEREF _Toc9934756 \h </w:instrText>
      </w:r>
      <w:r>
        <w:rPr>
          <w:noProof/>
        </w:rPr>
      </w:r>
      <w:r>
        <w:rPr>
          <w:noProof/>
        </w:rPr>
        <w:fldChar w:fldCharType="separate"/>
      </w:r>
      <w:r>
        <w:rPr>
          <w:noProof/>
        </w:rPr>
        <w:t>37</w:t>
      </w:r>
      <w:r>
        <w:rPr>
          <w:noProof/>
        </w:rPr>
        <w:fldChar w:fldCharType="end"/>
      </w:r>
    </w:p>
    <w:p w14:paraId="274E6472" w14:textId="69E1EDEA" w:rsidR="00521D90" w:rsidRDefault="00521D90">
      <w:pPr>
        <w:pStyle w:val="TOC3"/>
        <w:tabs>
          <w:tab w:val="right" w:pos="9730"/>
        </w:tabs>
        <w:rPr>
          <w:rFonts w:asciiTheme="minorHAnsi" w:eastAsiaTheme="minorEastAsia" w:hAnsiTheme="minorHAnsi" w:cstheme="minorBidi"/>
          <w:noProof/>
          <w:sz w:val="22"/>
          <w:szCs w:val="22"/>
          <w:lang w:eastAsia="en-GB"/>
        </w:rPr>
      </w:pPr>
      <w:r>
        <w:rPr>
          <w:noProof/>
        </w:rPr>
        <w:t>Switching Domain Data Services</w:t>
      </w:r>
      <w:r>
        <w:rPr>
          <w:noProof/>
        </w:rPr>
        <w:tab/>
      </w:r>
      <w:r>
        <w:rPr>
          <w:noProof/>
        </w:rPr>
        <w:fldChar w:fldCharType="begin"/>
      </w:r>
      <w:r>
        <w:rPr>
          <w:noProof/>
        </w:rPr>
        <w:instrText xml:space="preserve"> PAGEREF _Toc9934757 \h </w:instrText>
      </w:r>
      <w:r>
        <w:rPr>
          <w:noProof/>
        </w:rPr>
      </w:r>
      <w:r>
        <w:rPr>
          <w:noProof/>
        </w:rPr>
        <w:fldChar w:fldCharType="separate"/>
      </w:r>
      <w:r>
        <w:rPr>
          <w:noProof/>
        </w:rPr>
        <w:t>37</w:t>
      </w:r>
      <w:r>
        <w:rPr>
          <w:noProof/>
        </w:rPr>
        <w:fldChar w:fldCharType="end"/>
      </w:r>
    </w:p>
    <w:p w14:paraId="0570249C" w14:textId="5D2FBC60" w:rsidR="00521D90" w:rsidRDefault="00521D90">
      <w:pPr>
        <w:pStyle w:val="TOC1"/>
        <w:tabs>
          <w:tab w:val="right" w:pos="9730"/>
        </w:tabs>
        <w:rPr>
          <w:rFonts w:asciiTheme="minorHAnsi" w:eastAsiaTheme="minorEastAsia" w:hAnsiTheme="minorHAnsi" w:cstheme="minorBidi"/>
          <w:b w:val="0"/>
          <w:noProof/>
          <w:szCs w:val="22"/>
          <w:lang w:eastAsia="en-GB"/>
        </w:rPr>
      </w:pPr>
      <w:r>
        <w:rPr>
          <w:noProof/>
        </w:rPr>
        <w:t>4. General Architectural Considerations</w:t>
      </w:r>
      <w:r>
        <w:rPr>
          <w:noProof/>
        </w:rPr>
        <w:tab/>
      </w:r>
      <w:r>
        <w:rPr>
          <w:noProof/>
        </w:rPr>
        <w:fldChar w:fldCharType="begin"/>
      </w:r>
      <w:r>
        <w:rPr>
          <w:noProof/>
        </w:rPr>
        <w:instrText xml:space="preserve"> PAGEREF _Toc9934758 \h </w:instrText>
      </w:r>
      <w:r>
        <w:rPr>
          <w:noProof/>
        </w:rPr>
      </w:r>
      <w:r>
        <w:rPr>
          <w:noProof/>
        </w:rPr>
        <w:fldChar w:fldCharType="separate"/>
      </w:r>
      <w:r>
        <w:rPr>
          <w:noProof/>
        </w:rPr>
        <w:t>40</w:t>
      </w:r>
      <w:r>
        <w:rPr>
          <w:noProof/>
        </w:rPr>
        <w:fldChar w:fldCharType="end"/>
      </w:r>
    </w:p>
    <w:p w14:paraId="3A393B2E" w14:textId="694F706B" w:rsidR="00521D90" w:rsidRDefault="00521D90">
      <w:pPr>
        <w:pStyle w:val="TOC2"/>
        <w:tabs>
          <w:tab w:val="right" w:pos="9730"/>
        </w:tabs>
        <w:rPr>
          <w:rFonts w:asciiTheme="minorHAnsi" w:eastAsiaTheme="minorEastAsia" w:hAnsiTheme="minorHAnsi" w:cstheme="minorBidi"/>
          <w:noProof/>
          <w:sz w:val="22"/>
          <w:szCs w:val="22"/>
          <w:lang w:eastAsia="en-GB"/>
        </w:rPr>
      </w:pPr>
      <w:r>
        <w:rPr>
          <w:noProof/>
        </w:rPr>
        <w:t>Switching Network</w:t>
      </w:r>
      <w:r>
        <w:rPr>
          <w:noProof/>
        </w:rPr>
        <w:tab/>
      </w:r>
      <w:r>
        <w:rPr>
          <w:noProof/>
        </w:rPr>
        <w:fldChar w:fldCharType="begin"/>
      </w:r>
      <w:r>
        <w:rPr>
          <w:noProof/>
        </w:rPr>
        <w:instrText xml:space="preserve"> PAGEREF _Toc9934759 \h </w:instrText>
      </w:r>
      <w:r>
        <w:rPr>
          <w:noProof/>
        </w:rPr>
      </w:r>
      <w:r>
        <w:rPr>
          <w:noProof/>
        </w:rPr>
        <w:fldChar w:fldCharType="separate"/>
      </w:r>
      <w:r>
        <w:rPr>
          <w:noProof/>
        </w:rPr>
        <w:t>40</w:t>
      </w:r>
      <w:r>
        <w:rPr>
          <w:noProof/>
        </w:rPr>
        <w:fldChar w:fldCharType="end"/>
      </w:r>
    </w:p>
    <w:p w14:paraId="40A02AA1" w14:textId="0ABB3307" w:rsidR="00521D90" w:rsidRDefault="00521D90">
      <w:pPr>
        <w:pStyle w:val="TOC2"/>
        <w:tabs>
          <w:tab w:val="right" w:pos="9730"/>
        </w:tabs>
        <w:rPr>
          <w:rFonts w:asciiTheme="minorHAnsi" w:eastAsiaTheme="minorEastAsia" w:hAnsiTheme="minorHAnsi" w:cstheme="minorBidi"/>
          <w:noProof/>
          <w:sz w:val="22"/>
          <w:szCs w:val="22"/>
          <w:lang w:eastAsia="en-GB"/>
        </w:rPr>
      </w:pPr>
      <w:r>
        <w:rPr>
          <w:noProof/>
        </w:rPr>
        <w:t>Data Services Architecture</w:t>
      </w:r>
      <w:r>
        <w:rPr>
          <w:noProof/>
        </w:rPr>
        <w:tab/>
      </w:r>
      <w:r>
        <w:rPr>
          <w:noProof/>
        </w:rPr>
        <w:fldChar w:fldCharType="begin"/>
      </w:r>
      <w:r>
        <w:rPr>
          <w:noProof/>
        </w:rPr>
        <w:instrText xml:space="preserve"> PAGEREF _Toc9934760 \h </w:instrText>
      </w:r>
      <w:r>
        <w:rPr>
          <w:noProof/>
        </w:rPr>
      </w:r>
      <w:r>
        <w:rPr>
          <w:noProof/>
        </w:rPr>
        <w:fldChar w:fldCharType="separate"/>
      </w:r>
      <w:r>
        <w:rPr>
          <w:noProof/>
        </w:rPr>
        <w:t>40</w:t>
      </w:r>
      <w:r>
        <w:rPr>
          <w:noProof/>
        </w:rPr>
        <w:fldChar w:fldCharType="end"/>
      </w:r>
    </w:p>
    <w:p w14:paraId="5B9030F0" w14:textId="1F025804" w:rsidR="00521D90" w:rsidRDefault="00521D90">
      <w:pPr>
        <w:pStyle w:val="TOC3"/>
        <w:tabs>
          <w:tab w:val="right" w:pos="9730"/>
        </w:tabs>
        <w:rPr>
          <w:rFonts w:asciiTheme="minorHAnsi" w:eastAsiaTheme="minorEastAsia" w:hAnsiTheme="minorHAnsi" w:cstheme="minorBidi"/>
          <w:noProof/>
          <w:sz w:val="22"/>
          <w:szCs w:val="22"/>
          <w:lang w:eastAsia="en-GB"/>
        </w:rPr>
      </w:pPr>
      <w:r>
        <w:rPr>
          <w:noProof/>
        </w:rPr>
        <w:t>Data Model</w:t>
      </w:r>
      <w:r>
        <w:rPr>
          <w:noProof/>
        </w:rPr>
        <w:tab/>
      </w:r>
      <w:r>
        <w:rPr>
          <w:noProof/>
        </w:rPr>
        <w:fldChar w:fldCharType="begin"/>
      </w:r>
      <w:r>
        <w:rPr>
          <w:noProof/>
        </w:rPr>
        <w:instrText xml:space="preserve"> PAGEREF _Toc9934761 \h </w:instrText>
      </w:r>
      <w:r>
        <w:rPr>
          <w:noProof/>
        </w:rPr>
      </w:r>
      <w:r>
        <w:rPr>
          <w:noProof/>
        </w:rPr>
        <w:fldChar w:fldCharType="separate"/>
      </w:r>
      <w:r>
        <w:rPr>
          <w:noProof/>
        </w:rPr>
        <w:t>41</w:t>
      </w:r>
      <w:r>
        <w:rPr>
          <w:noProof/>
        </w:rPr>
        <w:fldChar w:fldCharType="end"/>
      </w:r>
    </w:p>
    <w:p w14:paraId="45B247D8" w14:textId="391668B6" w:rsidR="00521D90" w:rsidRDefault="00521D90">
      <w:pPr>
        <w:pStyle w:val="TOC3"/>
        <w:tabs>
          <w:tab w:val="right" w:pos="9730"/>
        </w:tabs>
        <w:rPr>
          <w:rFonts w:asciiTheme="minorHAnsi" w:eastAsiaTheme="minorEastAsia" w:hAnsiTheme="minorHAnsi" w:cstheme="minorBidi"/>
          <w:noProof/>
          <w:sz w:val="22"/>
          <w:szCs w:val="22"/>
          <w:lang w:eastAsia="en-GB"/>
        </w:rPr>
      </w:pPr>
      <w:r>
        <w:rPr>
          <w:noProof/>
        </w:rPr>
        <w:t>Data Services Landscape</w:t>
      </w:r>
      <w:r>
        <w:rPr>
          <w:noProof/>
        </w:rPr>
        <w:tab/>
      </w:r>
      <w:r>
        <w:rPr>
          <w:noProof/>
        </w:rPr>
        <w:fldChar w:fldCharType="begin"/>
      </w:r>
      <w:r>
        <w:rPr>
          <w:noProof/>
        </w:rPr>
        <w:instrText xml:space="preserve"> PAGEREF _Toc9934762 \h </w:instrText>
      </w:r>
      <w:r>
        <w:rPr>
          <w:noProof/>
        </w:rPr>
      </w:r>
      <w:r>
        <w:rPr>
          <w:noProof/>
        </w:rPr>
        <w:fldChar w:fldCharType="separate"/>
      </w:r>
      <w:r>
        <w:rPr>
          <w:noProof/>
        </w:rPr>
        <w:t>41</w:t>
      </w:r>
      <w:r>
        <w:rPr>
          <w:noProof/>
        </w:rPr>
        <w:fldChar w:fldCharType="end"/>
      </w:r>
    </w:p>
    <w:p w14:paraId="637B0F72" w14:textId="0E09930A" w:rsidR="00521D90" w:rsidRDefault="00521D90">
      <w:pPr>
        <w:pStyle w:val="TOC2"/>
        <w:tabs>
          <w:tab w:val="right" w:pos="9730"/>
        </w:tabs>
        <w:rPr>
          <w:rFonts w:asciiTheme="minorHAnsi" w:eastAsiaTheme="minorEastAsia" w:hAnsiTheme="minorHAnsi" w:cstheme="minorBidi"/>
          <w:noProof/>
          <w:sz w:val="22"/>
          <w:szCs w:val="22"/>
          <w:lang w:eastAsia="en-GB"/>
        </w:rPr>
      </w:pPr>
      <w:r>
        <w:rPr>
          <w:noProof/>
        </w:rPr>
        <w:t>Interfaces</w:t>
      </w:r>
      <w:r>
        <w:rPr>
          <w:noProof/>
        </w:rPr>
        <w:tab/>
      </w:r>
      <w:r>
        <w:rPr>
          <w:noProof/>
        </w:rPr>
        <w:fldChar w:fldCharType="begin"/>
      </w:r>
      <w:r>
        <w:rPr>
          <w:noProof/>
        </w:rPr>
        <w:instrText xml:space="preserve"> PAGEREF _Toc9934763 \h </w:instrText>
      </w:r>
      <w:r>
        <w:rPr>
          <w:noProof/>
        </w:rPr>
      </w:r>
      <w:r>
        <w:rPr>
          <w:noProof/>
        </w:rPr>
        <w:fldChar w:fldCharType="separate"/>
      </w:r>
      <w:r>
        <w:rPr>
          <w:noProof/>
        </w:rPr>
        <w:t>42</w:t>
      </w:r>
      <w:r>
        <w:rPr>
          <w:noProof/>
        </w:rPr>
        <w:fldChar w:fldCharType="end"/>
      </w:r>
    </w:p>
    <w:p w14:paraId="030C6A6D" w14:textId="6C2538CD" w:rsidR="00521D90" w:rsidRDefault="00521D90">
      <w:pPr>
        <w:pStyle w:val="TOC3"/>
        <w:tabs>
          <w:tab w:val="right" w:pos="9730"/>
        </w:tabs>
        <w:rPr>
          <w:rFonts w:asciiTheme="minorHAnsi" w:eastAsiaTheme="minorEastAsia" w:hAnsiTheme="minorHAnsi" w:cstheme="minorBidi"/>
          <w:noProof/>
          <w:sz w:val="22"/>
          <w:szCs w:val="22"/>
          <w:lang w:eastAsia="en-GB"/>
        </w:rPr>
      </w:pPr>
      <w:r>
        <w:rPr>
          <w:noProof/>
        </w:rPr>
        <w:t>Configurable Functionality</w:t>
      </w:r>
      <w:r>
        <w:rPr>
          <w:noProof/>
        </w:rPr>
        <w:tab/>
      </w:r>
      <w:r>
        <w:rPr>
          <w:noProof/>
        </w:rPr>
        <w:fldChar w:fldCharType="begin"/>
      </w:r>
      <w:r>
        <w:rPr>
          <w:noProof/>
        </w:rPr>
        <w:instrText xml:space="preserve"> PAGEREF _Toc9934764 \h </w:instrText>
      </w:r>
      <w:r>
        <w:rPr>
          <w:noProof/>
        </w:rPr>
      </w:r>
      <w:r>
        <w:rPr>
          <w:noProof/>
        </w:rPr>
        <w:fldChar w:fldCharType="separate"/>
      </w:r>
      <w:r>
        <w:rPr>
          <w:noProof/>
        </w:rPr>
        <w:t>43</w:t>
      </w:r>
      <w:r>
        <w:rPr>
          <w:noProof/>
        </w:rPr>
        <w:fldChar w:fldCharType="end"/>
      </w:r>
    </w:p>
    <w:p w14:paraId="0E5B7B31" w14:textId="6D52B06A" w:rsidR="00521D90" w:rsidRDefault="00521D90">
      <w:pPr>
        <w:pStyle w:val="TOC3"/>
        <w:tabs>
          <w:tab w:val="right" w:pos="9730"/>
        </w:tabs>
        <w:rPr>
          <w:rFonts w:asciiTheme="minorHAnsi" w:eastAsiaTheme="minorEastAsia" w:hAnsiTheme="minorHAnsi" w:cstheme="minorBidi"/>
          <w:noProof/>
          <w:sz w:val="22"/>
          <w:szCs w:val="22"/>
          <w:lang w:eastAsia="en-GB"/>
        </w:rPr>
      </w:pPr>
      <w:r>
        <w:rPr>
          <w:noProof/>
        </w:rPr>
        <w:t>Interface Patterns</w:t>
      </w:r>
      <w:r>
        <w:rPr>
          <w:noProof/>
        </w:rPr>
        <w:tab/>
      </w:r>
      <w:r>
        <w:rPr>
          <w:noProof/>
        </w:rPr>
        <w:fldChar w:fldCharType="begin"/>
      </w:r>
      <w:r>
        <w:rPr>
          <w:noProof/>
        </w:rPr>
        <w:instrText xml:space="preserve"> PAGEREF _Toc9934765 \h </w:instrText>
      </w:r>
      <w:r>
        <w:rPr>
          <w:noProof/>
        </w:rPr>
      </w:r>
      <w:r>
        <w:rPr>
          <w:noProof/>
        </w:rPr>
        <w:fldChar w:fldCharType="separate"/>
      </w:r>
      <w:r>
        <w:rPr>
          <w:noProof/>
        </w:rPr>
        <w:t>44</w:t>
      </w:r>
      <w:r>
        <w:rPr>
          <w:noProof/>
        </w:rPr>
        <w:fldChar w:fldCharType="end"/>
      </w:r>
    </w:p>
    <w:p w14:paraId="6691C4FE" w14:textId="23F0DB81" w:rsidR="00521D90" w:rsidRDefault="00521D90">
      <w:pPr>
        <w:pStyle w:val="TOC3"/>
        <w:tabs>
          <w:tab w:val="right" w:pos="9730"/>
        </w:tabs>
        <w:rPr>
          <w:rFonts w:asciiTheme="minorHAnsi" w:eastAsiaTheme="minorEastAsia" w:hAnsiTheme="minorHAnsi" w:cstheme="minorBidi"/>
          <w:noProof/>
          <w:sz w:val="22"/>
          <w:szCs w:val="22"/>
          <w:lang w:eastAsia="en-GB"/>
        </w:rPr>
      </w:pPr>
      <w:r>
        <w:rPr>
          <w:noProof/>
        </w:rPr>
        <w:t>Interface Operation and Processing</w:t>
      </w:r>
      <w:r>
        <w:rPr>
          <w:noProof/>
        </w:rPr>
        <w:tab/>
      </w:r>
      <w:r>
        <w:rPr>
          <w:noProof/>
        </w:rPr>
        <w:fldChar w:fldCharType="begin"/>
      </w:r>
      <w:r>
        <w:rPr>
          <w:noProof/>
        </w:rPr>
        <w:instrText xml:space="preserve"> PAGEREF _Toc9934766 \h </w:instrText>
      </w:r>
      <w:r>
        <w:rPr>
          <w:noProof/>
        </w:rPr>
      </w:r>
      <w:r>
        <w:rPr>
          <w:noProof/>
        </w:rPr>
        <w:fldChar w:fldCharType="separate"/>
      </w:r>
      <w:r>
        <w:rPr>
          <w:noProof/>
        </w:rPr>
        <w:t>48</w:t>
      </w:r>
      <w:r>
        <w:rPr>
          <w:noProof/>
        </w:rPr>
        <w:fldChar w:fldCharType="end"/>
      </w:r>
    </w:p>
    <w:p w14:paraId="013F2BFA" w14:textId="3F2591DF" w:rsidR="00521D90" w:rsidRDefault="00521D90">
      <w:pPr>
        <w:pStyle w:val="TOC1"/>
        <w:tabs>
          <w:tab w:val="right" w:pos="9730"/>
        </w:tabs>
        <w:rPr>
          <w:rFonts w:asciiTheme="minorHAnsi" w:eastAsiaTheme="minorEastAsia" w:hAnsiTheme="minorHAnsi" w:cstheme="minorBidi"/>
          <w:b w:val="0"/>
          <w:noProof/>
          <w:szCs w:val="22"/>
          <w:lang w:eastAsia="en-GB"/>
        </w:rPr>
      </w:pPr>
      <w:r>
        <w:rPr>
          <w:noProof/>
        </w:rPr>
        <w:t>5. CSS and Address Service Architecture</w:t>
      </w:r>
      <w:r>
        <w:rPr>
          <w:noProof/>
        </w:rPr>
        <w:tab/>
      </w:r>
      <w:r>
        <w:rPr>
          <w:noProof/>
        </w:rPr>
        <w:fldChar w:fldCharType="begin"/>
      </w:r>
      <w:r>
        <w:rPr>
          <w:noProof/>
        </w:rPr>
        <w:instrText xml:space="preserve"> PAGEREF _Toc9934767 \h </w:instrText>
      </w:r>
      <w:r>
        <w:rPr>
          <w:noProof/>
        </w:rPr>
      </w:r>
      <w:r>
        <w:rPr>
          <w:noProof/>
        </w:rPr>
        <w:fldChar w:fldCharType="separate"/>
      </w:r>
      <w:r>
        <w:rPr>
          <w:noProof/>
        </w:rPr>
        <w:t>53</w:t>
      </w:r>
      <w:r>
        <w:rPr>
          <w:noProof/>
        </w:rPr>
        <w:fldChar w:fldCharType="end"/>
      </w:r>
    </w:p>
    <w:p w14:paraId="6F86D847" w14:textId="2286176D" w:rsidR="00521D90" w:rsidRDefault="00521D90">
      <w:pPr>
        <w:pStyle w:val="TOC3"/>
        <w:tabs>
          <w:tab w:val="right" w:pos="9730"/>
        </w:tabs>
        <w:rPr>
          <w:rFonts w:asciiTheme="minorHAnsi" w:eastAsiaTheme="minorEastAsia" w:hAnsiTheme="minorHAnsi" w:cstheme="minorBidi"/>
          <w:noProof/>
          <w:sz w:val="22"/>
          <w:szCs w:val="22"/>
          <w:lang w:eastAsia="en-GB"/>
        </w:rPr>
      </w:pPr>
      <w:r>
        <w:rPr>
          <w:noProof/>
        </w:rPr>
        <w:t>CSS Inbound Interfaces</w:t>
      </w:r>
      <w:r>
        <w:rPr>
          <w:noProof/>
        </w:rPr>
        <w:tab/>
      </w:r>
      <w:r>
        <w:rPr>
          <w:noProof/>
        </w:rPr>
        <w:fldChar w:fldCharType="begin"/>
      </w:r>
      <w:r>
        <w:rPr>
          <w:noProof/>
        </w:rPr>
        <w:instrText xml:space="preserve"> PAGEREF _Toc9934768 \h </w:instrText>
      </w:r>
      <w:r>
        <w:rPr>
          <w:noProof/>
        </w:rPr>
      </w:r>
      <w:r>
        <w:rPr>
          <w:noProof/>
        </w:rPr>
        <w:fldChar w:fldCharType="separate"/>
      </w:r>
      <w:r>
        <w:rPr>
          <w:noProof/>
        </w:rPr>
        <w:t>53</w:t>
      </w:r>
      <w:r>
        <w:rPr>
          <w:noProof/>
        </w:rPr>
        <w:fldChar w:fldCharType="end"/>
      </w:r>
    </w:p>
    <w:p w14:paraId="2324206B" w14:textId="4F761FB6" w:rsidR="00521D90" w:rsidRDefault="00521D90">
      <w:pPr>
        <w:pStyle w:val="TOC3"/>
        <w:tabs>
          <w:tab w:val="right" w:pos="9730"/>
        </w:tabs>
        <w:rPr>
          <w:rFonts w:asciiTheme="minorHAnsi" w:eastAsiaTheme="minorEastAsia" w:hAnsiTheme="minorHAnsi" w:cstheme="minorBidi"/>
          <w:noProof/>
          <w:sz w:val="22"/>
          <w:szCs w:val="22"/>
          <w:lang w:eastAsia="en-GB"/>
        </w:rPr>
      </w:pPr>
      <w:r>
        <w:rPr>
          <w:noProof/>
        </w:rPr>
        <w:t>CSS Outbound Interfaces</w:t>
      </w:r>
      <w:r>
        <w:rPr>
          <w:noProof/>
        </w:rPr>
        <w:tab/>
      </w:r>
      <w:r>
        <w:rPr>
          <w:noProof/>
        </w:rPr>
        <w:fldChar w:fldCharType="begin"/>
      </w:r>
      <w:r>
        <w:rPr>
          <w:noProof/>
        </w:rPr>
        <w:instrText xml:space="preserve"> PAGEREF _Toc9934769 \h </w:instrText>
      </w:r>
      <w:r>
        <w:rPr>
          <w:noProof/>
        </w:rPr>
      </w:r>
      <w:r>
        <w:rPr>
          <w:noProof/>
        </w:rPr>
        <w:fldChar w:fldCharType="separate"/>
      </w:r>
      <w:r>
        <w:rPr>
          <w:noProof/>
        </w:rPr>
        <w:t>54</w:t>
      </w:r>
      <w:r>
        <w:rPr>
          <w:noProof/>
        </w:rPr>
        <w:fldChar w:fldCharType="end"/>
      </w:r>
    </w:p>
    <w:p w14:paraId="3BFC7B38" w14:textId="79FC87BB" w:rsidR="00521D90" w:rsidRDefault="00521D90">
      <w:pPr>
        <w:pStyle w:val="TOC3"/>
        <w:tabs>
          <w:tab w:val="right" w:pos="9730"/>
        </w:tabs>
        <w:rPr>
          <w:rFonts w:asciiTheme="minorHAnsi" w:eastAsiaTheme="minorEastAsia" w:hAnsiTheme="minorHAnsi" w:cstheme="minorBidi"/>
          <w:noProof/>
          <w:sz w:val="22"/>
          <w:szCs w:val="22"/>
          <w:lang w:eastAsia="en-GB"/>
        </w:rPr>
      </w:pPr>
      <w:r>
        <w:rPr>
          <w:noProof/>
        </w:rPr>
        <w:t>CSS Functional Architecture</w:t>
      </w:r>
      <w:r>
        <w:rPr>
          <w:noProof/>
        </w:rPr>
        <w:tab/>
      </w:r>
      <w:r>
        <w:rPr>
          <w:noProof/>
        </w:rPr>
        <w:fldChar w:fldCharType="begin"/>
      </w:r>
      <w:r>
        <w:rPr>
          <w:noProof/>
        </w:rPr>
        <w:instrText xml:space="preserve"> PAGEREF _Toc9934770 \h </w:instrText>
      </w:r>
      <w:r>
        <w:rPr>
          <w:noProof/>
        </w:rPr>
      </w:r>
      <w:r>
        <w:rPr>
          <w:noProof/>
        </w:rPr>
        <w:fldChar w:fldCharType="separate"/>
      </w:r>
      <w:r>
        <w:rPr>
          <w:noProof/>
        </w:rPr>
        <w:t>56</w:t>
      </w:r>
      <w:r>
        <w:rPr>
          <w:noProof/>
        </w:rPr>
        <w:fldChar w:fldCharType="end"/>
      </w:r>
    </w:p>
    <w:p w14:paraId="600FDEB8" w14:textId="632224E4" w:rsidR="00521D90" w:rsidRDefault="00521D90">
      <w:pPr>
        <w:pStyle w:val="TOC3"/>
        <w:tabs>
          <w:tab w:val="right" w:pos="9730"/>
        </w:tabs>
        <w:rPr>
          <w:rFonts w:asciiTheme="minorHAnsi" w:eastAsiaTheme="minorEastAsia" w:hAnsiTheme="minorHAnsi" w:cstheme="minorBidi"/>
          <w:noProof/>
          <w:sz w:val="22"/>
          <w:szCs w:val="22"/>
          <w:lang w:eastAsia="en-GB"/>
        </w:rPr>
      </w:pPr>
      <w:r>
        <w:rPr>
          <w:noProof/>
        </w:rPr>
        <w:lastRenderedPageBreak/>
        <w:t>CSS and Address Service</w:t>
      </w:r>
      <w:r>
        <w:rPr>
          <w:noProof/>
        </w:rPr>
        <w:tab/>
      </w:r>
      <w:r>
        <w:rPr>
          <w:noProof/>
        </w:rPr>
        <w:fldChar w:fldCharType="begin"/>
      </w:r>
      <w:r>
        <w:rPr>
          <w:noProof/>
        </w:rPr>
        <w:instrText xml:space="preserve"> PAGEREF _Toc9934771 \h </w:instrText>
      </w:r>
      <w:r>
        <w:rPr>
          <w:noProof/>
        </w:rPr>
      </w:r>
      <w:r>
        <w:rPr>
          <w:noProof/>
        </w:rPr>
        <w:fldChar w:fldCharType="separate"/>
      </w:r>
      <w:r>
        <w:rPr>
          <w:noProof/>
        </w:rPr>
        <w:t>57</w:t>
      </w:r>
      <w:r>
        <w:rPr>
          <w:noProof/>
        </w:rPr>
        <w:fldChar w:fldCharType="end"/>
      </w:r>
    </w:p>
    <w:p w14:paraId="5BE02EB4" w14:textId="722EE8E5" w:rsidR="00521D90" w:rsidRDefault="00521D90">
      <w:pPr>
        <w:pStyle w:val="TOC1"/>
        <w:tabs>
          <w:tab w:val="right" w:pos="9730"/>
        </w:tabs>
        <w:rPr>
          <w:rFonts w:asciiTheme="minorHAnsi" w:eastAsiaTheme="minorEastAsia" w:hAnsiTheme="minorHAnsi" w:cstheme="minorBidi"/>
          <w:b w:val="0"/>
          <w:noProof/>
          <w:szCs w:val="22"/>
          <w:lang w:eastAsia="en-GB"/>
        </w:rPr>
      </w:pPr>
      <w:r>
        <w:rPr>
          <w:noProof/>
        </w:rPr>
        <w:t>Appendix 1 – Glossary</w:t>
      </w:r>
      <w:r>
        <w:rPr>
          <w:noProof/>
        </w:rPr>
        <w:tab/>
      </w:r>
      <w:r>
        <w:rPr>
          <w:noProof/>
        </w:rPr>
        <w:fldChar w:fldCharType="begin"/>
      </w:r>
      <w:r>
        <w:rPr>
          <w:noProof/>
        </w:rPr>
        <w:instrText xml:space="preserve"> PAGEREF _Toc9934772 \h </w:instrText>
      </w:r>
      <w:r>
        <w:rPr>
          <w:noProof/>
        </w:rPr>
      </w:r>
      <w:r>
        <w:rPr>
          <w:noProof/>
        </w:rPr>
        <w:fldChar w:fldCharType="separate"/>
      </w:r>
      <w:r>
        <w:rPr>
          <w:noProof/>
        </w:rPr>
        <w:t>59</w:t>
      </w:r>
      <w:r>
        <w:rPr>
          <w:noProof/>
        </w:rPr>
        <w:fldChar w:fldCharType="end"/>
      </w:r>
    </w:p>
    <w:p w14:paraId="426CA4E1" w14:textId="3F8FD2DF" w:rsidR="00521D90" w:rsidRDefault="00521D90">
      <w:pPr>
        <w:pStyle w:val="TOC1"/>
        <w:tabs>
          <w:tab w:val="right" w:pos="9730"/>
        </w:tabs>
        <w:rPr>
          <w:rFonts w:asciiTheme="minorHAnsi" w:eastAsiaTheme="minorEastAsia" w:hAnsiTheme="minorHAnsi" w:cstheme="minorBidi"/>
          <w:b w:val="0"/>
          <w:noProof/>
          <w:szCs w:val="22"/>
          <w:lang w:eastAsia="en-GB"/>
        </w:rPr>
      </w:pPr>
      <w:r>
        <w:rPr>
          <w:noProof/>
        </w:rPr>
        <w:t>Appendix 2 – Use of Switching Design Repository</w:t>
      </w:r>
      <w:r>
        <w:rPr>
          <w:noProof/>
        </w:rPr>
        <w:tab/>
      </w:r>
      <w:r>
        <w:rPr>
          <w:noProof/>
        </w:rPr>
        <w:fldChar w:fldCharType="begin"/>
      </w:r>
      <w:r>
        <w:rPr>
          <w:noProof/>
        </w:rPr>
        <w:instrText xml:space="preserve"> PAGEREF _Toc9934773 \h </w:instrText>
      </w:r>
      <w:r>
        <w:rPr>
          <w:noProof/>
        </w:rPr>
      </w:r>
      <w:r>
        <w:rPr>
          <w:noProof/>
        </w:rPr>
        <w:fldChar w:fldCharType="separate"/>
      </w:r>
      <w:r>
        <w:rPr>
          <w:noProof/>
        </w:rPr>
        <w:t>60</w:t>
      </w:r>
      <w:r>
        <w:rPr>
          <w:noProof/>
        </w:rPr>
        <w:fldChar w:fldCharType="end"/>
      </w:r>
    </w:p>
    <w:p w14:paraId="5CFE1E62" w14:textId="2E5C7282" w:rsidR="00521D90" w:rsidRDefault="00521D90">
      <w:pPr>
        <w:pStyle w:val="TOC1"/>
        <w:tabs>
          <w:tab w:val="right" w:pos="9730"/>
        </w:tabs>
        <w:rPr>
          <w:rFonts w:asciiTheme="minorHAnsi" w:eastAsiaTheme="minorEastAsia" w:hAnsiTheme="minorHAnsi" w:cstheme="minorBidi"/>
          <w:b w:val="0"/>
          <w:noProof/>
          <w:szCs w:val="22"/>
          <w:lang w:eastAsia="en-GB"/>
        </w:rPr>
      </w:pPr>
      <w:r>
        <w:rPr>
          <w:noProof/>
        </w:rPr>
        <w:t>Appendix 3 – Structure of the DES Service</w:t>
      </w:r>
      <w:r>
        <w:rPr>
          <w:noProof/>
        </w:rPr>
        <w:tab/>
      </w:r>
      <w:r>
        <w:rPr>
          <w:noProof/>
        </w:rPr>
        <w:fldChar w:fldCharType="begin"/>
      </w:r>
      <w:r>
        <w:rPr>
          <w:noProof/>
        </w:rPr>
        <w:instrText xml:space="preserve"> PAGEREF _Toc9934774 \h </w:instrText>
      </w:r>
      <w:r>
        <w:rPr>
          <w:noProof/>
        </w:rPr>
      </w:r>
      <w:r>
        <w:rPr>
          <w:noProof/>
        </w:rPr>
        <w:fldChar w:fldCharType="separate"/>
      </w:r>
      <w:r>
        <w:rPr>
          <w:noProof/>
        </w:rPr>
        <w:t>60</w:t>
      </w:r>
      <w:r>
        <w:rPr>
          <w:noProof/>
        </w:rPr>
        <w:fldChar w:fldCharType="end"/>
      </w:r>
    </w:p>
    <w:p w14:paraId="0FDCBF6E" w14:textId="3F16A59C" w:rsidR="00106249" w:rsidRDefault="00827F62" w:rsidP="004E6281">
      <w:r>
        <w:rPr>
          <w:b/>
          <w:sz w:val="22"/>
        </w:rPr>
        <w:fldChar w:fldCharType="end"/>
      </w:r>
    </w:p>
    <w:p w14:paraId="22A89B21" w14:textId="77777777" w:rsidR="001A5113" w:rsidRDefault="001A5113">
      <w:r>
        <w:br w:type="page"/>
      </w:r>
    </w:p>
    <w:p w14:paraId="3954155C" w14:textId="16917242" w:rsidR="00A45CFA" w:rsidRDefault="00DB42D8" w:rsidP="008E28D3">
      <w:pPr>
        <w:pStyle w:val="ChapterHeading"/>
      </w:pPr>
      <w:bookmarkStart w:id="12" w:name="_Toc121908406"/>
      <w:bookmarkStart w:id="13" w:name="_Toc122252090"/>
      <w:bookmarkStart w:id="14" w:name="_Toc122265820"/>
      <w:bookmarkStart w:id="15" w:name="_Toc122509010"/>
      <w:bookmarkStart w:id="16" w:name="_Toc284412117"/>
      <w:bookmarkStart w:id="17" w:name="_Toc505257221"/>
      <w:bookmarkStart w:id="18" w:name="_Toc505689948"/>
      <w:bookmarkStart w:id="19" w:name="_Toc9934731"/>
      <w:r>
        <w:lastRenderedPageBreak/>
        <w:t xml:space="preserve">Executive </w:t>
      </w:r>
      <w:r w:rsidR="00A45CFA">
        <w:t>Summary</w:t>
      </w:r>
      <w:bookmarkEnd w:id="12"/>
      <w:bookmarkEnd w:id="13"/>
      <w:bookmarkEnd w:id="14"/>
      <w:bookmarkEnd w:id="15"/>
      <w:bookmarkEnd w:id="16"/>
      <w:bookmarkEnd w:id="17"/>
      <w:bookmarkEnd w:id="18"/>
      <w:bookmarkEnd w:id="19"/>
    </w:p>
    <w:p w14:paraId="38C084C1" w14:textId="6023EC04" w:rsidR="00412DEB" w:rsidRDefault="00412DEB" w:rsidP="00412DEB">
      <w:pPr>
        <w:pStyle w:val="Paragrapgh"/>
      </w:pPr>
      <w:r>
        <w:t>This document belongs to the set describing the end-to-end behaviour of the new Switching Arrangements. The document’s purpose is to describe the architecture of the new Switching Arrangements, by:</w:t>
      </w:r>
    </w:p>
    <w:p w14:paraId="40D98F68" w14:textId="14988643" w:rsidR="00412DEB" w:rsidRDefault="00412DEB" w:rsidP="00412DEB">
      <w:pPr>
        <w:pStyle w:val="Paragrapgh"/>
        <w:numPr>
          <w:ilvl w:val="0"/>
          <w:numId w:val="49"/>
        </w:numPr>
      </w:pPr>
      <w:r>
        <w:t>Identifying the constituent elements of the Switching Arrangements, including all new and existing data services and their interfaces;</w:t>
      </w:r>
    </w:p>
    <w:p w14:paraId="3A636539" w14:textId="7F3662DA" w:rsidR="00412DEB" w:rsidRDefault="00412DEB" w:rsidP="00412DEB">
      <w:pPr>
        <w:pStyle w:val="Paragrapgh"/>
        <w:numPr>
          <w:ilvl w:val="0"/>
          <w:numId w:val="49"/>
        </w:numPr>
      </w:pPr>
      <w:r>
        <w:t>Providing details on the interfaces between CSS and the Market Participants and between CSS and other Central Data Services;</w:t>
      </w:r>
    </w:p>
    <w:p w14:paraId="647B41B9" w14:textId="4E8A04A2" w:rsidR="00412DEB" w:rsidRDefault="00412DEB" w:rsidP="00412DEB">
      <w:pPr>
        <w:pStyle w:val="Paragrapgh"/>
        <w:numPr>
          <w:ilvl w:val="0"/>
          <w:numId w:val="49"/>
        </w:numPr>
      </w:pPr>
      <w:r>
        <w:t xml:space="preserve">Describing the features of the new </w:t>
      </w:r>
      <w:r w:rsidR="0030280B">
        <w:t xml:space="preserve">Switching </w:t>
      </w:r>
      <w:r>
        <w:t>Arrangements that will need to be implemented by service providers (both new and existing); and</w:t>
      </w:r>
    </w:p>
    <w:p w14:paraId="2D74FCC2" w14:textId="045F7FBB" w:rsidR="00412DEB" w:rsidRDefault="00412DEB" w:rsidP="00412DEB">
      <w:pPr>
        <w:pStyle w:val="Paragrapgh"/>
        <w:numPr>
          <w:ilvl w:val="0"/>
          <w:numId w:val="49"/>
        </w:numPr>
      </w:pPr>
      <w:r>
        <w:t>Describing at a logical level the types of interfaces between CSS and other data services (the “interface patterns”) and the characteristics of each type.</w:t>
      </w:r>
    </w:p>
    <w:p w14:paraId="4CB1AB91" w14:textId="5B461DA2" w:rsidR="00412DEB" w:rsidRDefault="00412DEB" w:rsidP="00412DEB">
      <w:pPr>
        <w:pStyle w:val="Paragrapgh"/>
      </w:pPr>
      <w:r>
        <w:t xml:space="preserve">The document will be used by all organisations participating in the new Switching Arrangements to gain a high-level understanding of the changes </w:t>
      </w:r>
      <w:r w:rsidR="0030280B">
        <w:t xml:space="preserve">that </w:t>
      </w:r>
      <w:r>
        <w:t xml:space="preserve">their service provider(s) will need to make. Where an interaction is between CSS and another participant, then details are given in this document to enable understanding of the scope of the change that will be needed. Further details will be made available as the Switching Programme progresses. Where an interaction is between two organisations neither of which is CSS, then this document does no more than identify the interaction. The organisations involved are expected to conduct their own </w:t>
      </w:r>
      <w:r w:rsidR="0030280B">
        <w:t xml:space="preserve">impact </w:t>
      </w:r>
      <w:r>
        <w:t xml:space="preserve">analysis and </w:t>
      </w:r>
      <w:r w:rsidR="0077750C">
        <w:t>channel comments back through the Programme Design Forum. The arrangements will ultimately be taken forward by the regulatory design group for implementation into licences and codes.</w:t>
      </w:r>
    </w:p>
    <w:p w14:paraId="5C8BFFA3" w14:textId="2F9E6364" w:rsidR="00CA5453" w:rsidRPr="00EF570D" w:rsidRDefault="005B02CC" w:rsidP="00EF570D">
      <w:pPr>
        <w:pStyle w:val="ChapterHeading"/>
      </w:pPr>
      <w:bookmarkStart w:id="20" w:name="_Toc122265826"/>
      <w:bookmarkStart w:id="21" w:name="_Toc122509016"/>
      <w:bookmarkStart w:id="22" w:name="_Toc122842870"/>
      <w:bookmarkStart w:id="23" w:name="_Toc284412120"/>
      <w:bookmarkStart w:id="24" w:name="_Toc505257222"/>
      <w:bookmarkStart w:id="25" w:name="_Toc505689949"/>
      <w:bookmarkStart w:id="26" w:name="_Toc9934732"/>
      <w:r>
        <w:t>Introduction</w:t>
      </w:r>
      <w:bookmarkEnd w:id="20"/>
      <w:bookmarkEnd w:id="21"/>
      <w:bookmarkEnd w:id="22"/>
      <w:bookmarkEnd w:id="23"/>
      <w:bookmarkEnd w:id="24"/>
      <w:bookmarkEnd w:id="25"/>
      <w:bookmarkEnd w:id="26"/>
    </w:p>
    <w:p w14:paraId="01DAE629" w14:textId="0B15E1EB" w:rsidR="00D02384" w:rsidRDefault="00D02384" w:rsidP="00D02384">
      <w:pPr>
        <w:pStyle w:val="Heading2"/>
        <w:keepNext/>
        <w:numPr>
          <w:ilvl w:val="1"/>
          <w:numId w:val="0"/>
        </w:numPr>
        <w:tabs>
          <w:tab w:val="clear" w:pos="2581"/>
          <w:tab w:val="num" w:pos="851"/>
        </w:tabs>
        <w:spacing w:before="360" w:after="120"/>
        <w:ind w:left="851" w:hanging="851"/>
      </w:pPr>
      <w:bookmarkStart w:id="27" w:name="_Toc491332262"/>
      <w:bookmarkStart w:id="28" w:name="_Toc491332358"/>
      <w:bookmarkStart w:id="29" w:name="_Toc494379428"/>
      <w:bookmarkStart w:id="30" w:name="_Toc505257223"/>
      <w:bookmarkStart w:id="31" w:name="_Toc505689950"/>
      <w:bookmarkStart w:id="32" w:name="_Toc9934733"/>
      <w:bookmarkStart w:id="33" w:name="_Toc491332261"/>
      <w:bookmarkStart w:id="34" w:name="_Toc491332357"/>
      <w:bookmarkStart w:id="35" w:name="_Toc494379427"/>
      <w:r>
        <w:t>Objective</w:t>
      </w:r>
      <w:bookmarkEnd w:id="27"/>
      <w:bookmarkEnd w:id="28"/>
      <w:bookmarkEnd w:id="29"/>
      <w:bookmarkEnd w:id="30"/>
      <w:bookmarkEnd w:id="31"/>
      <w:bookmarkEnd w:id="32"/>
    </w:p>
    <w:p w14:paraId="07D5B8B6" w14:textId="5172E18D" w:rsidR="00D02384" w:rsidRDefault="004D7E5D" w:rsidP="00D02384">
      <w:pPr>
        <w:pStyle w:val="Paragrapgh"/>
      </w:pPr>
      <w:r>
        <w:t xml:space="preserve">This document </w:t>
      </w:r>
      <w:r w:rsidR="00412DEB">
        <w:t xml:space="preserve">describes at a high level the logical architecture of the new Switching Arrangements, to inform the design of enhancements that participating organisations will need to </w:t>
      </w:r>
      <w:r w:rsidR="0035049A">
        <w:t>make.</w:t>
      </w:r>
    </w:p>
    <w:p w14:paraId="2D1BBFE9" w14:textId="2DD022CA" w:rsidR="005B02CC" w:rsidRDefault="005B02CC" w:rsidP="005B02CC">
      <w:pPr>
        <w:pStyle w:val="Heading2"/>
        <w:keepNext/>
        <w:numPr>
          <w:ilvl w:val="1"/>
          <w:numId w:val="0"/>
        </w:numPr>
        <w:tabs>
          <w:tab w:val="clear" w:pos="2581"/>
          <w:tab w:val="num" w:pos="851"/>
        </w:tabs>
        <w:spacing w:before="360" w:after="120"/>
        <w:ind w:left="851" w:hanging="851"/>
      </w:pPr>
      <w:bookmarkStart w:id="36" w:name="_Toc491332263"/>
      <w:bookmarkStart w:id="37" w:name="_Toc491332359"/>
      <w:bookmarkStart w:id="38" w:name="_Toc494379429"/>
      <w:bookmarkStart w:id="39" w:name="_Toc505257224"/>
      <w:bookmarkStart w:id="40" w:name="_Toc505689951"/>
      <w:bookmarkStart w:id="41" w:name="_Toc9934734"/>
      <w:bookmarkEnd w:id="33"/>
      <w:bookmarkEnd w:id="34"/>
      <w:bookmarkEnd w:id="35"/>
      <w:r>
        <w:t>Scope</w:t>
      </w:r>
      <w:bookmarkEnd w:id="36"/>
      <w:bookmarkEnd w:id="37"/>
      <w:bookmarkEnd w:id="38"/>
      <w:bookmarkEnd w:id="39"/>
      <w:bookmarkEnd w:id="40"/>
      <w:bookmarkEnd w:id="41"/>
    </w:p>
    <w:p w14:paraId="68F51487" w14:textId="39E82C61" w:rsidR="00E23E6D" w:rsidRDefault="00E23E6D" w:rsidP="00EA2D73">
      <w:pPr>
        <w:pStyle w:val="Paragrapgh"/>
      </w:pPr>
      <w:r>
        <w:t xml:space="preserve">The data services included in this document are all </w:t>
      </w:r>
      <w:r w:rsidR="0030280B">
        <w:t xml:space="preserve">of </w:t>
      </w:r>
      <w:r>
        <w:t xml:space="preserve">those that will participate in the new Switching Arrangements and the interfaces between them. More detailed information is </w:t>
      </w:r>
      <w:r w:rsidR="0030280B">
        <w:t xml:space="preserve">provided where </w:t>
      </w:r>
      <w:r>
        <w:t>th</w:t>
      </w:r>
      <w:r w:rsidR="0030280B">
        <w:t>os</w:t>
      </w:r>
      <w:r>
        <w:t xml:space="preserve">e interfaces </w:t>
      </w:r>
      <w:r w:rsidR="0030280B">
        <w:t xml:space="preserve">interact </w:t>
      </w:r>
      <w:r>
        <w:t xml:space="preserve">with CSS than </w:t>
      </w:r>
      <w:r w:rsidR="0030280B">
        <w:t xml:space="preserve">for </w:t>
      </w:r>
      <w:r>
        <w:t>those where CSS is not involved.</w:t>
      </w:r>
    </w:p>
    <w:p w14:paraId="176BD10E" w14:textId="3E30B4EC" w:rsidR="000D3C06" w:rsidRDefault="00E23E6D" w:rsidP="00E23E6D">
      <w:pPr>
        <w:pStyle w:val="Paragrapgh"/>
      </w:pPr>
      <w:r>
        <w:t>T</w:t>
      </w:r>
      <w:r w:rsidR="005B02CC">
        <w:t xml:space="preserve">he </w:t>
      </w:r>
      <w:r w:rsidR="004D7E5D">
        <w:t>new</w:t>
      </w:r>
      <w:r>
        <w:t xml:space="preserve"> Switching A</w:t>
      </w:r>
      <w:r w:rsidR="005B02CC">
        <w:t xml:space="preserve">rrangements, </w:t>
      </w:r>
      <w:r>
        <w:t>are</w:t>
      </w:r>
      <w:r w:rsidR="005B02CC">
        <w:t xml:space="preserve"> summarised in </w:t>
      </w:r>
      <w:r w:rsidR="004D7E5D">
        <w:fldChar w:fldCharType="begin"/>
      </w:r>
      <w:r w:rsidR="004D7E5D">
        <w:instrText xml:space="preserve"> REF _Ref504735038 \h </w:instrText>
      </w:r>
      <w:r w:rsidR="004D7E5D">
        <w:fldChar w:fldCharType="separate"/>
      </w:r>
      <w:r w:rsidR="005D4843" w:rsidRPr="00A72CB6">
        <w:t xml:space="preserve">Figure </w:t>
      </w:r>
      <w:r w:rsidR="005D4843">
        <w:rPr>
          <w:noProof/>
        </w:rPr>
        <w:t>1</w:t>
      </w:r>
      <w:r w:rsidR="005D4843" w:rsidRPr="00A72CB6">
        <w:t xml:space="preserve"> - E2E Switching </w:t>
      </w:r>
      <w:r w:rsidR="005D4843">
        <w:t>Data Services Landscape</w:t>
      </w:r>
      <w:r w:rsidR="004D7E5D">
        <w:fldChar w:fldCharType="end"/>
      </w:r>
      <w:r>
        <w:t>.</w:t>
      </w:r>
    </w:p>
    <w:p w14:paraId="311CB5AA" w14:textId="4256372A" w:rsidR="001E0FE9" w:rsidRPr="00E23E6D" w:rsidRDefault="001E0FE9" w:rsidP="00E23E6D">
      <w:pPr>
        <w:pStyle w:val="Paragrapgh"/>
      </w:pPr>
      <w:r>
        <w:t>The architecture presented in this document is intended to be sufficiently generic not to constrain the technical approach eventually selected for CSS, such that innovative solutions may be considered where appropriate.</w:t>
      </w:r>
    </w:p>
    <w:p w14:paraId="0482F58C" w14:textId="1C586C63" w:rsidR="00E23E6D" w:rsidRDefault="00E23E6D" w:rsidP="00E23E6D">
      <w:pPr>
        <w:pStyle w:val="Paragrapgh"/>
      </w:pPr>
      <w:r>
        <w:t>The document contains sections which describe:</w:t>
      </w:r>
    </w:p>
    <w:p w14:paraId="6FC60FC8" w14:textId="79CBC360" w:rsidR="00E23E6D" w:rsidRDefault="00FD73C7" w:rsidP="00E23E6D">
      <w:pPr>
        <w:pStyle w:val="Paragrapgh"/>
        <w:numPr>
          <w:ilvl w:val="0"/>
          <w:numId w:val="50"/>
        </w:numPr>
      </w:pPr>
      <w:r>
        <w:t>The impact on each participant (both Market Participants and Central Data Services);</w:t>
      </w:r>
    </w:p>
    <w:p w14:paraId="79B6EDBF" w14:textId="052C18EF" w:rsidR="00FD73C7" w:rsidRDefault="00FD73C7" w:rsidP="00E23E6D">
      <w:pPr>
        <w:pStyle w:val="Paragrapgh"/>
        <w:numPr>
          <w:ilvl w:val="0"/>
          <w:numId w:val="50"/>
        </w:numPr>
      </w:pPr>
      <w:r>
        <w:t>The new interfaces that will be necessary;</w:t>
      </w:r>
    </w:p>
    <w:p w14:paraId="29FDB597" w14:textId="62135B19" w:rsidR="00FD73C7" w:rsidRDefault="00FD73C7" w:rsidP="00E23E6D">
      <w:pPr>
        <w:pStyle w:val="Paragrapgh"/>
        <w:numPr>
          <w:ilvl w:val="0"/>
          <w:numId w:val="50"/>
        </w:numPr>
      </w:pPr>
      <w:r>
        <w:t>Introductory information regarding the ABACUS Data Model;</w:t>
      </w:r>
    </w:p>
    <w:p w14:paraId="104FD7B8" w14:textId="557A6684" w:rsidR="00FD73C7" w:rsidRDefault="00FD73C7" w:rsidP="00E23E6D">
      <w:pPr>
        <w:pStyle w:val="Paragrapgh"/>
        <w:numPr>
          <w:ilvl w:val="0"/>
          <w:numId w:val="50"/>
        </w:numPr>
      </w:pPr>
      <w:r>
        <w:t>Interface Patterns (the four different types of interface) for those interfaces between CSS and participants;</w:t>
      </w:r>
    </w:p>
    <w:p w14:paraId="7EA9DC6E" w14:textId="1CD98BEA" w:rsidR="00FD73C7" w:rsidRDefault="00FD73C7" w:rsidP="00E23E6D">
      <w:pPr>
        <w:pStyle w:val="Paragrapgh"/>
        <w:numPr>
          <w:ilvl w:val="0"/>
          <w:numId w:val="50"/>
        </w:numPr>
      </w:pPr>
      <w:r>
        <w:t xml:space="preserve">All </w:t>
      </w:r>
      <w:r w:rsidR="0030280B">
        <w:t xml:space="preserve">of </w:t>
      </w:r>
      <w:r>
        <w:t>the ABACUS processes and the Market Participant/Central Data Service implicated in each; and</w:t>
      </w:r>
    </w:p>
    <w:p w14:paraId="7797A435" w14:textId="406C0C89" w:rsidR="00FD73C7" w:rsidRPr="00E23E6D" w:rsidRDefault="00FD73C7" w:rsidP="00E23E6D">
      <w:pPr>
        <w:pStyle w:val="Paragrapgh"/>
        <w:numPr>
          <w:ilvl w:val="0"/>
          <w:numId w:val="50"/>
        </w:numPr>
      </w:pPr>
      <w:r>
        <w:t>A summary of the logical architecture of CSS.</w:t>
      </w:r>
    </w:p>
    <w:p w14:paraId="19406051" w14:textId="2127CFD8" w:rsidR="00645BEC" w:rsidRDefault="00B302CB" w:rsidP="00EF570D">
      <w:pPr>
        <w:pStyle w:val="ChapterHeading"/>
      </w:pPr>
      <w:bookmarkStart w:id="42" w:name="_Toc9934735"/>
      <w:r>
        <w:t>Considerations and Impacts on Existing Participants</w:t>
      </w:r>
      <w:bookmarkEnd w:id="42"/>
    </w:p>
    <w:p w14:paraId="487B35F7" w14:textId="2685F5FE" w:rsidR="00CF0573" w:rsidRPr="00E73016" w:rsidRDefault="00B302CB" w:rsidP="00EA2D73">
      <w:pPr>
        <w:pStyle w:val="Heading2"/>
        <w:keepNext/>
        <w:numPr>
          <w:ilvl w:val="1"/>
          <w:numId w:val="0"/>
        </w:numPr>
        <w:tabs>
          <w:tab w:val="clear" w:pos="2581"/>
          <w:tab w:val="num" w:pos="851"/>
        </w:tabs>
        <w:spacing w:before="360" w:after="120"/>
        <w:ind w:left="851" w:hanging="851"/>
      </w:pPr>
      <w:bookmarkStart w:id="43" w:name="_Solution_Overview"/>
      <w:bookmarkStart w:id="44" w:name="_Toc9934736"/>
      <w:bookmarkEnd w:id="43"/>
      <w:r>
        <w:t>Introduction</w:t>
      </w:r>
      <w:bookmarkEnd w:id="44"/>
    </w:p>
    <w:p w14:paraId="02978CAA" w14:textId="77777777" w:rsidR="00B302CB" w:rsidRDefault="00B302CB" w:rsidP="00B302CB">
      <w:pPr>
        <w:pStyle w:val="Paragrapgh"/>
      </w:pPr>
      <w:r>
        <w:t>The new End-to-End (E2E) Switching Arrangements will be based around a new CSS, which will support a revised set of switching business processes, harmonising the arrangements across gas and electricity and delivering a faster, more efficient and more reliable switching process to consumers.  The CSS will be procured as a service, which will comprise design, build, test and operate.  The CSS solution may be procured from one or from many service providers.  Since the procurement structure is not yet known, the components have been expressed in this document in functional terms, as:</w:t>
      </w:r>
    </w:p>
    <w:p w14:paraId="0AFC100E" w14:textId="70BF70A8" w:rsidR="00B302CB" w:rsidRDefault="00B302CB" w:rsidP="00B302CB">
      <w:pPr>
        <w:pStyle w:val="BodyTextNormal"/>
        <w:numPr>
          <w:ilvl w:val="0"/>
          <w:numId w:val="57"/>
        </w:numPr>
      </w:pPr>
      <w:r w:rsidRPr="384C30E2">
        <w:rPr>
          <w:b/>
          <w:bCs/>
        </w:rPr>
        <w:t xml:space="preserve">CSS </w:t>
      </w:r>
      <w:r>
        <w:rPr>
          <w:b/>
          <w:bCs/>
        </w:rPr>
        <w:t>Registration Service</w:t>
      </w:r>
      <w:r w:rsidRPr="001C6188">
        <w:rPr>
          <w:bCs/>
        </w:rPr>
        <w:t>, which</w:t>
      </w:r>
      <w:r>
        <w:t xml:space="preserve"> manages the gas and electricity registrations and addresses associated with them;</w:t>
      </w:r>
    </w:p>
    <w:p w14:paraId="0300A8B5" w14:textId="77777777" w:rsidR="00B302CB" w:rsidRDefault="00B302CB" w:rsidP="00B302CB">
      <w:pPr>
        <w:pStyle w:val="BodyTextNormal"/>
        <w:numPr>
          <w:ilvl w:val="0"/>
          <w:numId w:val="57"/>
        </w:numPr>
      </w:pPr>
      <w:r w:rsidRPr="384C30E2">
        <w:rPr>
          <w:b/>
          <w:bCs/>
        </w:rPr>
        <w:t>Address Service</w:t>
      </w:r>
      <w:r>
        <w:t xml:space="preserve"> manages a complete list of GB standardised addresses and performs address matching; and</w:t>
      </w:r>
    </w:p>
    <w:p w14:paraId="4B54D407" w14:textId="2B30D7E5" w:rsidR="00B302CB" w:rsidRDefault="00B302CB" w:rsidP="00B302CB">
      <w:pPr>
        <w:pStyle w:val="BodyTextNormal"/>
        <w:numPr>
          <w:ilvl w:val="0"/>
          <w:numId w:val="57"/>
        </w:numPr>
      </w:pPr>
      <w:r w:rsidRPr="384C30E2">
        <w:rPr>
          <w:b/>
          <w:bCs/>
        </w:rPr>
        <w:t>Switching Network</w:t>
      </w:r>
      <w:r>
        <w:t xml:space="preserve"> connects CSS Registration Service to the other Switching Arrangements participants; in practice the requirements for this are likely to be fulfilled by use of DTN and iX</w:t>
      </w:r>
      <w:r w:rsidR="00D17C83">
        <w:t>N</w:t>
      </w:r>
      <w:r>
        <w:t>.</w:t>
      </w:r>
    </w:p>
    <w:p w14:paraId="1056E88B" w14:textId="77777777" w:rsidR="00B302CB" w:rsidRDefault="00B302CB" w:rsidP="00B302CB">
      <w:pPr>
        <w:pStyle w:val="Paragrapgh"/>
      </w:pPr>
      <w:r>
        <w:t>NOTE THAT ”CSS” in the rest of this document means CSS Registration Service; if “overall CSS solution” is meant, then this is stated explicitly.</w:t>
      </w:r>
    </w:p>
    <w:p w14:paraId="7123D178" w14:textId="77777777" w:rsidR="00B302CB" w:rsidRDefault="00B302CB" w:rsidP="00B302CB">
      <w:pPr>
        <w:pStyle w:val="Paragrapgh"/>
      </w:pPr>
      <w:r>
        <w:t>The Switching E2E product set, of which this document is part, has been produced in order to document the way the new arrangements will work across the electricity and gas industries as a whole.  Apart from forming the basis on which further, more detailed design work can be undertaken on the overall CSS solution, these documents are for use by existing industry participants, both by Central Data Service suppliers (such as xoserve, who provide UK Link) and Market Participants, such as suppliers, in order to begin the process of defining and assessing the changes they will need to make to their systems in order to take part in the new arrangements.</w:t>
      </w:r>
    </w:p>
    <w:p w14:paraId="0627D28C" w14:textId="29EF6EFC" w:rsidR="00B302CB" w:rsidRDefault="00B302CB" w:rsidP="00B302CB">
      <w:pPr>
        <w:pStyle w:val="Paragrapgh"/>
      </w:pPr>
      <w:r>
        <w:t xml:space="preserve">The sections that follow document these impacts at a high level, taking each existing participant in turn.  The information provided here is supported by further detail in D-4.1.2 E2E Detailed Design Model held in the CASE tool ABACUS - see </w:t>
      </w:r>
      <w:r w:rsidR="00D0240C">
        <w:t>D-4.1.2 - Detailed Design Models</w:t>
      </w:r>
      <w:r w:rsidR="00D0240C" w:rsidRPr="00B302CB">
        <w:rPr>
          <w:vertAlign w:val="superscript"/>
        </w:rPr>
        <w:fldChar w:fldCharType="begin"/>
      </w:r>
      <w:r w:rsidR="00D0240C" w:rsidRPr="00B302CB">
        <w:rPr>
          <w:vertAlign w:val="superscript"/>
        </w:rPr>
        <w:instrText xml:space="preserve"> REF D_4_1_2 \h </w:instrText>
      </w:r>
      <w:r w:rsidR="00D0240C">
        <w:rPr>
          <w:vertAlign w:val="superscript"/>
        </w:rPr>
        <w:instrText xml:space="preserve"> \* MERGEFORMAT </w:instrText>
      </w:r>
      <w:r w:rsidR="00D0240C" w:rsidRPr="00B302CB">
        <w:rPr>
          <w:vertAlign w:val="superscript"/>
        </w:rPr>
      </w:r>
      <w:r w:rsidR="00D0240C" w:rsidRPr="00B302CB">
        <w:rPr>
          <w:vertAlign w:val="superscript"/>
        </w:rPr>
        <w:fldChar w:fldCharType="separate"/>
      </w:r>
      <w:r w:rsidR="005D4843" w:rsidRPr="005D4843">
        <w:rPr>
          <w:vertAlign w:val="superscript"/>
        </w:rPr>
        <w:t>[2]</w:t>
      </w:r>
      <w:r w:rsidR="00D0240C" w:rsidRPr="00B302CB">
        <w:rPr>
          <w:vertAlign w:val="superscript"/>
        </w:rPr>
        <w:fldChar w:fldCharType="end"/>
      </w:r>
      <w:r>
        <w:t>.  An organisation wishing to understand the full details will need to invest time in understanding this model.</w:t>
      </w:r>
    </w:p>
    <w:p w14:paraId="40C4F257" w14:textId="77777777" w:rsidR="00B302CB" w:rsidRDefault="00B302CB" w:rsidP="00B302CB">
      <w:pPr>
        <w:pStyle w:val="Paragrapgh"/>
      </w:pPr>
      <w:r>
        <w:t>The sections describing the impacts have been ordered as follows:</w:t>
      </w:r>
    </w:p>
    <w:p w14:paraId="5E91D742" w14:textId="77777777" w:rsidR="00B302CB" w:rsidRDefault="00B302CB" w:rsidP="00B302CB">
      <w:pPr>
        <w:pStyle w:val="Paragrapgh"/>
        <w:numPr>
          <w:ilvl w:val="0"/>
          <w:numId w:val="58"/>
        </w:numPr>
      </w:pPr>
      <w:r>
        <w:t>Central Data Services;</w:t>
      </w:r>
    </w:p>
    <w:p w14:paraId="1BFBEF26" w14:textId="77777777" w:rsidR="00B302CB" w:rsidRDefault="00B302CB" w:rsidP="00B302CB">
      <w:pPr>
        <w:pStyle w:val="Paragrapgh"/>
        <w:numPr>
          <w:ilvl w:val="0"/>
          <w:numId w:val="58"/>
        </w:numPr>
      </w:pPr>
      <w:r>
        <w:t>Market Participants;</w:t>
      </w:r>
    </w:p>
    <w:p w14:paraId="2B12350F" w14:textId="77777777" w:rsidR="00B302CB" w:rsidRDefault="00B302CB" w:rsidP="00B302CB">
      <w:pPr>
        <w:pStyle w:val="Paragrapgh"/>
        <w:numPr>
          <w:ilvl w:val="0"/>
          <w:numId w:val="58"/>
        </w:numPr>
      </w:pPr>
      <w:r>
        <w:t xml:space="preserve">Agents; and </w:t>
      </w:r>
    </w:p>
    <w:p w14:paraId="748A5963" w14:textId="77777777" w:rsidR="00B302CB" w:rsidRDefault="00B302CB" w:rsidP="00B302CB">
      <w:pPr>
        <w:pStyle w:val="Paragrapgh"/>
        <w:numPr>
          <w:ilvl w:val="0"/>
          <w:numId w:val="58"/>
        </w:numPr>
      </w:pPr>
      <w:r>
        <w:t>Other Participants.</w:t>
      </w:r>
    </w:p>
    <w:p w14:paraId="1F071C71" w14:textId="77777777" w:rsidR="00B302CB" w:rsidRDefault="00B302CB" w:rsidP="00B302CB">
      <w:pPr>
        <w:pStyle w:val="Paragrapgh"/>
      </w:pPr>
      <w:r>
        <w:t>Following this are some general architectural concepts which are important to understand in order to assimilate the information in the ABACUS model and to understand the way in which the interfaces with CSS will work.</w:t>
      </w:r>
    </w:p>
    <w:p w14:paraId="1B173D0E" w14:textId="77777777" w:rsidR="00B302CB" w:rsidRDefault="00B302CB" w:rsidP="00B302CB">
      <w:pPr>
        <w:pStyle w:val="Paragrapgh"/>
      </w:pPr>
      <w:r>
        <w:t xml:space="preserve">Full impact assessment </w:t>
      </w:r>
      <w:r>
        <w:rPr>
          <w:rFonts w:ascii="Arial" w:hAnsi="Arial" w:cs="Arial"/>
        </w:rPr>
        <w:t>‎</w:t>
      </w:r>
      <w:r>
        <w:t>will require analysis of this document in combination with:</w:t>
      </w:r>
    </w:p>
    <w:p w14:paraId="658E0E96" w14:textId="49E2D0CF" w:rsidR="00B302CB" w:rsidRDefault="00D0240C" w:rsidP="00176198">
      <w:pPr>
        <w:pStyle w:val="ListBullet"/>
      </w:pPr>
      <w:r>
        <w:t>D-4.1.2 - Detailed Design Models</w:t>
      </w:r>
      <w:r w:rsidRPr="00B302CB">
        <w:rPr>
          <w:vertAlign w:val="superscript"/>
        </w:rPr>
        <w:fldChar w:fldCharType="begin"/>
      </w:r>
      <w:r w:rsidRPr="00B302CB">
        <w:rPr>
          <w:vertAlign w:val="superscript"/>
        </w:rPr>
        <w:instrText xml:space="preserve"> REF D_4_1_2 \h </w:instrText>
      </w:r>
      <w:r>
        <w:rPr>
          <w:vertAlign w:val="superscript"/>
        </w:rPr>
        <w:instrText xml:space="preserve"> \* MERGEFORMAT </w:instrText>
      </w:r>
      <w:r w:rsidRPr="00B302CB">
        <w:rPr>
          <w:vertAlign w:val="superscript"/>
        </w:rPr>
      </w:r>
      <w:r w:rsidRPr="00B302CB">
        <w:rPr>
          <w:vertAlign w:val="superscript"/>
        </w:rPr>
        <w:fldChar w:fldCharType="separate"/>
      </w:r>
      <w:r w:rsidR="005D4843" w:rsidRPr="005D4843">
        <w:rPr>
          <w:vertAlign w:val="superscript"/>
        </w:rPr>
        <w:t>[2]</w:t>
      </w:r>
      <w:r w:rsidRPr="00B302CB">
        <w:rPr>
          <w:vertAlign w:val="superscript"/>
        </w:rPr>
        <w:fldChar w:fldCharType="end"/>
      </w:r>
      <w:r w:rsidR="00B302CB">
        <w:t xml:space="preserve"> – including E2E Business Processes, Interaction Sequence Diagrams, Logical Data Model and Interface Specifications</w:t>
      </w:r>
    </w:p>
    <w:p w14:paraId="15D27BCB" w14:textId="74193535" w:rsidR="00B302CB" w:rsidRDefault="00B302CB" w:rsidP="00176198">
      <w:pPr>
        <w:pStyle w:val="ListBullet"/>
      </w:pPr>
      <w:r>
        <w:t>D-4.1.4 – Non-Functional Requirements</w:t>
      </w:r>
      <w:r w:rsidRPr="00B302CB">
        <w:rPr>
          <w:vertAlign w:val="superscript"/>
        </w:rPr>
        <w:fldChar w:fldCharType="begin"/>
      </w:r>
      <w:r w:rsidRPr="00B302CB">
        <w:rPr>
          <w:vertAlign w:val="superscript"/>
        </w:rPr>
        <w:instrText xml:space="preserve"> REF D_4_1_4 \h </w:instrText>
      </w:r>
      <w:r>
        <w:rPr>
          <w:vertAlign w:val="superscript"/>
        </w:rPr>
        <w:instrText xml:space="preserve"> \* MERGEFORMAT </w:instrText>
      </w:r>
      <w:r w:rsidRPr="00B302CB">
        <w:rPr>
          <w:vertAlign w:val="superscript"/>
        </w:rPr>
      </w:r>
      <w:r w:rsidRPr="00B302CB">
        <w:rPr>
          <w:vertAlign w:val="superscript"/>
        </w:rPr>
        <w:fldChar w:fldCharType="separate"/>
      </w:r>
      <w:r w:rsidR="005D4843" w:rsidRPr="005D4843">
        <w:rPr>
          <w:vertAlign w:val="superscript"/>
        </w:rPr>
        <w:t>[3]</w:t>
      </w:r>
      <w:r w:rsidRPr="00B302CB">
        <w:rPr>
          <w:vertAlign w:val="superscript"/>
        </w:rPr>
        <w:fldChar w:fldCharType="end"/>
      </w:r>
    </w:p>
    <w:p w14:paraId="2D0C2B23" w14:textId="25D02E0C" w:rsidR="00B302CB" w:rsidRDefault="00B302CB" w:rsidP="00176198">
      <w:pPr>
        <w:pStyle w:val="ListBullet"/>
      </w:pPr>
      <w:r>
        <w:t>D-4.1.6 - Operational Choreography</w:t>
      </w:r>
      <w:r w:rsidRPr="00B302CB">
        <w:rPr>
          <w:vertAlign w:val="superscript"/>
        </w:rPr>
        <w:fldChar w:fldCharType="begin"/>
      </w:r>
      <w:r w:rsidRPr="00B302CB">
        <w:rPr>
          <w:vertAlign w:val="superscript"/>
        </w:rPr>
        <w:instrText xml:space="preserve"> REF D_4_1_6 \h </w:instrText>
      </w:r>
      <w:r>
        <w:rPr>
          <w:vertAlign w:val="superscript"/>
        </w:rPr>
        <w:instrText xml:space="preserve"> \* MERGEFORMAT </w:instrText>
      </w:r>
      <w:r w:rsidRPr="00B302CB">
        <w:rPr>
          <w:vertAlign w:val="superscript"/>
        </w:rPr>
      </w:r>
      <w:r w:rsidRPr="00B302CB">
        <w:rPr>
          <w:vertAlign w:val="superscript"/>
        </w:rPr>
        <w:fldChar w:fldCharType="separate"/>
      </w:r>
      <w:r w:rsidR="005D4843" w:rsidRPr="005D4843">
        <w:rPr>
          <w:vertAlign w:val="superscript"/>
        </w:rPr>
        <w:t>[4]</w:t>
      </w:r>
      <w:r w:rsidRPr="00B302CB">
        <w:rPr>
          <w:vertAlign w:val="superscript"/>
        </w:rPr>
        <w:fldChar w:fldCharType="end"/>
      </w:r>
    </w:p>
    <w:p w14:paraId="46DFB681" w14:textId="2001EA46" w:rsidR="00B302CB" w:rsidRDefault="00B302CB" w:rsidP="00176198">
      <w:pPr>
        <w:pStyle w:val="ListBullet"/>
      </w:pPr>
      <w:r>
        <w:t>D-4.1 – DB3 E2E Design Assumptions</w:t>
      </w:r>
      <w:r w:rsidRPr="00B302CB">
        <w:rPr>
          <w:vertAlign w:val="superscript"/>
        </w:rPr>
        <w:fldChar w:fldCharType="begin"/>
      </w:r>
      <w:r w:rsidRPr="00B302CB">
        <w:rPr>
          <w:vertAlign w:val="superscript"/>
        </w:rPr>
        <w:instrText xml:space="preserve"> REF D_4_1 \h </w:instrText>
      </w:r>
      <w:r>
        <w:rPr>
          <w:vertAlign w:val="superscript"/>
        </w:rPr>
        <w:instrText xml:space="preserve"> \* MERGEFORMAT </w:instrText>
      </w:r>
      <w:r w:rsidRPr="00B302CB">
        <w:rPr>
          <w:vertAlign w:val="superscript"/>
        </w:rPr>
      </w:r>
      <w:r w:rsidRPr="00B302CB">
        <w:rPr>
          <w:vertAlign w:val="superscript"/>
        </w:rPr>
        <w:fldChar w:fldCharType="separate"/>
      </w:r>
      <w:r w:rsidR="00F03AB2" w:rsidRPr="0057528B">
        <w:rPr>
          <w:vertAlign w:val="superscript"/>
        </w:rPr>
        <w:t>[7]</w:t>
      </w:r>
      <w:r w:rsidRPr="00B302CB">
        <w:rPr>
          <w:vertAlign w:val="superscript"/>
        </w:rPr>
        <w:fldChar w:fldCharType="end"/>
      </w:r>
    </w:p>
    <w:p w14:paraId="0F695612" w14:textId="77777777" w:rsidR="00B302CB" w:rsidRPr="00FC5269" w:rsidRDefault="00B302CB" w:rsidP="00176198">
      <w:pPr>
        <w:pStyle w:val="ListBullet"/>
      </w:pPr>
      <w:r w:rsidRPr="00FC5269">
        <w:t>MRASCo Data Transfer Catalogue for existing interfaces between parties defined in the As-Is Electricity switching arrangements</w:t>
      </w:r>
    </w:p>
    <w:p w14:paraId="5717B6E5" w14:textId="77777777" w:rsidR="00B302CB" w:rsidRDefault="00B302CB" w:rsidP="00176198">
      <w:pPr>
        <w:pStyle w:val="ListBullet"/>
      </w:pPr>
      <w:r w:rsidRPr="00FC5269">
        <w:t>SPAA RGMA Data Transfer Catalogue for existing interfaces between parties defined in the As-Is Gas switching arrangements</w:t>
      </w:r>
    </w:p>
    <w:p w14:paraId="43D05E89" w14:textId="77777777" w:rsidR="00B302CB" w:rsidRDefault="00B302CB" w:rsidP="00176198">
      <w:pPr>
        <w:pStyle w:val="ListBullet"/>
      </w:pPr>
      <w:r>
        <w:t>The UK LINK MANUAL STANDARDS GUIDE. July 2017, Version 16 for interfaces between UK Link and Shippers Third Parties’ existing technical and operational documentation as required</w:t>
      </w:r>
    </w:p>
    <w:p w14:paraId="30E39472" w14:textId="04855261" w:rsidR="00B302CB" w:rsidRDefault="00B302CB" w:rsidP="00B302CB">
      <w:pPr>
        <w:pStyle w:val="Paragrapgh"/>
        <w:sectPr w:rsidR="00B302CB" w:rsidSect="005D4843">
          <w:headerReference w:type="even" r:id="rId13"/>
          <w:headerReference w:type="default" r:id="rId14"/>
          <w:footerReference w:type="even" r:id="rId15"/>
          <w:footerReference w:type="default" r:id="rId16"/>
          <w:headerReference w:type="first" r:id="rId17"/>
          <w:footerReference w:type="first" r:id="rId18"/>
          <w:pgSz w:w="11900" w:h="16840" w:code="9"/>
          <w:pgMar w:top="1440" w:right="1080" w:bottom="1440" w:left="1080" w:header="340" w:footer="397" w:gutter="0"/>
          <w:cols w:space="708"/>
          <w:titlePg/>
          <w:docGrid w:linePitch="299"/>
        </w:sectPr>
      </w:pPr>
      <w:r>
        <w:t>Service Management and Operations related services and interfaces are not covered in this document. For more information, please refer to D-4.1.9 E2E Switching Service Management Strategy</w:t>
      </w:r>
      <w:r w:rsidRPr="00B302CB">
        <w:rPr>
          <w:vertAlign w:val="superscript"/>
        </w:rPr>
        <w:fldChar w:fldCharType="begin"/>
      </w:r>
      <w:r w:rsidRPr="00B302CB">
        <w:rPr>
          <w:vertAlign w:val="superscript"/>
        </w:rPr>
        <w:instrText xml:space="preserve"> REF D_4_1_9 \h </w:instrText>
      </w:r>
      <w:r>
        <w:rPr>
          <w:vertAlign w:val="superscript"/>
        </w:rPr>
        <w:instrText xml:space="preserve"> \* MERGEFORMAT </w:instrText>
      </w:r>
      <w:r w:rsidRPr="00B302CB">
        <w:rPr>
          <w:vertAlign w:val="superscript"/>
        </w:rPr>
      </w:r>
      <w:r w:rsidRPr="00B302CB">
        <w:rPr>
          <w:vertAlign w:val="superscript"/>
        </w:rPr>
        <w:fldChar w:fldCharType="separate"/>
      </w:r>
      <w:r w:rsidR="00AD4B48" w:rsidRPr="0057528B">
        <w:rPr>
          <w:vertAlign w:val="superscript"/>
        </w:rPr>
        <w:t>[5]</w:t>
      </w:r>
      <w:r w:rsidRPr="00B302CB">
        <w:rPr>
          <w:vertAlign w:val="superscript"/>
        </w:rPr>
        <w:fldChar w:fldCharType="end"/>
      </w:r>
      <w:r>
        <w:t>.</w:t>
      </w:r>
    </w:p>
    <w:p w14:paraId="3B672E7D" w14:textId="4245B051" w:rsidR="008A5C04" w:rsidRPr="00055A1E" w:rsidRDefault="005328B8" w:rsidP="0057528B">
      <w:pPr>
        <w:pStyle w:val="Paragrapgh"/>
        <w:numPr>
          <w:ilvl w:val="0"/>
          <w:numId w:val="0"/>
        </w:numPr>
      </w:pPr>
      <w:r>
        <w:object w:dxaOrig="26971" w:dyaOrig="16845" w14:anchorId="4114DA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3.8pt;height:320.05pt" o:ole="">
            <v:imagedata r:id="rId19" o:title=""/>
          </v:shape>
          <o:OLEObject Type="Embed" ProgID="Visio.Drawing.15" ShapeID="_x0000_i1025" DrawAspect="Content" ObjectID="_1624089930" r:id="rId20"/>
        </w:object>
      </w:r>
    </w:p>
    <w:p w14:paraId="45DDC7FF" w14:textId="558D37A7" w:rsidR="008A5C04" w:rsidRDefault="008A5C04" w:rsidP="004D7E5D">
      <w:pPr>
        <w:pStyle w:val="Caption"/>
        <w:sectPr w:rsidR="008A5C04" w:rsidSect="007F763B">
          <w:pgSz w:w="16840" w:h="11900" w:orient="landscape" w:code="9"/>
          <w:pgMar w:top="1080" w:right="1440" w:bottom="1080" w:left="1440" w:header="340" w:footer="397" w:gutter="0"/>
          <w:cols w:space="708"/>
          <w:docGrid w:linePitch="299"/>
        </w:sectPr>
      </w:pPr>
      <w:bookmarkStart w:id="45" w:name="_Ref504042847"/>
      <w:bookmarkStart w:id="46" w:name="_Ref504042855"/>
      <w:bookmarkStart w:id="47" w:name="_Ref504735038"/>
      <w:r w:rsidRPr="00A72CB6">
        <w:t xml:space="preserve">Figure </w:t>
      </w:r>
      <w:r w:rsidR="00112F53">
        <w:rPr>
          <w:noProof/>
        </w:rPr>
        <w:fldChar w:fldCharType="begin"/>
      </w:r>
      <w:r w:rsidR="00112F53">
        <w:rPr>
          <w:noProof/>
        </w:rPr>
        <w:instrText xml:space="preserve"> SEQ Figure \* ARABIC </w:instrText>
      </w:r>
      <w:r w:rsidR="00112F53">
        <w:rPr>
          <w:noProof/>
        </w:rPr>
        <w:fldChar w:fldCharType="separate"/>
      </w:r>
      <w:r w:rsidR="005D4843">
        <w:rPr>
          <w:noProof/>
        </w:rPr>
        <w:t>1</w:t>
      </w:r>
      <w:r w:rsidR="00112F53">
        <w:rPr>
          <w:noProof/>
        </w:rPr>
        <w:fldChar w:fldCharType="end"/>
      </w:r>
      <w:bookmarkEnd w:id="45"/>
      <w:r w:rsidRPr="00A72CB6">
        <w:t xml:space="preserve"> - E2E Switching </w:t>
      </w:r>
      <w:r w:rsidR="005D088F">
        <w:t xml:space="preserve">Data Services </w:t>
      </w:r>
      <w:r w:rsidR="007F763B">
        <w:t>Landscap</w:t>
      </w:r>
      <w:bookmarkEnd w:id="46"/>
      <w:r w:rsidR="004D7E5D">
        <w:t>e</w:t>
      </w:r>
      <w:bookmarkEnd w:id="47"/>
    </w:p>
    <w:p w14:paraId="577D8DE3" w14:textId="77777777" w:rsidR="005737E9" w:rsidRDefault="005737E9" w:rsidP="005737E9">
      <w:pPr>
        <w:pStyle w:val="Paragrapgh"/>
      </w:pPr>
      <w:bookmarkStart w:id="48" w:name="_Toc491332308"/>
      <w:bookmarkStart w:id="49" w:name="_Toc491332404"/>
      <w:bookmarkStart w:id="50" w:name="_Toc494379469"/>
      <w:r>
        <w:t>Note the following conventions which are used for all UML type diagrams in this document:</w:t>
      </w:r>
    </w:p>
    <w:p w14:paraId="06B91BF4" w14:textId="77777777" w:rsidR="005737E9" w:rsidRDefault="005737E9" w:rsidP="005737E9">
      <w:pPr>
        <w:pStyle w:val="BodyTextNormal"/>
      </w:pPr>
      <w:r>
        <w:rPr>
          <w:noProof/>
          <w:lang w:eastAsia="en-GB"/>
        </w:rPr>
        <w:drawing>
          <wp:inline distT="0" distB="0" distL="0" distR="0" wp14:anchorId="3BC50CB2" wp14:editId="1184E042">
            <wp:extent cx="5610225" cy="55400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terface conventions.emz"/>
                    <pic:cNvPicPr/>
                  </pic:nvPicPr>
                  <pic:blipFill>
                    <a:blip r:embed="rId21"/>
                    <a:stretch>
                      <a:fillRect/>
                    </a:stretch>
                  </pic:blipFill>
                  <pic:spPr>
                    <a:xfrm>
                      <a:off x="0" y="0"/>
                      <a:ext cx="5755202" cy="568319"/>
                    </a:xfrm>
                    <a:prstGeom prst="rect">
                      <a:avLst/>
                    </a:prstGeom>
                  </pic:spPr>
                </pic:pic>
              </a:graphicData>
            </a:graphic>
          </wp:inline>
        </w:drawing>
      </w:r>
    </w:p>
    <w:p w14:paraId="067214FE" w14:textId="524A2968" w:rsidR="005737E9" w:rsidRDefault="005737E9" w:rsidP="005737E9">
      <w:pPr>
        <w:pStyle w:val="Caption"/>
      </w:pPr>
      <w:r w:rsidRPr="00A72CB6">
        <w:t xml:space="preserve">Figure </w:t>
      </w:r>
      <w:r w:rsidR="00112F53">
        <w:rPr>
          <w:noProof/>
        </w:rPr>
        <w:fldChar w:fldCharType="begin"/>
      </w:r>
      <w:r w:rsidR="00112F53">
        <w:rPr>
          <w:noProof/>
        </w:rPr>
        <w:instrText xml:space="preserve"> SEQ Figure \* ARABIC </w:instrText>
      </w:r>
      <w:r w:rsidR="00112F53">
        <w:rPr>
          <w:noProof/>
        </w:rPr>
        <w:fldChar w:fldCharType="separate"/>
      </w:r>
      <w:r w:rsidR="005D4843">
        <w:rPr>
          <w:noProof/>
        </w:rPr>
        <w:t>2</w:t>
      </w:r>
      <w:r w:rsidR="00112F53">
        <w:rPr>
          <w:noProof/>
        </w:rPr>
        <w:fldChar w:fldCharType="end"/>
      </w:r>
      <w:r w:rsidRPr="00A72CB6">
        <w:t xml:space="preserve"> – Interface Notation Conventions</w:t>
      </w:r>
    </w:p>
    <w:p w14:paraId="222EA0FD" w14:textId="650E54DD" w:rsidR="005737E9" w:rsidRDefault="005737E9" w:rsidP="005737E9">
      <w:pPr>
        <w:pStyle w:val="Paragrapgh"/>
      </w:pPr>
      <w:r>
        <w:t xml:space="preserve">While the Data Enquiry Service (DES) is represented as a single logical system in </w:t>
      </w:r>
      <w:r w:rsidR="0069587B">
        <w:fldChar w:fldCharType="begin"/>
      </w:r>
      <w:r w:rsidR="0069587B">
        <w:instrText xml:space="preserve"> REF _Ref504042847 \h </w:instrText>
      </w:r>
      <w:r w:rsidR="0069587B">
        <w:fldChar w:fldCharType="separate"/>
      </w:r>
      <w:r w:rsidR="005D4843" w:rsidRPr="00A72CB6">
        <w:t xml:space="preserve">Figure </w:t>
      </w:r>
      <w:r w:rsidR="005D4843">
        <w:rPr>
          <w:noProof/>
        </w:rPr>
        <w:t>1</w:t>
      </w:r>
      <w:r w:rsidR="0069587B">
        <w:fldChar w:fldCharType="end"/>
      </w:r>
      <w:r>
        <w:t xml:space="preserve"> above, the physical implementation is based on a SAP Business Warehouse application. Further details of the implementation are included in </w:t>
      </w:r>
      <w:r w:rsidR="005902DD">
        <w:fldChar w:fldCharType="begin"/>
      </w:r>
      <w:r w:rsidR="005902DD">
        <w:instrText xml:space="preserve"> REF _Ref505851190 \h </w:instrText>
      </w:r>
      <w:r w:rsidR="005902DD">
        <w:fldChar w:fldCharType="separate"/>
      </w:r>
      <w:r w:rsidR="009760D6" w:rsidRPr="00A73411">
        <w:t xml:space="preserve">Appendix </w:t>
      </w:r>
      <w:r w:rsidR="009760D6">
        <w:t>3</w:t>
      </w:r>
      <w:r w:rsidR="009760D6" w:rsidRPr="00A73411">
        <w:t xml:space="preserve"> </w:t>
      </w:r>
      <w:r w:rsidR="009760D6">
        <w:t>–</w:t>
      </w:r>
      <w:r w:rsidR="009760D6" w:rsidRPr="00A73411">
        <w:t xml:space="preserve"> </w:t>
      </w:r>
      <w:r w:rsidR="009760D6">
        <w:t>Structure of the DES Service</w:t>
      </w:r>
      <w:r w:rsidR="005902DD">
        <w:fldChar w:fldCharType="end"/>
      </w:r>
      <w:r>
        <w:t>.</w:t>
      </w:r>
    </w:p>
    <w:p w14:paraId="1EF60D08" w14:textId="102A6DC1" w:rsidR="003825AF" w:rsidRPr="005C1631" w:rsidRDefault="00242539" w:rsidP="00205138">
      <w:pPr>
        <w:pStyle w:val="Paragrapgh"/>
      </w:pPr>
      <w:r w:rsidRPr="005C1631">
        <w:t xml:space="preserve">The following table </w:t>
      </w:r>
      <w:r>
        <w:t xml:space="preserve">gives a brief description of each of </w:t>
      </w:r>
      <w:r w:rsidRPr="005C1631">
        <w:t xml:space="preserve">the </w:t>
      </w:r>
      <w:r>
        <w:t>data services outlined</w:t>
      </w:r>
      <w:r w:rsidRPr="005C1631">
        <w:t xml:space="preserve"> </w:t>
      </w:r>
      <w:r>
        <w:t xml:space="preserve">in </w:t>
      </w:r>
      <w:r>
        <w:fldChar w:fldCharType="begin"/>
      </w:r>
      <w:r>
        <w:instrText xml:space="preserve"> REF _Ref504735038 \h </w:instrText>
      </w:r>
      <w:r>
        <w:fldChar w:fldCharType="separate"/>
      </w:r>
      <w:r w:rsidR="005D4843" w:rsidRPr="00A72CB6">
        <w:t xml:space="preserve">Figure </w:t>
      </w:r>
      <w:r w:rsidR="005D4843">
        <w:rPr>
          <w:noProof/>
        </w:rPr>
        <w:t>1</w:t>
      </w:r>
      <w:r w:rsidR="005D4843" w:rsidRPr="00A72CB6">
        <w:t xml:space="preserve"> - E2E Switching </w:t>
      </w:r>
      <w:r w:rsidR="005D4843">
        <w:t>Data Services Landscape</w:t>
      </w:r>
      <w:r>
        <w:fldChar w:fldCharType="end"/>
      </w:r>
      <w:r>
        <w:t xml:space="preserve"> that is </w:t>
      </w:r>
      <w:r w:rsidRPr="005C1631">
        <w:t>within scope of the E2E architecture for CSS</w:t>
      </w:r>
      <w:r>
        <w:t xml:space="preserve">, and their role in the </w:t>
      </w:r>
      <w:r w:rsidR="00C07C5F">
        <w:t>Switching Arrangements</w:t>
      </w:r>
      <w:r>
        <w:t>. Subsequent sections</w:t>
      </w:r>
      <w:r w:rsidRPr="005C1631">
        <w:t xml:space="preserve"> provide an analysis of the impact </w:t>
      </w:r>
      <w:r>
        <w:t>that</w:t>
      </w:r>
      <w:r w:rsidRPr="005C1631">
        <w:t xml:space="preserve"> the new solution will have on these </w:t>
      </w:r>
      <w:r>
        <w:t>data services.</w:t>
      </w:r>
    </w:p>
    <w:tbl>
      <w:tblPr>
        <w:tblStyle w:val="TableTemplate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211"/>
        <w:gridCol w:w="1496"/>
        <w:gridCol w:w="6023"/>
      </w:tblGrid>
      <w:tr w:rsidR="00BB29F7" w:rsidRPr="00324AA6" w14:paraId="5A3B4C2E" w14:textId="77777777" w:rsidTr="005A3E2C">
        <w:trPr>
          <w:cnfStyle w:val="100000000000" w:firstRow="1" w:lastRow="0" w:firstColumn="0" w:lastColumn="0" w:oddVBand="0" w:evenVBand="0" w:oddHBand="0" w:evenHBand="0" w:firstRowFirstColumn="0" w:firstRowLastColumn="0" w:lastRowFirstColumn="0" w:lastRowLastColumn="0"/>
        </w:trPr>
        <w:tc>
          <w:tcPr>
            <w:tcW w:w="1136" w:type="pct"/>
            <w:shd w:val="clear" w:color="auto" w:fill="A6A6A6" w:themeFill="background1" w:themeFillShade="A6"/>
            <w:vAlign w:val="top"/>
            <w:hideMark/>
          </w:tcPr>
          <w:p w14:paraId="605EA6A6" w14:textId="244FDAF7" w:rsidR="00BB29F7" w:rsidRPr="00324AA6" w:rsidRDefault="005A3E2C" w:rsidP="00A81986">
            <w:pPr>
              <w:pStyle w:val="TableHeadings"/>
            </w:pPr>
            <w:r>
              <w:t>Data Services</w:t>
            </w:r>
          </w:p>
        </w:tc>
        <w:tc>
          <w:tcPr>
            <w:tcW w:w="769" w:type="pct"/>
            <w:shd w:val="clear" w:color="auto" w:fill="A6A6A6" w:themeFill="background1" w:themeFillShade="A6"/>
            <w:vAlign w:val="top"/>
          </w:tcPr>
          <w:p w14:paraId="2A2C17BB" w14:textId="77777777" w:rsidR="00BB29F7" w:rsidRPr="00324AA6" w:rsidRDefault="00BB29F7" w:rsidP="00A81986">
            <w:pPr>
              <w:pStyle w:val="TableHeadings"/>
            </w:pPr>
            <w:r>
              <w:t>Gas or Electricity</w:t>
            </w:r>
          </w:p>
        </w:tc>
        <w:tc>
          <w:tcPr>
            <w:tcW w:w="3095" w:type="pct"/>
            <w:shd w:val="clear" w:color="auto" w:fill="A6A6A6" w:themeFill="background1" w:themeFillShade="A6"/>
            <w:vAlign w:val="top"/>
            <w:hideMark/>
          </w:tcPr>
          <w:p w14:paraId="78972A36" w14:textId="77777777" w:rsidR="00BB29F7" w:rsidRPr="00324AA6" w:rsidRDefault="00BB29F7" w:rsidP="00A81986">
            <w:pPr>
              <w:pStyle w:val="TableHeadings"/>
            </w:pPr>
            <w:r w:rsidRPr="00324AA6">
              <w:t>Role in Switching Process</w:t>
            </w:r>
          </w:p>
        </w:tc>
      </w:tr>
      <w:tr w:rsidR="00BB29F7" w:rsidRPr="00EC5868" w14:paraId="68ED9AF7" w14:textId="77777777" w:rsidTr="005A3E2C">
        <w:trPr>
          <w:cnfStyle w:val="000000100000" w:firstRow="0" w:lastRow="0" w:firstColumn="0" w:lastColumn="0" w:oddVBand="0" w:evenVBand="0" w:oddHBand="1" w:evenHBand="0" w:firstRowFirstColumn="0" w:firstRowLastColumn="0" w:lastRowFirstColumn="0" w:lastRowLastColumn="0"/>
        </w:trPr>
        <w:tc>
          <w:tcPr>
            <w:tcW w:w="1136" w:type="pct"/>
            <w:shd w:val="clear" w:color="auto" w:fill="auto"/>
            <w:vAlign w:val="top"/>
          </w:tcPr>
          <w:p w14:paraId="2FE67693" w14:textId="13C949BB" w:rsidR="00DB3D3F" w:rsidRDefault="00261B6B" w:rsidP="00A81986">
            <w:pPr>
              <w:pStyle w:val="TableText-Left"/>
            </w:pPr>
            <w:r>
              <w:t xml:space="preserve">MIS </w:t>
            </w:r>
            <w:r w:rsidR="00DB3D3F">
              <w:t>TPIs</w:t>
            </w:r>
          </w:p>
          <w:p w14:paraId="375FB487" w14:textId="77777777" w:rsidR="00BB29F7" w:rsidRPr="00EC5868" w:rsidRDefault="00DB3D3F" w:rsidP="00A81986">
            <w:pPr>
              <w:pStyle w:val="TableText-Left"/>
            </w:pPr>
            <w:r>
              <w:t xml:space="preserve">e.g. </w:t>
            </w:r>
            <w:r w:rsidR="00BB29F7" w:rsidRPr="00BC24C1">
              <w:t>Price Comparison Websites (</w:t>
            </w:r>
            <w:r w:rsidR="00BB29F7">
              <w:t>PCW</w:t>
            </w:r>
            <w:r w:rsidR="00BB29F7" w:rsidRPr="00BC24C1">
              <w:t>)</w:t>
            </w:r>
            <w:r>
              <w:t>, Brokers</w:t>
            </w:r>
          </w:p>
        </w:tc>
        <w:tc>
          <w:tcPr>
            <w:tcW w:w="769" w:type="pct"/>
            <w:shd w:val="clear" w:color="auto" w:fill="auto"/>
            <w:vAlign w:val="top"/>
          </w:tcPr>
          <w:p w14:paraId="6D9D71B0" w14:textId="77777777" w:rsidR="00BB29F7" w:rsidRPr="00BC24C1" w:rsidRDefault="00BB29F7" w:rsidP="00A81986">
            <w:pPr>
              <w:pStyle w:val="TableText-Left"/>
            </w:pPr>
            <w:r>
              <w:t>Both</w:t>
            </w:r>
          </w:p>
        </w:tc>
        <w:tc>
          <w:tcPr>
            <w:tcW w:w="3095" w:type="pct"/>
            <w:shd w:val="clear" w:color="auto" w:fill="auto"/>
            <w:vAlign w:val="top"/>
          </w:tcPr>
          <w:p w14:paraId="4C1F5430" w14:textId="5F6585E1" w:rsidR="00BB29F7" w:rsidRPr="00EC5868" w:rsidRDefault="00786A0F" w:rsidP="00570554">
            <w:pPr>
              <w:pStyle w:val="TableText-Left"/>
            </w:pPr>
            <w:r>
              <w:t>Third Part</w:t>
            </w:r>
            <w:r w:rsidR="00417DD3">
              <w:t>y</w:t>
            </w:r>
            <w:r>
              <w:t xml:space="preserve"> Intermediary</w:t>
            </w:r>
            <w:r w:rsidR="00417DD3">
              <w:t>(ies)</w:t>
            </w:r>
            <w:r w:rsidR="009B28F0">
              <w:t>, a</w:t>
            </w:r>
            <w:r w:rsidR="00BB29F7" w:rsidRPr="00BC24C1">
              <w:t xml:space="preserve">llows (all) consumers to search </w:t>
            </w:r>
            <w:r w:rsidR="00BB29F7">
              <w:t>and</w:t>
            </w:r>
            <w:r w:rsidR="00BB29F7" w:rsidRPr="00BC24C1">
              <w:t xml:space="preserve"> compare supplier tariffs.</w:t>
            </w:r>
            <w:r w:rsidR="00D304E7">
              <w:t xml:space="preserve"> Prefix “MIS” refers to the “Market Intelligence Service” aspect of the switching arrangements that is </w:t>
            </w:r>
            <w:r w:rsidR="00570554">
              <w:t>fulfilled</w:t>
            </w:r>
            <w:r w:rsidR="00D304E7">
              <w:t xml:space="preserve"> by TPIs. </w:t>
            </w:r>
          </w:p>
        </w:tc>
      </w:tr>
      <w:tr w:rsidR="00BB29F7" w:rsidRPr="00EC5868" w14:paraId="1D51F619" w14:textId="77777777" w:rsidTr="005A3E2C">
        <w:trPr>
          <w:cnfStyle w:val="000000010000" w:firstRow="0" w:lastRow="0" w:firstColumn="0" w:lastColumn="0" w:oddVBand="0" w:evenVBand="0" w:oddHBand="0" w:evenHBand="1" w:firstRowFirstColumn="0" w:firstRowLastColumn="0" w:lastRowFirstColumn="0" w:lastRowLastColumn="0"/>
        </w:trPr>
        <w:tc>
          <w:tcPr>
            <w:tcW w:w="1136" w:type="pct"/>
            <w:shd w:val="clear" w:color="auto" w:fill="auto"/>
            <w:vAlign w:val="top"/>
          </w:tcPr>
          <w:p w14:paraId="7E5ED449" w14:textId="77777777" w:rsidR="00BB29F7" w:rsidRPr="00EC5868" w:rsidRDefault="00BB29F7" w:rsidP="00A81986">
            <w:pPr>
              <w:pStyle w:val="TableText-Left"/>
            </w:pPr>
            <w:r w:rsidRPr="00BC24C1">
              <w:t xml:space="preserve">Supplier (Gaining) </w:t>
            </w:r>
          </w:p>
        </w:tc>
        <w:tc>
          <w:tcPr>
            <w:tcW w:w="769" w:type="pct"/>
            <w:shd w:val="clear" w:color="auto" w:fill="auto"/>
            <w:vAlign w:val="top"/>
          </w:tcPr>
          <w:p w14:paraId="1702FD91" w14:textId="77777777" w:rsidR="00BB29F7" w:rsidRPr="00BC24C1" w:rsidRDefault="00BB29F7" w:rsidP="00A81986">
            <w:pPr>
              <w:pStyle w:val="TableText-Left"/>
            </w:pPr>
            <w:r>
              <w:t>Both</w:t>
            </w:r>
          </w:p>
        </w:tc>
        <w:tc>
          <w:tcPr>
            <w:tcW w:w="3095" w:type="pct"/>
            <w:shd w:val="clear" w:color="auto" w:fill="auto"/>
            <w:vAlign w:val="top"/>
          </w:tcPr>
          <w:p w14:paraId="68C65FB1" w14:textId="29A8B60E" w:rsidR="00BB29F7" w:rsidRPr="00EC5868" w:rsidRDefault="00BB29F7" w:rsidP="00A81986">
            <w:pPr>
              <w:pStyle w:val="TableText-Left"/>
            </w:pPr>
            <w:r w:rsidRPr="00BC24C1">
              <w:t>Agree</w:t>
            </w:r>
            <w:r w:rsidR="005737E9">
              <w:t>s</w:t>
            </w:r>
            <w:r w:rsidRPr="00BC24C1">
              <w:t xml:space="preserve"> contract with new </w:t>
            </w:r>
            <w:r w:rsidR="00C602A2">
              <w:t>consumer</w:t>
            </w:r>
            <w:r w:rsidRPr="00BC24C1">
              <w:t>. Carr</w:t>
            </w:r>
            <w:r w:rsidR="005737E9">
              <w:t>ies</w:t>
            </w:r>
            <w:r w:rsidRPr="00BC24C1">
              <w:t xml:space="preserve"> out pre-switch validation </w:t>
            </w:r>
            <w:r>
              <w:t>and</w:t>
            </w:r>
            <w:r w:rsidRPr="00BC24C1">
              <w:t xml:space="preserve"> issues </w:t>
            </w:r>
            <w:r w:rsidR="007D7B9A">
              <w:t>Switch Request</w:t>
            </w:r>
            <w:r w:rsidRPr="00BC24C1">
              <w:t xml:space="preserve">. </w:t>
            </w:r>
            <w:r w:rsidR="00090DB4">
              <w:t>May choose to withdraw switch requests or deactivate active registrations.</w:t>
            </w:r>
          </w:p>
        </w:tc>
      </w:tr>
      <w:tr w:rsidR="00BB29F7" w:rsidRPr="00EC5868" w14:paraId="660CD342" w14:textId="77777777" w:rsidTr="005A3E2C">
        <w:trPr>
          <w:cnfStyle w:val="000000100000" w:firstRow="0" w:lastRow="0" w:firstColumn="0" w:lastColumn="0" w:oddVBand="0" w:evenVBand="0" w:oddHBand="1" w:evenHBand="0" w:firstRowFirstColumn="0" w:firstRowLastColumn="0" w:lastRowFirstColumn="0" w:lastRowLastColumn="0"/>
          <w:trHeight w:val="372"/>
        </w:trPr>
        <w:tc>
          <w:tcPr>
            <w:tcW w:w="1136" w:type="pct"/>
            <w:shd w:val="clear" w:color="auto" w:fill="auto"/>
            <w:vAlign w:val="top"/>
          </w:tcPr>
          <w:p w14:paraId="6C5AED07" w14:textId="77777777" w:rsidR="00BB29F7" w:rsidRPr="00EC5868" w:rsidRDefault="00BB29F7" w:rsidP="00A81986">
            <w:pPr>
              <w:pStyle w:val="TableText-Left"/>
            </w:pPr>
            <w:r w:rsidRPr="00BC24C1">
              <w:t xml:space="preserve">Supplier (Losing) </w:t>
            </w:r>
          </w:p>
        </w:tc>
        <w:tc>
          <w:tcPr>
            <w:tcW w:w="769" w:type="pct"/>
            <w:shd w:val="clear" w:color="auto" w:fill="auto"/>
            <w:vAlign w:val="top"/>
          </w:tcPr>
          <w:p w14:paraId="77441E79" w14:textId="77777777" w:rsidR="00BB29F7" w:rsidRPr="00BC24C1" w:rsidRDefault="00BB29F7" w:rsidP="00A81986">
            <w:pPr>
              <w:pStyle w:val="TableText-Left"/>
            </w:pPr>
            <w:r>
              <w:t>Both</w:t>
            </w:r>
          </w:p>
        </w:tc>
        <w:tc>
          <w:tcPr>
            <w:tcW w:w="3095" w:type="pct"/>
            <w:shd w:val="clear" w:color="auto" w:fill="auto"/>
            <w:vAlign w:val="top"/>
          </w:tcPr>
          <w:p w14:paraId="0B520EC2" w14:textId="6699B6B2" w:rsidR="00BB29F7" w:rsidRPr="00EC5868" w:rsidRDefault="009041B3" w:rsidP="00A81986">
            <w:pPr>
              <w:pStyle w:val="TableText-Left"/>
            </w:pPr>
            <w:r>
              <w:t>Responds to invitation to object and may raise annulment</w:t>
            </w:r>
            <w:r w:rsidR="00646304">
              <w:t xml:space="preserve">, </w:t>
            </w:r>
            <w:r w:rsidR="00BB29F7" w:rsidRPr="00BC24C1">
              <w:t xml:space="preserve">initiates </w:t>
            </w:r>
            <w:r w:rsidR="00C602A2">
              <w:t>consumer</w:t>
            </w:r>
            <w:r w:rsidR="00BB29F7" w:rsidRPr="00BC24C1">
              <w:t xml:space="preserve"> contract termination processes.</w:t>
            </w:r>
          </w:p>
        </w:tc>
      </w:tr>
      <w:tr w:rsidR="00BB29F7" w:rsidRPr="00EC5868" w14:paraId="74F17618" w14:textId="77777777" w:rsidTr="005A3E2C">
        <w:trPr>
          <w:cnfStyle w:val="000000010000" w:firstRow="0" w:lastRow="0" w:firstColumn="0" w:lastColumn="0" w:oddVBand="0" w:evenVBand="0" w:oddHBand="0" w:evenHBand="1" w:firstRowFirstColumn="0" w:firstRowLastColumn="0" w:lastRowFirstColumn="0" w:lastRowLastColumn="0"/>
          <w:trHeight w:val="372"/>
        </w:trPr>
        <w:tc>
          <w:tcPr>
            <w:tcW w:w="1136" w:type="pct"/>
            <w:shd w:val="clear" w:color="auto" w:fill="auto"/>
            <w:vAlign w:val="top"/>
          </w:tcPr>
          <w:p w14:paraId="15118051" w14:textId="070D5B71" w:rsidR="00BB29F7" w:rsidRPr="00EC5868" w:rsidRDefault="00F47C06" w:rsidP="00A81986">
            <w:pPr>
              <w:pStyle w:val="TableText-Left"/>
            </w:pPr>
            <w:r>
              <w:t>Smart Metering Data Service</w:t>
            </w:r>
            <w:r w:rsidR="00295B9D">
              <w:rPr>
                <w:rStyle w:val="FootnoteReference"/>
              </w:rPr>
              <w:footnoteReference w:id="2"/>
            </w:r>
          </w:p>
        </w:tc>
        <w:tc>
          <w:tcPr>
            <w:tcW w:w="769" w:type="pct"/>
            <w:shd w:val="clear" w:color="auto" w:fill="auto"/>
            <w:vAlign w:val="top"/>
          </w:tcPr>
          <w:p w14:paraId="5B746822" w14:textId="77777777" w:rsidR="00BB29F7" w:rsidRDefault="00BB29F7" w:rsidP="00A81986">
            <w:pPr>
              <w:pStyle w:val="TableText-Left"/>
            </w:pPr>
            <w:r>
              <w:t>Both</w:t>
            </w:r>
          </w:p>
        </w:tc>
        <w:tc>
          <w:tcPr>
            <w:tcW w:w="3095" w:type="pct"/>
            <w:shd w:val="clear" w:color="auto" w:fill="auto"/>
            <w:vAlign w:val="top"/>
          </w:tcPr>
          <w:p w14:paraId="1BCBCFD9" w14:textId="745E25C8" w:rsidR="00BB29F7" w:rsidRPr="00EC5868" w:rsidRDefault="00734F5E" w:rsidP="00A81986">
            <w:pPr>
              <w:pStyle w:val="TableText-Left"/>
            </w:pPr>
            <w:r>
              <w:t>Manages the transfer of service requests and data between users and Smart Meters</w:t>
            </w:r>
            <w:r w:rsidR="00BB29F7">
              <w:t>.</w:t>
            </w:r>
          </w:p>
        </w:tc>
      </w:tr>
      <w:tr w:rsidR="00BB29F7" w:rsidRPr="00EC5868" w14:paraId="4C028BFB" w14:textId="77777777" w:rsidTr="005A3E2C">
        <w:trPr>
          <w:cnfStyle w:val="000000100000" w:firstRow="0" w:lastRow="0" w:firstColumn="0" w:lastColumn="0" w:oddVBand="0" w:evenVBand="0" w:oddHBand="1" w:evenHBand="0" w:firstRowFirstColumn="0" w:firstRowLastColumn="0" w:lastRowFirstColumn="0" w:lastRowLastColumn="0"/>
        </w:trPr>
        <w:tc>
          <w:tcPr>
            <w:tcW w:w="1136" w:type="pct"/>
            <w:shd w:val="clear" w:color="auto" w:fill="auto"/>
            <w:vAlign w:val="top"/>
          </w:tcPr>
          <w:p w14:paraId="6E4C74BF" w14:textId="22C6523A" w:rsidR="00BB29F7" w:rsidRPr="00EC5868" w:rsidRDefault="00DB63D0" w:rsidP="00A81986">
            <w:pPr>
              <w:pStyle w:val="TableText-Left"/>
            </w:pPr>
            <w:r>
              <w:t>MPAS</w:t>
            </w:r>
            <w:r w:rsidR="0097604D">
              <w:t xml:space="preserve"> (MPA</w:t>
            </w:r>
            <w:r w:rsidR="00BB29F7">
              <w:t>S)</w:t>
            </w:r>
          </w:p>
        </w:tc>
        <w:tc>
          <w:tcPr>
            <w:tcW w:w="769" w:type="pct"/>
            <w:shd w:val="clear" w:color="auto" w:fill="auto"/>
            <w:vAlign w:val="top"/>
          </w:tcPr>
          <w:p w14:paraId="0627B14F" w14:textId="77777777" w:rsidR="00BB29F7" w:rsidRDefault="00BB29F7" w:rsidP="00A81986">
            <w:pPr>
              <w:pStyle w:val="TableText-Left"/>
            </w:pPr>
            <w:r>
              <w:t>Electricity</w:t>
            </w:r>
          </w:p>
        </w:tc>
        <w:tc>
          <w:tcPr>
            <w:tcW w:w="3095" w:type="pct"/>
            <w:shd w:val="clear" w:color="auto" w:fill="auto"/>
            <w:vAlign w:val="top"/>
          </w:tcPr>
          <w:p w14:paraId="3BC9E929" w14:textId="2463AC35" w:rsidR="00BB29F7" w:rsidRPr="00EC5868" w:rsidRDefault="00417DD3" w:rsidP="00460619">
            <w:pPr>
              <w:pStyle w:val="TableText-Left"/>
            </w:pPr>
            <w:r>
              <w:t>Service m</w:t>
            </w:r>
            <w:r w:rsidR="00646304">
              <w:t>aintain</w:t>
            </w:r>
            <w:r>
              <w:t>ing</w:t>
            </w:r>
            <w:r w:rsidR="00646304">
              <w:t xml:space="preserve"> </w:t>
            </w:r>
            <w:r w:rsidR="00261B6B">
              <w:t xml:space="preserve">multiple </w:t>
            </w:r>
            <w:r w:rsidR="00646304">
              <w:t>d</w:t>
            </w:r>
            <w:r w:rsidR="00BB29F7">
              <w:t>atabase</w:t>
            </w:r>
            <w:r>
              <w:t>s</w:t>
            </w:r>
            <w:r w:rsidR="00BB29F7">
              <w:t xml:space="preserve"> of meter point</w:t>
            </w:r>
            <w:r>
              <w:t>s</w:t>
            </w:r>
            <w:r w:rsidR="00460619">
              <w:t xml:space="preserve">. Each DNO is </w:t>
            </w:r>
            <w:r w:rsidR="00460619" w:rsidRPr="00460619">
              <w:t>acting in the capacity as the provider of MPAS for Metering Points in its Distribution System</w:t>
            </w:r>
            <w:r w:rsidR="005A3E2C">
              <w:t>. Processes switching related data flows.</w:t>
            </w:r>
            <w:r w:rsidR="000C7227">
              <w:t xml:space="preserve"> </w:t>
            </w:r>
          </w:p>
        </w:tc>
      </w:tr>
      <w:tr w:rsidR="00BB29F7" w:rsidRPr="00EC5868" w14:paraId="7EB1EF35" w14:textId="77777777" w:rsidTr="005A3E2C">
        <w:trPr>
          <w:cnfStyle w:val="000000010000" w:firstRow="0" w:lastRow="0" w:firstColumn="0" w:lastColumn="0" w:oddVBand="0" w:evenVBand="0" w:oddHBand="0" w:evenHBand="1" w:firstRowFirstColumn="0" w:firstRowLastColumn="0" w:lastRowFirstColumn="0" w:lastRowLastColumn="0"/>
        </w:trPr>
        <w:tc>
          <w:tcPr>
            <w:tcW w:w="1136" w:type="pct"/>
            <w:shd w:val="clear" w:color="auto" w:fill="auto"/>
            <w:vAlign w:val="top"/>
          </w:tcPr>
          <w:p w14:paraId="18C0FDF8" w14:textId="2676DE7D" w:rsidR="00BB29F7" w:rsidRPr="00EC5868" w:rsidRDefault="00A1661D" w:rsidP="00DB3D3F">
            <w:pPr>
              <w:pStyle w:val="TableText-Left"/>
            </w:pPr>
            <w:r>
              <w:t>UK Link</w:t>
            </w:r>
          </w:p>
        </w:tc>
        <w:tc>
          <w:tcPr>
            <w:tcW w:w="769" w:type="pct"/>
            <w:shd w:val="clear" w:color="auto" w:fill="auto"/>
            <w:vAlign w:val="top"/>
          </w:tcPr>
          <w:p w14:paraId="3EDBC825" w14:textId="77777777" w:rsidR="00BB29F7" w:rsidRDefault="00BB29F7" w:rsidP="00A81986">
            <w:pPr>
              <w:pStyle w:val="TableText-Left"/>
            </w:pPr>
            <w:r>
              <w:t>Gas</w:t>
            </w:r>
          </w:p>
        </w:tc>
        <w:tc>
          <w:tcPr>
            <w:tcW w:w="3095" w:type="pct"/>
            <w:shd w:val="clear" w:color="auto" w:fill="auto"/>
            <w:vAlign w:val="top"/>
          </w:tcPr>
          <w:p w14:paraId="1099FE00" w14:textId="453CB8AF" w:rsidR="00BB29F7" w:rsidRPr="00EC5868" w:rsidRDefault="005A3E2C" w:rsidP="005A3E2C">
            <w:pPr>
              <w:pStyle w:val="TableText-Left"/>
            </w:pPr>
            <w:r>
              <w:t>Service maintaining</w:t>
            </w:r>
            <w:r w:rsidR="00646304">
              <w:t xml:space="preserve"> a database of supply meter point and registration data. Processes switching related data flows.</w:t>
            </w:r>
          </w:p>
        </w:tc>
      </w:tr>
      <w:tr w:rsidR="00BB29F7" w:rsidRPr="00EC5868" w14:paraId="697439A3" w14:textId="77777777" w:rsidTr="005A3E2C">
        <w:trPr>
          <w:cnfStyle w:val="000000100000" w:firstRow="0" w:lastRow="0" w:firstColumn="0" w:lastColumn="0" w:oddVBand="0" w:evenVBand="0" w:oddHBand="1" w:evenHBand="0" w:firstRowFirstColumn="0" w:firstRowLastColumn="0" w:lastRowFirstColumn="0" w:lastRowLastColumn="0"/>
        </w:trPr>
        <w:tc>
          <w:tcPr>
            <w:tcW w:w="1136" w:type="pct"/>
            <w:shd w:val="clear" w:color="auto" w:fill="auto"/>
            <w:vAlign w:val="top"/>
          </w:tcPr>
          <w:p w14:paraId="0B32C0B7" w14:textId="77777777" w:rsidR="00BB29F7" w:rsidRPr="00EC5868" w:rsidRDefault="00BB29F7" w:rsidP="00A81986">
            <w:pPr>
              <w:pStyle w:val="TableText-Left"/>
            </w:pPr>
            <w:r>
              <w:t>CSS</w:t>
            </w:r>
          </w:p>
        </w:tc>
        <w:tc>
          <w:tcPr>
            <w:tcW w:w="769" w:type="pct"/>
            <w:shd w:val="clear" w:color="auto" w:fill="auto"/>
            <w:vAlign w:val="top"/>
          </w:tcPr>
          <w:p w14:paraId="3517D4B8" w14:textId="77777777" w:rsidR="00BB29F7" w:rsidRDefault="00BB29F7" w:rsidP="00A81986">
            <w:pPr>
              <w:pStyle w:val="TableText-Left"/>
            </w:pPr>
            <w:r>
              <w:t>Both</w:t>
            </w:r>
          </w:p>
        </w:tc>
        <w:tc>
          <w:tcPr>
            <w:tcW w:w="3095" w:type="pct"/>
            <w:shd w:val="clear" w:color="auto" w:fill="auto"/>
            <w:vAlign w:val="top"/>
          </w:tcPr>
          <w:p w14:paraId="6E485F12" w14:textId="234BBD34" w:rsidR="00BB29F7" w:rsidRPr="00EC5868" w:rsidRDefault="00BB29F7" w:rsidP="00A81986">
            <w:pPr>
              <w:pStyle w:val="TableText-Left"/>
            </w:pPr>
            <w:r>
              <w:t>Core of the switching process, orchestrating all switching process flows and maintaining the au</w:t>
            </w:r>
            <w:r w:rsidR="00646304">
              <w:t xml:space="preserve">thoritative source of meter </w:t>
            </w:r>
            <w:r w:rsidR="00417DD3">
              <w:t xml:space="preserve">point </w:t>
            </w:r>
            <w:r>
              <w:t xml:space="preserve">registration data. </w:t>
            </w:r>
          </w:p>
        </w:tc>
      </w:tr>
      <w:tr w:rsidR="00BB29F7" w:rsidRPr="00EC5868" w14:paraId="3C8BB035" w14:textId="77777777" w:rsidTr="005A3E2C">
        <w:trPr>
          <w:cnfStyle w:val="000000010000" w:firstRow="0" w:lastRow="0" w:firstColumn="0" w:lastColumn="0" w:oddVBand="0" w:evenVBand="0" w:oddHBand="0" w:evenHBand="1" w:firstRowFirstColumn="0" w:firstRowLastColumn="0" w:lastRowFirstColumn="0" w:lastRowLastColumn="0"/>
          <w:trHeight w:val="372"/>
        </w:trPr>
        <w:tc>
          <w:tcPr>
            <w:tcW w:w="1136" w:type="pct"/>
            <w:shd w:val="clear" w:color="auto" w:fill="auto"/>
            <w:vAlign w:val="top"/>
          </w:tcPr>
          <w:p w14:paraId="2AD4050C" w14:textId="273C2762" w:rsidR="00BB29F7" w:rsidRPr="00EC5868" w:rsidRDefault="00BB29F7" w:rsidP="003D3FDC">
            <w:pPr>
              <w:pStyle w:val="TableText-Left"/>
            </w:pPr>
            <w:r w:rsidRPr="00B439FA">
              <w:t xml:space="preserve">Address </w:t>
            </w:r>
            <w:r w:rsidR="003D3FDC">
              <w:t>Service</w:t>
            </w:r>
          </w:p>
        </w:tc>
        <w:tc>
          <w:tcPr>
            <w:tcW w:w="769" w:type="pct"/>
            <w:shd w:val="clear" w:color="auto" w:fill="auto"/>
            <w:vAlign w:val="top"/>
          </w:tcPr>
          <w:p w14:paraId="22D2673E" w14:textId="77777777" w:rsidR="00BB29F7" w:rsidRDefault="00BB29F7" w:rsidP="00A81986">
            <w:pPr>
              <w:pStyle w:val="TableText-Left"/>
            </w:pPr>
            <w:r>
              <w:t>Both</w:t>
            </w:r>
          </w:p>
        </w:tc>
        <w:tc>
          <w:tcPr>
            <w:tcW w:w="3095" w:type="pct"/>
            <w:shd w:val="clear" w:color="auto" w:fill="auto"/>
            <w:vAlign w:val="top"/>
          </w:tcPr>
          <w:p w14:paraId="7CCF6CBE" w14:textId="56DE7019" w:rsidR="00BB29F7" w:rsidRPr="00EC5868" w:rsidRDefault="00417DD3" w:rsidP="00417DD3">
            <w:pPr>
              <w:pStyle w:val="TableText-Left"/>
            </w:pPr>
            <w:r>
              <w:t xml:space="preserve">Third </w:t>
            </w:r>
            <w:r w:rsidR="00FD73C7">
              <w:t xml:space="preserve">Party </w:t>
            </w:r>
            <w:r w:rsidR="003D3FDC">
              <w:t>service</w:t>
            </w:r>
            <w:r w:rsidR="00BB29F7">
              <w:t xml:space="preserve"> supplying </w:t>
            </w:r>
            <w:r w:rsidR="00090DB4">
              <w:t xml:space="preserve">GB standardised </w:t>
            </w:r>
            <w:r w:rsidR="00BB29F7">
              <w:t>address data</w:t>
            </w:r>
            <w:r w:rsidR="00FD73C7">
              <w:t xml:space="preserve"> and facilities to match addresses against it</w:t>
            </w:r>
            <w:r w:rsidR="00BB29F7">
              <w:t>.</w:t>
            </w:r>
          </w:p>
        </w:tc>
      </w:tr>
      <w:tr w:rsidR="00BB29F7" w:rsidRPr="00EC5868" w14:paraId="3C753B54" w14:textId="77777777" w:rsidTr="005A3E2C">
        <w:trPr>
          <w:cnfStyle w:val="000000100000" w:firstRow="0" w:lastRow="0" w:firstColumn="0" w:lastColumn="0" w:oddVBand="0" w:evenVBand="0" w:oddHBand="1" w:evenHBand="0" w:firstRowFirstColumn="0" w:firstRowLastColumn="0" w:lastRowFirstColumn="0" w:lastRowLastColumn="0"/>
        </w:trPr>
        <w:tc>
          <w:tcPr>
            <w:tcW w:w="1136" w:type="pct"/>
            <w:shd w:val="clear" w:color="auto" w:fill="auto"/>
            <w:vAlign w:val="top"/>
          </w:tcPr>
          <w:p w14:paraId="55F3AC68" w14:textId="77777777" w:rsidR="00BB29F7" w:rsidRPr="00EC5868" w:rsidRDefault="00BB29F7" w:rsidP="00A81986">
            <w:pPr>
              <w:pStyle w:val="TableText-Left"/>
            </w:pPr>
            <w:r>
              <w:t>Gas Transporter</w:t>
            </w:r>
          </w:p>
        </w:tc>
        <w:tc>
          <w:tcPr>
            <w:tcW w:w="769" w:type="pct"/>
            <w:shd w:val="clear" w:color="auto" w:fill="auto"/>
            <w:vAlign w:val="top"/>
          </w:tcPr>
          <w:p w14:paraId="0029F2BE" w14:textId="77777777" w:rsidR="00BB29F7" w:rsidRDefault="00BB29F7" w:rsidP="00A81986">
            <w:pPr>
              <w:pStyle w:val="TableText-Left"/>
            </w:pPr>
            <w:r>
              <w:t>Gas</w:t>
            </w:r>
          </w:p>
        </w:tc>
        <w:tc>
          <w:tcPr>
            <w:tcW w:w="3095" w:type="pct"/>
            <w:shd w:val="clear" w:color="auto" w:fill="auto"/>
            <w:vAlign w:val="top"/>
          </w:tcPr>
          <w:p w14:paraId="64521825" w14:textId="48CBA0AB" w:rsidR="00BB29F7" w:rsidRPr="00D0240C" w:rsidRDefault="00575C1D" w:rsidP="00A81986">
            <w:pPr>
              <w:pStyle w:val="TableText-Left"/>
            </w:pPr>
            <w:r w:rsidRPr="00D0240C">
              <w:t>Is responsible for physical works relating to creation, termination and capping of Supply Meter Points</w:t>
            </w:r>
            <w:r w:rsidR="00BB29F7" w:rsidRPr="00D0240C">
              <w:t>.</w:t>
            </w:r>
          </w:p>
        </w:tc>
      </w:tr>
      <w:tr w:rsidR="00F231CF" w:rsidRPr="00EC5868" w14:paraId="7B57054D" w14:textId="77777777" w:rsidTr="005A3E2C">
        <w:trPr>
          <w:cnfStyle w:val="000000010000" w:firstRow="0" w:lastRow="0" w:firstColumn="0" w:lastColumn="0" w:oddVBand="0" w:evenVBand="0" w:oddHBand="0" w:evenHBand="1" w:firstRowFirstColumn="0" w:firstRowLastColumn="0" w:lastRowFirstColumn="0" w:lastRowLastColumn="0"/>
        </w:trPr>
        <w:tc>
          <w:tcPr>
            <w:tcW w:w="1136" w:type="pct"/>
            <w:shd w:val="clear" w:color="auto" w:fill="auto"/>
            <w:vAlign w:val="top"/>
          </w:tcPr>
          <w:p w14:paraId="5AAF0CB1" w14:textId="011C0CF9" w:rsidR="00F231CF" w:rsidRDefault="001F04FD" w:rsidP="00261B6B">
            <w:pPr>
              <w:pStyle w:val="TableText-Left"/>
            </w:pPr>
            <w:r w:rsidRPr="00B302CB">
              <w:t>Switching Domain Data Service</w:t>
            </w:r>
            <w:r w:rsidR="00295B9D">
              <w:rPr>
                <w:rStyle w:val="FootnoteReference"/>
              </w:rPr>
              <w:footnoteReference w:id="3"/>
            </w:r>
          </w:p>
        </w:tc>
        <w:tc>
          <w:tcPr>
            <w:tcW w:w="769" w:type="pct"/>
            <w:shd w:val="clear" w:color="auto" w:fill="auto"/>
            <w:vAlign w:val="top"/>
          </w:tcPr>
          <w:p w14:paraId="0886CC7A" w14:textId="3E0D7B0F" w:rsidR="00F231CF" w:rsidRDefault="00F231CF" w:rsidP="00A81986">
            <w:pPr>
              <w:pStyle w:val="TableText-Left"/>
            </w:pPr>
            <w:r>
              <w:t>Both</w:t>
            </w:r>
          </w:p>
        </w:tc>
        <w:tc>
          <w:tcPr>
            <w:tcW w:w="3095" w:type="pct"/>
            <w:shd w:val="clear" w:color="auto" w:fill="auto"/>
            <w:vAlign w:val="top"/>
          </w:tcPr>
          <w:p w14:paraId="365F268F" w14:textId="4D6083E0" w:rsidR="00F231CF" w:rsidRDefault="00C5083D" w:rsidP="00A81986">
            <w:pPr>
              <w:pStyle w:val="TableText-Left"/>
            </w:pPr>
            <w:r>
              <w:t>Responsible for the capture and maintenance of user and parameter data needed for the operation of the Switching Arrangements.</w:t>
            </w:r>
          </w:p>
        </w:tc>
      </w:tr>
      <w:tr w:rsidR="00BB29F7" w:rsidRPr="00620DA8" w14:paraId="02EC701F" w14:textId="77777777" w:rsidTr="005A3E2C">
        <w:trPr>
          <w:cnfStyle w:val="000000100000" w:firstRow="0" w:lastRow="0" w:firstColumn="0" w:lastColumn="0" w:oddVBand="0" w:evenVBand="0" w:oddHBand="1" w:evenHBand="0" w:firstRowFirstColumn="0" w:firstRowLastColumn="0" w:lastRowFirstColumn="0" w:lastRowLastColumn="0"/>
        </w:trPr>
        <w:tc>
          <w:tcPr>
            <w:tcW w:w="1136" w:type="pct"/>
            <w:shd w:val="clear" w:color="auto" w:fill="auto"/>
            <w:vAlign w:val="top"/>
          </w:tcPr>
          <w:p w14:paraId="7871DF5A" w14:textId="21535904" w:rsidR="00BB29F7" w:rsidRPr="00620DA8" w:rsidRDefault="003B6907" w:rsidP="00A81986">
            <w:pPr>
              <w:pStyle w:val="TableText-Left"/>
            </w:pPr>
            <w:r>
              <w:t xml:space="preserve">Gas </w:t>
            </w:r>
            <w:r w:rsidR="00BB29F7" w:rsidRPr="00620DA8">
              <w:t>Shipper</w:t>
            </w:r>
          </w:p>
        </w:tc>
        <w:tc>
          <w:tcPr>
            <w:tcW w:w="769" w:type="pct"/>
            <w:shd w:val="clear" w:color="auto" w:fill="auto"/>
            <w:vAlign w:val="top"/>
          </w:tcPr>
          <w:p w14:paraId="439277BB" w14:textId="77777777" w:rsidR="00BB29F7" w:rsidRPr="00620DA8" w:rsidRDefault="00BB29F7" w:rsidP="00A81986">
            <w:pPr>
              <w:pStyle w:val="TableText-Left"/>
            </w:pPr>
            <w:r w:rsidRPr="00620DA8">
              <w:t>Gas</w:t>
            </w:r>
          </w:p>
        </w:tc>
        <w:tc>
          <w:tcPr>
            <w:tcW w:w="3095" w:type="pct"/>
            <w:shd w:val="clear" w:color="auto" w:fill="auto"/>
            <w:vAlign w:val="top"/>
          </w:tcPr>
          <w:p w14:paraId="65081A79" w14:textId="61F9921D" w:rsidR="00BB29F7" w:rsidRPr="00D0240C" w:rsidRDefault="00575C1D" w:rsidP="00A81986">
            <w:pPr>
              <w:pStyle w:val="TableText-Left"/>
            </w:pPr>
            <w:r w:rsidRPr="00D0240C">
              <w:t xml:space="preserve">Responsible for agreeing settlement parameters with the (Energy) Supplier, updates some details (such as asset details) in </w:t>
            </w:r>
            <w:r w:rsidR="00A1661D">
              <w:t>UK Link</w:t>
            </w:r>
            <w:r w:rsidRPr="00D0240C">
              <w:t xml:space="preserve"> on behalf of the Energy Supplier and receives notifications from CSS at Validated, Confirmed and Secured</w:t>
            </w:r>
            <w:r w:rsidR="00A94715" w:rsidRPr="00D0240C">
              <w:t xml:space="preserve"> switch states.</w:t>
            </w:r>
          </w:p>
        </w:tc>
      </w:tr>
      <w:tr w:rsidR="00BB29F7" w:rsidRPr="00EC5868" w14:paraId="33F39322" w14:textId="77777777" w:rsidTr="005A3E2C">
        <w:trPr>
          <w:cnfStyle w:val="000000010000" w:firstRow="0" w:lastRow="0" w:firstColumn="0" w:lastColumn="0" w:oddVBand="0" w:evenVBand="0" w:oddHBand="0" w:evenHBand="1" w:firstRowFirstColumn="0" w:firstRowLastColumn="0" w:lastRowFirstColumn="0" w:lastRowLastColumn="0"/>
        </w:trPr>
        <w:tc>
          <w:tcPr>
            <w:tcW w:w="1136" w:type="pct"/>
            <w:shd w:val="clear" w:color="auto" w:fill="auto"/>
            <w:vAlign w:val="top"/>
          </w:tcPr>
          <w:p w14:paraId="439618C6" w14:textId="77777777" w:rsidR="00BB29F7" w:rsidRPr="00620DA8" w:rsidRDefault="00BB29F7" w:rsidP="00A81986">
            <w:pPr>
              <w:pStyle w:val="TableText-Left"/>
            </w:pPr>
            <w:r w:rsidRPr="00620DA8">
              <w:t>Distribution Network Operator (DNO)</w:t>
            </w:r>
          </w:p>
        </w:tc>
        <w:tc>
          <w:tcPr>
            <w:tcW w:w="769" w:type="pct"/>
            <w:shd w:val="clear" w:color="auto" w:fill="auto"/>
            <w:vAlign w:val="top"/>
          </w:tcPr>
          <w:p w14:paraId="704130A8" w14:textId="77777777" w:rsidR="00BB29F7" w:rsidRPr="00620DA8" w:rsidRDefault="00BB29F7" w:rsidP="00A81986">
            <w:pPr>
              <w:pStyle w:val="TableText-Left"/>
            </w:pPr>
            <w:r w:rsidRPr="00620DA8">
              <w:t>Electricity</w:t>
            </w:r>
          </w:p>
        </w:tc>
        <w:tc>
          <w:tcPr>
            <w:tcW w:w="3095" w:type="pct"/>
            <w:shd w:val="clear" w:color="auto" w:fill="auto"/>
            <w:vAlign w:val="top"/>
          </w:tcPr>
          <w:p w14:paraId="0FF48DE0" w14:textId="627537B5" w:rsidR="00BB29F7" w:rsidRPr="00620DA8" w:rsidRDefault="00BB29F7" w:rsidP="00A81986">
            <w:pPr>
              <w:pStyle w:val="TableText-Left"/>
            </w:pPr>
            <w:r w:rsidRPr="00620DA8">
              <w:t xml:space="preserve">Processes meter </w:t>
            </w:r>
            <w:r w:rsidR="00547349">
              <w:t xml:space="preserve">point </w:t>
            </w:r>
            <w:r w:rsidRPr="00620DA8">
              <w:t>creation and terminations.</w:t>
            </w:r>
          </w:p>
        </w:tc>
      </w:tr>
      <w:tr w:rsidR="00BB29F7" w:rsidRPr="00EC5868" w14:paraId="7BD1C940" w14:textId="77777777" w:rsidTr="005A3E2C">
        <w:trPr>
          <w:cnfStyle w:val="000000100000" w:firstRow="0" w:lastRow="0" w:firstColumn="0" w:lastColumn="0" w:oddVBand="0" w:evenVBand="0" w:oddHBand="1" w:evenHBand="0" w:firstRowFirstColumn="0" w:firstRowLastColumn="0" w:lastRowFirstColumn="0" w:lastRowLastColumn="0"/>
          <w:trHeight w:val="372"/>
        </w:trPr>
        <w:tc>
          <w:tcPr>
            <w:tcW w:w="1136" w:type="pct"/>
            <w:shd w:val="clear" w:color="auto" w:fill="auto"/>
            <w:vAlign w:val="top"/>
          </w:tcPr>
          <w:p w14:paraId="61AFC7FC" w14:textId="4E642847" w:rsidR="00BB29F7" w:rsidRPr="00EC5868" w:rsidRDefault="00DB63D0" w:rsidP="0097604D">
            <w:pPr>
              <w:pStyle w:val="TableText-Left"/>
            </w:pPr>
            <w:r>
              <w:t>ECOES</w:t>
            </w:r>
          </w:p>
        </w:tc>
        <w:tc>
          <w:tcPr>
            <w:tcW w:w="769" w:type="pct"/>
            <w:shd w:val="clear" w:color="auto" w:fill="auto"/>
            <w:vAlign w:val="top"/>
          </w:tcPr>
          <w:p w14:paraId="2F97FA72" w14:textId="77777777" w:rsidR="00BB29F7" w:rsidRDefault="00BB29F7" w:rsidP="00A81986">
            <w:pPr>
              <w:pStyle w:val="TableText-Left"/>
            </w:pPr>
            <w:r>
              <w:t>Electricity</w:t>
            </w:r>
          </w:p>
        </w:tc>
        <w:tc>
          <w:tcPr>
            <w:tcW w:w="3095" w:type="pct"/>
            <w:shd w:val="clear" w:color="auto" w:fill="auto"/>
            <w:vAlign w:val="top"/>
          </w:tcPr>
          <w:p w14:paraId="746FB077" w14:textId="77777777" w:rsidR="00BB29F7" w:rsidRPr="00EC5868" w:rsidRDefault="00BB29F7" w:rsidP="00A81986">
            <w:pPr>
              <w:pStyle w:val="TableText-Left"/>
            </w:pPr>
            <w:r>
              <w:t>Enquiry service. National database of electricity meter point and associated data.</w:t>
            </w:r>
          </w:p>
        </w:tc>
      </w:tr>
      <w:tr w:rsidR="00BB29F7" w:rsidRPr="00EC5868" w14:paraId="68EC93EF" w14:textId="77777777" w:rsidTr="005A3E2C">
        <w:trPr>
          <w:cnfStyle w:val="000000010000" w:firstRow="0" w:lastRow="0" w:firstColumn="0" w:lastColumn="0" w:oddVBand="0" w:evenVBand="0" w:oddHBand="0" w:evenHBand="1" w:firstRowFirstColumn="0" w:firstRowLastColumn="0" w:lastRowFirstColumn="0" w:lastRowLastColumn="0"/>
        </w:trPr>
        <w:tc>
          <w:tcPr>
            <w:tcW w:w="1136" w:type="pct"/>
            <w:shd w:val="clear" w:color="auto" w:fill="auto"/>
            <w:vAlign w:val="top"/>
          </w:tcPr>
          <w:p w14:paraId="5D295C44" w14:textId="0F788317" w:rsidR="00BB29F7" w:rsidRDefault="00BB29F7" w:rsidP="000C7237">
            <w:pPr>
              <w:pStyle w:val="TableText-Left"/>
            </w:pPr>
            <w:r>
              <w:t>Data Enquiry Service</w:t>
            </w:r>
            <w:r w:rsidR="000C7237">
              <w:t xml:space="preserve"> </w:t>
            </w:r>
            <w:r>
              <w:t>(DES)</w:t>
            </w:r>
          </w:p>
        </w:tc>
        <w:tc>
          <w:tcPr>
            <w:tcW w:w="769" w:type="pct"/>
            <w:shd w:val="clear" w:color="auto" w:fill="auto"/>
            <w:vAlign w:val="top"/>
          </w:tcPr>
          <w:p w14:paraId="16C57CC4" w14:textId="77777777" w:rsidR="00BB29F7" w:rsidRDefault="00BB29F7" w:rsidP="00A81986">
            <w:pPr>
              <w:pStyle w:val="TableText-Left"/>
            </w:pPr>
            <w:r>
              <w:t>Gas</w:t>
            </w:r>
          </w:p>
        </w:tc>
        <w:tc>
          <w:tcPr>
            <w:tcW w:w="3095" w:type="pct"/>
            <w:shd w:val="clear" w:color="auto" w:fill="auto"/>
            <w:vAlign w:val="top"/>
          </w:tcPr>
          <w:p w14:paraId="3150196F" w14:textId="77777777" w:rsidR="00BB29F7" w:rsidRPr="00EC5868" w:rsidRDefault="00BB29F7" w:rsidP="00A81986">
            <w:pPr>
              <w:pStyle w:val="TableText-Left"/>
            </w:pPr>
            <w:r>
              <w:t>Enquiry service. National database of gas supply meter point and associated data.</w:t>
            </w:r>
          </w:p>
        </w:tc>
      </w:tr>
      <w:tr w:rsidR="00BB29F7" w:rsidRPr="00EC5868" w14:paraId="175DD8B8" w14:textId="77777777" w:rsidTr="005A3E2C">
        <w:trPr>
          <w:cnfStyle w:val="000000100000" w:firstRow="0" w:lastRow="0" w:firstColumn="0" w:lastColumn="0" w:oddVBand="0" w:evenVBand="0" w:oddHBand="1" w:evenHBand="0" w:firstRowFirstColumn="0" w:firstRowLastColumn="0" w:lastRowFirstColumn="0" w:lastRowLastColumn="0"/>
        </w:trPr>
        <w:tc>
          <w:tcPr>
            <w:tcW w:w="1136" w:type="pct"/>
            <w:shd w:val="clear" w:color="auto" w:fill="auto"/>
            <w:vAlign w:val="top"/>
          </w:tcPr>
          <w:p w14:paraId="56F42525" w14:textId="77777777" w:rsidR="00BB29F7" w:rsidRDefault="00BB29F7" w:rsidP="00A81986">
            <w:pPr>
              <w:pStyle w:val="TableText-Left"/>
            </w:pPr>
            <w:r>
              <w:t>Meter Asset Provider (MAP)</w:t>
            </w:r>
          </w:p>
        </w:tc>
        <w:tc>
          <w:tcPr>
            <w:tcW w:w="769" w:type="pct"/>
            <w:shd w:val="clear" w:color="auto" w:fill="auto"/>
            <w:vAlign w:val="top"/>
          </w:tcPr>
          <w:p w14:paraId="6F41D6CD" w14:textId="77777777" w:rsidR="00BB29F7" w:rsidRDefault="00BB29F7" w:rsidP="00A81986">
            <w:pPr>
              <w:pStyle w:val="TableText-Left"/>
            </w:pPr>
            <w:r>
              <w:t>Both</w:t>
            </w:r>
          </w:p>
        </w:tc>
        <w:tc>
          <w:tcPr>
            <w:tcW w:w="3095" w:type="pct"/>
            <w:shd w:val="clear" w:color="auto" w:fill="auto"/>
            <w:vAlign w:val="top"/>
          </w:tcPr>
          <w:p w14:paraId="4BDA78EC" w14:textId="2F04F238" w:rsidR="00BB29F7" w:rsidRPr="00D0240C" w:rsidRDefault="008A453C" w:rsidP="00A81986">
            <w:pPr>
              <w:pStyle w:val="TableText-Left"/>
            </w:pPr>
            <w:r>
              <w:t>Provides meter asset and r</w:t>
            </w:r>
            <w:r w:rsidR="00A94715" w:rsidRPr="00D0240C">
              <w:t>eceives notifications on Secured Switches</w:t>
            </w:r>
          </w:p>
        </w:tc>
      </w:tr>
      <w:tr w:rsidR="00BB29F7" w:rsidRPr="00EC5868" w14:paraId="1EF58DBB" w14:textId="77777777" w:rsidTr="005A3E2C">
        <w:trPr>
          <w:cnfStyle w:val="000000010000" w:firstRow="0" w:lastRow="0" w:firstColumn="0" w:lastColumn="0" w:oddVBand="0" w:evenVBand="0" w:oddHBand="0" w:evenHBand="1" w:firstRowFirstColumn="0" w:firstRowLastColumn="0" w:lastRowFirstColumn="0" w:lastRowLastColumn="0"/>
        </w:trPr>
        <w:tc>
          <w:tcPr>
            <w:tcW w:w="1136" w:type="pct"/>
            <w:shd w:val="clear" w:color="auto" w:fill="auto"/>
            <w:vAlign w:val="top"/>
          </w:tcPr>
          <w:p w14:paraId="064FBC4D" w14:textId="77777777" w:rsidR="00BB29F7" w:rsidRDefault="00B95422" w:rsidP="00BB29F7">
            <w:pPr>
              <w:pStyle w:val="TableText-Left"/>
            </w:pPr>
            <w:r>
              <w:t>Metering Equipment Manager</w:t>
            </w:r>
            <w:r w:rsidR="00BB29F7">
              <w:t xml:space="preserve"> (MEM)</w:t>
            </w:r>
          </w:p>
        </w:tc>
        <w:tc>
          <w:tcPr>
            <w:tcW w:w="769" w:type="pct"/>
            <w:shd w:val="clear" w:color="auto" w:fill="auto"/>
            <w:vAlign w:val="top"/>
          </w:tcPr>
          <w:p w14:paraId="3BF784F4" w14:textId="77777777" w:rsidR="00BB29F7" w:rsidRDefault="00BB29F7" w:rsidP="00A81986">
            <w:pPr>
              <w:pStyle w:val="TableText-Left"/>
            </w:pPr>
            <w:r>
              <w:t>Both</w:t>
            </w:r>
          </w:p>
        </w:tc>
        <w:tc>
          <w:tcPr>
            <w:tcW w:w="3095" w:type="pct"/>
            <w:shd w:val="clear" w:color="auto" w:fill="auto"/>
            <w:vAlign w:val="top"/>
          </w:tcPr>
          <w:p w14:paraId="21B45A36" w14:textId="6AC4A12E" w:rsidR="00BB29F7" w:rsidRPr="00D0240C" w:rsidRDefault="00A94715" w:rsidP="00A81986">
            <w:pPr>
              <w:pStyle w:val="TableText-Left"/>
            </w:pPr>
            <w:r w:rsidRPr="00D0240C">
              <w:t xml:space="preserve">Initiates replacement or removal of metering assets and receives notifications </w:t>
            </w:r>
            <w:r w:rsidR="00D0240C">
              <w:t>on Confirmed and Secured Switch</w:t>
            </w:r>
            <w:r w:rsidRPr="00D0240C">
              <w:t xml:space="preserve"> states</w:t>
            </w:r>
            <w:r w:rsidR="00BB29F7" w:rsidRPr="00D0240C">
              <w:t>.</w:t>
            </w:r>
          </w:p>
        </w:tc>
      </w:tr>
      <w:tr w:rsidR="00BB29F7" w:rsidRPr="00EC5868" w14:paraId="5A8EDB35" w14:textId="77777777" w:rsidTr="005A3E2C">
        <w:trPr>
          <w:cnfStyle w:val="000000100000" w:firstRow="0" w:lastRow="0" w:firstColumn="0" w:lastColumn="0" w:oddVBand="0" w:evenVBand="0" w:oddHBand="1" w:evenHBand="0" w:firstRowFirstColumn="0" w:firstRowLastColumn="0" w:lastRowFirstColumn="0" w:lastRowLastColumn="0"/>
        </w:trPr>
        <w:tc>
          <w:tcPr>
            <w:tcW w:w="1136" w:type="pct"/>
            <w:shd w:val="clear" w:color="auto" w:fill="auto"/>
            <w:vAlign w:val="top"/>
          </w:tcPr>
          <w:p w14:paraId="4D4AF6AE" w14:textId="0CE4A320" w:rsidR="00BB29F7" w:rsidRDefault="00BB29F7" w:rsidP="005A3E2C">
            <w:pPr>
              <w:pStyle w:val="TableText-Left"/>
            </w:pPr>
            <w:r>
              <w:t xml:space="preserve">Data Aggregator (DA) </w:t>
            </w:r>
          </w:p>
        </w:tc>
        <w:tc>
          <w:tcPr>
            <w:tcW w:w="769" w:type="pct"/>
            <w:shd w:val="clear" w:color="auto" w:fill="auto"/>
            <w:vAlign w:val="top"/>
          </w:tcPr>
          <w:p w14:paraId="4FE65072" w14:textId="77777777" w:rsidR="00BB29F7" w:rsidRDefault="00DB3D3F" w:rsidP="00A81986">
            <w:pPr>
              <w:pStyle w:val="TableText-Left"/>
            </w:pPr>
            <w:r>
              <w:t>Electricity</w:t>
            </w:r>
          </w:p>
        </w:tc>
        <w:tc>
          <w:tcPr>
            <w:tcW w:w="3095" w:type="pct"/>
            <w:shd w:val="clear" w:color="auto" w:fill="auto"/>
            <w:vAlign w:val="top"/>
          </w:tcPr>
          <w:p w14:paraId="51A8FA15" w14:textId="1838498C" w:rsidR="00BB29F7" w:rsidRPr="00D0240C" w:rsidRDefault="00A94715" w:rsidP="00A81986">
            <w:pPr>
              <w:pStyle w:val="TableText-Left"/>
            </w:pPr>
            <w:r w:rsidRPr="00D0240C">
              <w:t>Receives notification of Confirmed and Secured Switches</w:t>
            </w:r>
            <w:r w:rsidR="00BB29F7" w:rsidRPr="00D0240C">
              <w:t>.</w:t>
            </w:r>
          </w:p>
        </w:tc>
      </w:tr>
      <w:tr w:rsidR="00A94715" w:rsidRPr="00EC5868" w14:paraId="48AC8CF2" w14:textId="77777777" w:rsidTr="005A3E2C">
        <w:trPr>
          <w:cnfStyle w:val="000000010000" w:firstRow="0" w:lastRow="0" w:firstColumn="0" w:lastColumn="0" w:oddVBand="0" w:evenVBand="0" w:oddHBand="0" w:evenHBand="1" w:firstRowFirstColumn="0" w:firstRowLastColumn="0" w:lastRowFirstColumn="0" w:lastRowLastColumn="0"/>
        </w:trPr>
        <w:tc>
          <w:tcPr>
            <w:tcW w:w="1136" w:type="pct"/>
            <w:shd w:val="clear" w:color="auto" w:fill="auto"/>
            <w:vAlign w:val="top"/>
          </w:tcPr>
          <w:p w14:paraId="5A948C21" w14:textId="0E6B3ABB" w:rsidR="00A94715" w:rsidRDefault="00A94715" w:rsidP="00A81986">
            <w:pPr>
              <w:pStyle w:val="TableText-Left"/>
            </w:pPr>
            <w:r>
              <w:t>Data Collector (DC)</w:t>
            </w:r>
          </w:p>
        </w:tc>
        <w:tc>
          <w:tcPr>
            <w:tcW w:w="769" w:type="pct"/>
            <w:shd w:val="clear" w:color="auto" w:fill="auto"/>
            <w:vAlign w:val="top"/>
          </w:tcPr>
          <w:p w14:paraId="0FD0BD56" w14:textId="1208CD33" w:rsidR="00A94715" w:rsidRDefault="00A94715" w:rsidP="00A81986">
            <w:pPr>
              <w:pStyle w:val="TableText-Left"/>
            </w:pPr>
            <w:r>
              <w:t>Electricity</w:t>
            </w:r>
          </w:p>
        </w:tc>
        <w:tc>
          <w:tcPr>
            <w:tcW w:w="3095" w:type="pct"/>
            <w:shd w:val="clear" w:color="auto" w:fill="auto"/>
            <w:vAlign w:val="top"/>
          </w:tcPr>
          <w:p w14:paraId="55FC3C92" w14:textId="40EE5392" w:rsidR="00A94715" w:rsidRDefault="00A94715" w:rsidP="00A81986">
            <w:pPr>
              <w:pStyle w:val="TableText-Left"/>
            </w:pPr>
            <w:r w:rsidRPr="00A94715">
              <w:t>Processes and validates electricity switch reads and receives notification of Confirmed and Secured Switches</w:t>
            </w:r>
          </w:p>
        </w:tc>
      </w:tr>
      <w:bookmarkEnd w:id="48"/>
      <w:bookmarkEnd w:id="49"/>
      <w:bookmarkEnd w:id="50"/>
    </w:tbl>
    <w:p w14:paraId="220BE7DE" w14:textId="1C17A858" w:rsidR="00791D8A" w:rsidRDefault="00791D8A" w:rsidP="00B302CB">
      <w:pPr>
        <w:pStyle w:val="Paragrapgh"/>
        <w:numPr>
          <w:ilvl w:val="0"/>
          <w:numId w:val="0"/>
        </w:numPr>
      </w:pPr>
    </w:p>
    <w:p w14:paraId="7F985E18" w14:textId="77777777" w:rsidR="00314031" w:rsidRDefault="00314031">
      <w:pPr>
        <w:rPr>
          <w:szCs w:val="20"/>
        </w:rPr>
      </w:pPr>
      <w:r>
        <w:br w:type="page"/>
      </w:r>
    </w:p>
    <w:p w14:paraId="164145D4" w14:textId="7D6566C6" w:rsidR="00B302CB" w:rsidRDefault="001325D6" w:rsidP="00F73DBE">
      <w:pPr>
        <w:pStyle w:val="Heading2"/>
      </w:pPr>
      <w:bookmarkStart w:id="51" w:name="_Toc9934737"/>
      <w:bookmarkStart w:id="52" w:name="_Toc491332309"/>
      <w:bookmarkStart w:id="53" w:name="_Toc491332405"/>
      <w:bookmarkStart w:id="54" w:name="_Toc494379470"/>
      <w:bookmarkStart w:id="55" w:name="_Toc505257230"/>
      <w:bookmarkStart w:id="56" w:name="_Toc505689958"/>
      <w:bookmarkStart w:id="57" w:name="_Hlk493170521"/>
      <w:bookmarkStart w:id="58" w:name="_Hlk493167300"/>
      <w:r>
        <w:t>Central Data Services</w:t>
      </w:r>
      <w:bookmarkEnd w:id="51"/>
    </w:p>
    <w:p w14:paraId="23A4FD8C" w14:textId="31126719" w:rsidR="001325D6" w:rsidRDefault="00DB63D0" w:rsidP="00F73DBE">
      <w:pPr>
        <w:pStyle w:val="Heading3"/>
      </w:pPr>
      <w:bookmarkStart w:id="59" w:name="_Toc9934738"/>
      <w:bookmarkStart w:id="60" w:name="_Ref488136077"/>
      <w:bookmarkStart w:id="61" w:name="_Ref488136134"/>
      <w:bookmarkStart w:id="62" w:name="_Ref488136153"/>
      <w:bookmarkStart w:id="63" w:name="_Ref488136161"/>
      <w:bookmarkStart w:id="64" w:name="_Toc491332311"/>
      <w:bookmarkStart w:id="65" w:name="_Toc491332407"/>
      <w:bookmarkStart w:id="66" w:name="_Toc494379473"/>
      <w:bookmarkStart w:id="67" w:name="_Toc505257233"/>
      <w:bookmarkStart w:id="68" w:name="_Toc505689961"/>
      <w:r>
        <w:t>Meter Point Administration Service</w:t>
      </w:r>
      <w:r w:rsidR="008A453C">
        <w:t xml:space="preserve"> (MPAS)</w:t>
      </w:r>
      <w:bookmarkEnd w:id="59"/>
    </w:p>
    <w:p w14:paraId="0B9FADD1" w14:textId="2A0A0A84" w:rsidR="001325D6" w:rsidRDefault="00DB63D0" w:rsidP="001325D6">
      <w:pPr>
        <w:pStyle w:val="Paragrapgh"/>
      </w:pPr>
      <w:r>
        <w:t>MPAS</w:t>
      </w:r>
      <w:r w:rsidR="001325D6">
        <w:t xml:space="preserve"> is a Data Service operated by DNOs to record data about metering points. Each MPAS requires impact assessment of the changes introduced by the To-Be arrangements.</w:t>
      </w:r>
    </w:p>
    <w:p w14:paraId="07DBE91F" w14:textId="22D58E0B" w:rsidR="001325D6" w:rsidRDefault="00DB63D0" w:rsidP="001325D6">
      <w:pPr>
        <w:pStyle w:val="Paragrapgh"/>
      </w:pPr>
      <w:r>
        <w:t>MPAS</w:t>
      </w:r>
      <w:r w:rsidR="001325D6">
        <w:t xml:space="preserve"> will undergo a series of changes related to the process of switching electricity supplier, updating meter asset details, </w:t>
      </w:r>
      <w:r w:rsidR="008F41E9">
        <w:t>maintaining</w:t>
      </w:r>
      <w:r w:rsidR="001325D6">
        <w:t xml:space="preserve"> meter point data, including:</w:t>
      </w:r>
    </w:p>
    <w:p w14:paraId="1A8AF499" w14:textId="735BC4FF" w:rsidR="001325D6" w:rsidRDefault="001325D6" w:rsidP="00176198">
      <w:pPr>
        <w:pStyle w:val="ListBullet"/>
      </w:pPr>
      <w:r>
        <w:t xml:space="preserve">Management of the Switching Process and Initial Registration (of RMP to Energy Supplier) will be transferred to CSS from </w:t>
      </w:r>
      <w:r w:rsidR="00DB63D0">
        <w:t>MPAS</w:t>
      </w:r>
      <w:r>
        <w:t xml:space="preserve">. This process transfer will be done in a manner that will not impact the remaining core functionality of </w:t>
      </w:r>
      <w:r w:rsidR="00DB63D0">
        <w:t>MPAS</w:t>
      </w:r>
      <w:r>
        <w:t xml:space="preserve">. This change will be supported by the introduction of new interfaces between </w:t>
      </w:r>
      <w:r w:rsidR="00DB63D0">
        <w:t>MPAS</w:t>
      </w:r>
      <w:r>
        <w:t xml:space="preserve"> and other services.</w:t>
      </w:r>
    </w:p>
    <w:p w14:paraId="5FD65D1C" w14:textId="608D117B" w:rsidR="001325D6" w:rsidRDefault="001325D6" w:rsidP="00176198">
      <w:pPr>
        <w:pStyle w:val="ListBullet"/>
      </w:pPr>
      <w:r>
        <w:t>Provision of Registration Data Provider (RDP) information (currently supplied by MPAS to the DCC) will be transferred to the CSS</w:t>
      </w:r>
      <w:r w:rsidR="00C5083D">
        <w:t>. Note that the reverse feed of data from DCC to MPAS will stay as is.</w:t>
      </w:r>
    </w:p>
    <w:p w14:paraId="3DBED89C" w14:textId="77777777" w:rsidR="001325D6" w:rsidRDefault="001325D6" w:rsidP="00176198">
      <w:pPr>
        <w:pStyle w:val="ListBullet"/>
      </w:pPr>
      <w:r>
        <w:t>Management of RMP will remain with MPAS, but additions / changes will need to be made to support E2E Switching:</w:t>
      </w:r>
    </w:p>
    <w:p w14:paraId="5D889F8D" w14:textId="4091BBAD" w:rsidR="001325D6" w:rsidRDefault="001325D6" w:rsidP="00323F52">
      <w:pPr>
        <w:pStyle w:val="ListBullet2"/>
      </w:pPr>
      <w:r>
        <w:t>Identification and maintenance of Meter asset data (including MAP), will be transferred from ECOES to MPAS.</w:t>
      </w:r>
      <w:r w:rsidR="00323F52">
        <w:t xml:space="preserve"> This d</w:t>
      </w:r>
      <w:r w:rsidR="00323F52" w:rsidRPr="00323F52">
        <w:t xml:space="preserve">ata </w:t>
      </w:r>
      <w:r w:rsidR="00323F52">
        <w:t xml:space="preserve">will be provided by MEMs to </w:t>
      </w:r>
      <w:r w:rsidR="00323F52" w:rsidRPr="00323F52">
        <w:t xml:space="preserve">MPAS by means of existing interfaces, which may be achieved </w:t>
      </w:r>
      <w:r w:rsidR="00323F52">
        <w:t>by an indirect route</w:t>
      </w:r>
      <w:r w:rsidR="00323F52" w:rsidRPr="00323F52">
        <w:t xml:space="preserve"> via the existing </w:t>
      </w:r>
      <w:r w:rsidR="00323F52">
        <w:t>Shipper interfaces</w:t>
      </w:r>
      <w:r w:rsidR="00323F52" w:rsidRPr="00323F52">
        <w:t>.</w:t>
      </w:r>
    </w:p>
    <w:p w14:paraId="5D5DDDFB" w14:textId="77777777" w:rsidR="001325D6" w:rsidRDefault="001325D6" w:rsidP="001325D6">
      <w:pPr>
        <w:pStyle w:val="ListBullet2"/>
      </w:pPr>
      <w:r>
        <w:t>The ‘Primary’ asset at each RMP will be identified and maintained.</w:t>
      </w:r>
    </w:p>
    <w:p w14:paraId="7519C663" w14:textId="37E6B41B" w:rsidR="001325D6" w:rsidRDefault="001325D6" w:rsidP="001325D6">
      <w:pPr>
        <w:pStyle w:val="ListBullet2"/>
      </w:pPr>
      <w:r>
        <w:t>The MAP for the ‘Primary’ asset will be included in Metering Point Status updates to CSS through t</w:t>
      </w:r>
      <w:r w:rsidR="00393B97">
        <w:t>he MeteringPointSync interface and will be maintained in MPAS.</w:t>
      </w:r>
    </w:p>
    <w:p w14:paraId="78DCCCDB" w14:textId="6E74B37B" w:rsidR="001325D6" w:rsidRDefault="001325D6" w:rsidP="001325D6">
      <w:pPr>
        <w:pStyle w:val="ListBullet2"/>
      </w:pPr>
      <w:r>
        <w:t>The Retail Offering (Import or Export) will be identified for each RM</w:t>
      </w:r>
      <w:r w:rsidR="00D0240C">
        <w:t>P – once set this indicator can</w:t>
      </w:r>
      <w:r>
        <w:t>not be changed.</w:t>
      </w:r>
    </w:p>
    <w:p w14:paraId="49ABE85E" w14:textId="77777777" w:rsidR="001325D6" w:rsidRDefault="001325D6" w:rsidP="001325D6">
      <w:pPr>
        <w:pStyle w:val="ListBullet2"/>
      </w:pPr>
      <w:r>
        <w:t>On request, MPAS will create RMPs for premises situated on Licence Exempt Networks that are within their distribution areas. These will be coded with a Licence Exempt Network Indicator.</w:t>
      </w:r>
    </w:p>
    <w:p w14:paraId="62FE2CE5" w14:textId="11AD360C" w:rsidR="001325D6" w:rsidRDefault="001325D6" w:rsidP="001325D6">
      <w:pPr>
        <w:pStyle w:val="ListBullet2"/>
      </w:pPr>
      <w:r>
        <w:t>Identification and maintenance of Relate</w:t>
      </w:r>
      <w:r w:rsidR="004D0BFE">
        <w:t>d RMPs (previously Related MPANs</w:t>
      </w:r>
      <w:r>
        <w:t>), to include a</w:t>
      </w:r>
      <w:r w:rsidR="00176198">
        <w:t xml:space="preserve">n explicit association, so that ‘Child’ RMPs can be identified for each </w:t>
      </w:r>
      <w:r w:rsidR="00E36315">
        <w:t>‘</w:t>
      </w:r>
      <w:r w:rsidR="00176198">
        <w:t>Parent</w:t>
      </w:r>
      <w:r w:rsidR="00E36315">
        <w:t>’</w:t>
      </w:r>
      <w:r w:rsidR="00176198">
        <w:t xml:space="preserve"> and vice versa. </w:t>
      </w:r>
      <w:r w:rsidR="00E36315">
        <w:t>Also</w:t>
      </w:r>
      <w:r w:rsidR="00FC1537">
        <w:t>,</w:t>
      </w:r>
      <w:r w:rsidR="00E36315">
        <w:t xml:space="preserve"> the</w:t>
      </w:r>
      <w:r w:rsidR="00176198">
        <w:t xml:space="preserve"> </w:t>
      </w:r>
      <w:r>
        <w:t xml:space="preserve">‘role’ for each RMP in the association </w:t>
      </w:r>
      <w:r w:rsidR="00E36315">
        <w:t>must be designated as</w:t>
      </w:r>
      <w:r>
        <w:t xml:space="preserve"> either ‘Parent’ or ‘Child’ (only one ‘Parent’ is allowed per association).</w:t>
      </w:r>
    </w:p>
    <w:p w14:paraId="4C0D49B9" w14:textId="0FEC9F52" w:rsidR="001325D6" w:rsidRDefault="001325D6" w:rsidP="001325D6">
      <w:pPr>
        <w:pStyle w:val="ListBullet2"/>
      </w:pPr>
      <w:r>
        <w:t>Inclusion of RMP status and management of the (logical) values as the RMP advances through its lifecycle.</w:t>
      </w:r>
      <w:r w:rsidR="00C73063">
        <w:t xml:space="preserve"> These values must be included in the interfaces. </w:t>
      </w:r>
    </w:p>
    <w:p w14:paraId="03A8C2AB" w14:textId="27DAAA61" w:rsidR="009A6444" w:rsidRDefault="009A6444" w:rsidP="001325D6">
      <w:pPr>
        <w:pStyle w:val="ListBullet2"/>
      </w:pPr>
      <w:r>
        <w:t>Retail Energy Location Updates will be passed from CSS to MPAS</w:t>
      </w:r>
      <w:r w:rsidR="002A6E9C">
        <w:t>.</w:t>
      </w:r>
    </w:p>
    <w:p w14:paraId="34D213B4" w14:textId="2B9112DF" w:rsidR="001325D6" w:rsidRDefault="001325D6" w:rsidP="001325D6">
      <w:pPr>
        <w:pStyle w:val="Paragrapgh"/>
      </w:pPr>
      <w:r>
        <w:t>New interfaces between MPAS and CSS are required to facilitate the wider E2E Switching Arrangements</w:t>
      </w:r>
      <w:r w:rsidRPr="009E579C">
        <w:t>.</w:t>
      </w:r>
      <w:r>
        <w:t xml:space="preserve"> </w:t>
      </w:r>
      <w:r w:rsidRPr="009E579C">
        <w:t xml:space="preserve">CSS will have the capability to process </w:t>
      </w:r>
      <w:r>
        <w:t xml:space="preserve">both inbound and outbound requests as defined in the </w:t>
      </w:r>
      <w:hyperlink w:anchor="_Interfaces" w:history="1">
        <w:r w:rsidRPr="00B57B39">
          <w:rPr>
            <w:rStyle w:val="Hyperlink"/>
            <w:sz w:val="20"/>
          </w:rPr>
          <w:t>Interfaces</w:t>
        </w:r>
      </w:hyperlink>
      <w:r>
        <w:rPr>
          <w:rStyle w:val="Hyperlink"/>
          <w:sz w:val="20"/>
        </w:rPr>
        <w:t xml:space="preserve"> </w:t>
      </w:r>
      <w:r>
        <w:t>section of this document.</w:t>
      </w:r>
      <w:r w:rsidR="00F15A0C">
        <w:t xml:space="preserve"> Interfaces will employ messaging (buffered).</w:t>
      </w:r>
    </w:p>
    <w:p w14:paraId="7A4A9D87" w14:textId="598A0E5F" w:rsidR="001325D6" w:rsidRDefault="00F15A0C" w:rsidP="001325D6">
      <w:pPr>
        <w:pStyle w:val="Paragrapgh"/>
      </w:pPr>
      <w:r>
        <w:t>I</w:t>
      </w:r>
      <w:r w:rsidR="001325D6">
        <w:t>nterface</w:t>
      </w:r>
      <w:r>
        <w:t>s</w:t>
      </w:r>
      <w:r w:rsidR="001325D6">
        <w:t xml:space="preserve"> will provide CSS from </w:t>
      </w:r>
      <w:r w:rsidR="00DB63D0">
        <w:t>MPAS</w:t>
      </w:r>
      <w:r w:rsidR="001325D6">
        <w:t xml:space="preserve"> with a daily full update feed of data that represents electricity meter point information</w:t>
      </w:r>
      <w:r>
        <w:t>, the identity</w:t>
      </w:r>
      <w:r w:rsidR="001325D6">
        <w:t xml:space="preserve"> of the primary a</w:t>
      </w:r>
      <w:r>
        <w:t>sset Meter Asset Provider (MAP) and the Metering Equipment Managers (MEM), Data Collector (DC) and Data Aggregator (DA) appointments.</w:t>
      </w:r>
    </w:p>
    <w:p w14:paraId="1B8A4CA4" w14:textId="29069B4B" w:rsidR="001325D6" w:rsidRDefault="001325D6" w:rsidP="001325D6">
      <w:pPr>
        <w:pStyle w:val="Paragrapgh"/>
      </w:pPr>
      <w:r>
        <w:t xml:space="preserve">The new industry business processes, business rules and interaction sequence diagrams involving </w:t>
      </w:r>
      <w:r w:rsidR="00DB63D0">
        <w:t>MPAS</w:t>
      </w:r>
      <w:r>
        <w:t xml:space="preserve"> and its involvement in these processes, are defined in the Switching Design Repository (ABACUS).</w:t>
      </w:r>
    </w:p>
    <w:p w14:paraId="23AAE827" w14:textId="77777777" w:rsidR="001325D6" w:rsidRDefault="001325D6" w:rsidP="001325D6">
      <w:pPr>
        <w:pStyle w:val="Heading4"/>
      </w:pPr>
      <w:r>
        <w:t xml:space="preserve">Impact </w:t>
      </w:r>
      <w:r w:rsidRPr="00890F09">
        <w:t>Summary</w:t>
      </w:r>
    </w:p>
    <w:p w14:paraId="6E98D8F6" w14:textId="4132732A" w:rsidR="001325D6" w:rsidRDefault="001325D6" w:rsidP="001325D6">
      <w:pPr>
        <w:pStyle w:val="Paragrapgh"/>
      </w:pPr>
      <w:r w:rsidRPr="0035188E">
        <w:t xml:space="preserve">The following </w:t>
      </w:r>
      <w:r>
        <w:t xml:space="preserve">table provides a summary of the new CSS (including Switching Domain Data Service) </w:t>
      </w:r>
      <w:r w:rsidRPr="0035188E">
        <w:t>interface</w:t>
      </w:r>
      <w:r>
        <w:t>s that are</w:t>
      </w:r>
      <w:r w:rsidRPr="0035188E">
        <w:t xml:space="preserve"> specified for </w:t>
      </w:r>
      <w:r w:rsidR="00DB63D0">
        <w:t>MPAS</w:t>
      </w:r>
      <w:r w:rsidRPr="0035188E">
        <w:t xml:space="preserve"> in ABACUS</w:t>
      </w:r>
      <w:r>
        <w:t>, plus two interfaces that are not in ABACUS but are referenced for completeness:</w:t>
      </w:r>
    </w:p>
    <w:tbl>
      <w:tblPr>
        <w:tblStyle w:val="TableGrid"/>
        <w:tblW w:w="0" w:type="auto"/>
        <w:tblLook w:val="04A0" w:firstRow="1" w:lastRow="0" w:firstColumn="1" w:lastColumn="0" w:noHBand="0" w:noVBand="1"/>
      </w:tblPr>
      <w:tblGrid>
        <w:gridCol w:w="2878"/>
        <w:gridCol w:w="2513"/>
        <w:gridCol w:w="2373"/>
        <w:gridCol w:w="1966"/>
      </w:tblGrid>
      <w:tr w:rsidR="001325D6" w:rsidRPr="00F26F35" w14:paraId="415A5936" w14:textId="77777777" w:rsidTr="00D0240C">
        <w:tc>
          <w:tcPr>
            <w:tcW w:w="2878" w:type="dxa"/>
            <w:shd w:val="clear" w:color="auto" w:fill="A6A6A6" w:themeFill="background1" w:themeFillShade="A6"/>
          </w:tcPr>
          <w:p w14:paraId="78C8496E" w14:textId="77777777" w:rsidR="001325D6" w:rsidRPr="00F26F35" w:rsidRDefault="001325D6" w:rsidP="00D0240C">
            <w:pPr>
              <w:pStyle w:val="TableHeadings"/>
            </w:pPr>
            <w:r w:rsidRPr="00F26F35">
              <w:t>Interface</w:t>
            </w:r>
            <w:r>
              <w:t xml:space="preserve"> Name</w:t>
            </w:r>
          </w:p>
        </w:tc>
        <w:tc>
          <w:tcPr>
            <w:tcW w:w="2513" w:type="dxa"/>
            <w:shd w:val="clear" w:color="auto" w:fill="A6A6A6" w:themeFill="background1" w:themeFillShade="A6"/>
          </w:tcPr>
          <w:p w14:paraId="36B5E8BD" w14:textId="77777777" w:rsidR="001325D6" w:rsidRPr="00F26F35" w:rsidRDefault="001325D6" w:rsidP="00D0240C">
            <w:pPr>
              <w:pStyle w:val="TableHeadings"/>
            </w:pPr>
            <w:r>
              <w:t>Directionality</w:t>
            </w:r>
          </w:p>
        </w:tc>
        <w:tc>
          <w:tcPr>
            <w:tcW w:w="2373" w:type="dxa"/>
            <w:shd w:val="clear" w:color="auto" w:fill="A6A6A6" w:themeFill="background1" w:themeFillShade="A6"/>
          </w:tcPr>
          <w:p w14:paraId="7BAE6429" w14:textId="77777777" w:rsidR="001325D6" w:rsidRPr="00F26F35" w:rsidRDefault="001325D6" w:rsidP="00D0240C">
            <w:pPr>
              <w:pStyle w:val="TableHeadings"/>
              <w:jc w:val="center"/>
            </w:pPr>
            <w:r>
              <w:t>Sending Data Service</w:t>
            </w:r>
          </w:p>
        </w:tc>
        <w:tc>
          <w:tcPr>
            <w:tcW w:w="1966" w:type="dxa"/>
            <w:shd w:val="clear" w:color="auto" w:fill="A6A6A6" w:themeFill="background1" w:themeFillShade="A6"/>
          </w:tcPr>
          <w:p w14:paraId="6C45805D" w14:textId="77777777" w:rsidR="001325D6" w:rsidRPr="00FC5269" w:rsidRDefault="001325D6" w:rsidP="00D0240C">
            <w:pPr>
              <w:pStyle w:val="TableHeadings"/>
              <w:jc w:val="center"/>
            </w:pPr>
            <w:r>
              <w:t>Receiving Data Service</w:t>
            </w:r>
          </w:p>
        </w:tc>
      </w:tr>
      <w:tr w:rsidR="001325D6" w:rsidRPr="002C57DA" w14:paraId="307DB1FC" w14:textId="77777777" w:rsidTr="00D0240C">
        <w:tc>
          <w:tcPr>
            <w:tcW w:w="2878" w:type="dxa"/>
          </w:tcPr>
          <w:p w14:paraId="421D35F9" w14:textId="77777777" w:rsidR="001325D6" w:rsidRPr="002C57DA" w:rsidRDefault="001325D6" w:rsidP="00D0240C">
            <w:pPr>
              <w:pStyle w:val="TableText-Left"/>
            </w:pPr>
            <w:r>
              <w:t>DADCAppointment</w:t>
            </w:r>
          </w:p>
        </w:tc>
        <w:tc>
          <w:tcPr>
            <w:tcW w:w="2513" w:type="dxa"/>
          </w:tcPr>
          <w:p w14:paraId="75AC64A0" w14:textId="77777777" w:rsidR="001325D6" w:rsidRDefault="001325D6" w:rsidP="00D0240C">
            <w:pPr>
              <w:pStyle w:val="TableText-Left"/>
            </w:pPr>
            <w:r>
              <w:t>Outbound</w:t>
            </w:r>
          </w:p>
        </w:tc>
        <w:tc>
          <w:tcPr>
            <w:tcW w:w="2373" w:type="dxa"/>
          </w:tcPr>
          <w:p w14:paraId="719D3FCA" w14:textId="486E54E4" w:rsidR="001325D6" w:rsidRPr="002C57DA" w:rsidRDefault="00DB63D0" w:rsidP="00D0240C">
            <w:pPr>
              <w:pStyle w:val="TableText-Left"/>
              <w:jc w:val="center"/>
            </w:pPr>
            <w:r>
              <w:t>MPAS</w:t>
            </w:r>
          </w:p>
        </w:tc>
        <w:tc>
          <w:tcPr>
            <w:tcW w:w="1966" w:type="dxa"/>
          </w:tcPr>
          <w:p w14:paraId="38A5175A" w14:textId="77777777" w:rsidR="001325D6" w:rsidRPr="002C57DA" w:rsidRDefault="001325D6" w:rsidP="00D0240C">
            <w:pPr>
              <w:pStyle w:val="TableText-Left"/>
              <w:jc w:val="center"/>
            </w:pPr>
            <w:r>
              <w:t>CSS</w:t>
            </w:r>
          </w:p>
        </w:tc>
      </w:tr>
      <w:tr w:rsidR="001325D6" w:rsidRPr="002C57DA" w14:paraId="36A33E04" w14:textId="77777777" w:rsidTr="00D0240C">
        <w:tc>
          <w:tcPr>
            <w:tcW w:w="2878" w:type="dxa"/>
          </w:tcPr>
          <w:p w14:paraId="6121E5AA" w14:textId="77777777" w:rsidR="001325D6" w:rsidRPr="002C57DA" w:rsidRDefault="001325D6" w:rsidP="00D0240C">
            <w:pPr>
              <w:pStyle w:val="TableText-Left"/>
            </w:pPr>
            <w:r>
              <w:t>MEMAppointment</w:t>
            </w:r>
          </w:p>
        </w:tc>
        <w:tc>
          <w:tcPr>
            <w:tcW w:w="2513" w:type="dxa"/>
          </w:tcPr>
          <w:p w14:paraId="6C7491C8" w14:textId="77777777" w:rsidR="001325D6" w:rsidRDefault="001325D6" w:rsidP="00D0240C">
            <w:pPr>
              <w:pStyle w:val="TableText-Left"/>
            </w:pPr>
            <w:r>
              <w:t>Outbound</w:t>
            </w:r>
          </w:p>
        </w:tc>
        <w:tc>
          <w:tcPr>
            <w:tcW w:w="2373" w:type="dxa"/>
          </w:tcPr>
          <w:p w14:paraId="4F099C7E" w14:textId="76E3BDDB" w:rsidR="001325D6" w:rsidRPr="002C57DA" w:rsidRDefault="00DB63D0" w:rsidP="00D0240C">
            <w:pPr>
              <w:pStyle w:val="TableText-Left"/>
              <w:jc w:val="center"/>
            </w:pPr>
            <w:r>
              <w:t>MPAS</w:t>
            </w:r>
          </w:p>
        </w:tc>
        <w:tc>
          <w:tcPr>
            <w:tcW w:w="1966" w:type="dxa"/>
          </w:tcPr>
          <w:p w14:paraId="3EC56AE9" w14:textId="77777777" w:rsidR="001325D6" w:rsidRPr="002C57DA" w:rsidRDefault="001325D6" w:rsidP="00D0240C">
            <w:pPr>
              <w:pStyle w:val="TableText-Left"/>
              <w:jc w:val="center"/>
            </w:pPr>
            <w:r>
              <w:t>CSS</w:t>
            </w:r>
          </w:p>
        </w:tc>
      </w:tr>
      <w:tr w:rsidR="001325D6" w:rsidRPr="002C57DA" w14:paraId="496BBD60" w14:textId="77777777" w:rsidTr="00D0240C">
        <w:tc>
          <w:tcPr>
            <w:tcW w:w="2878" w:type="dxa"/>
          </w:tcPr>
          <w:p w14:paraId="2F8F0355" w14:textId="77777777" w:rsidR="001325D6" w:rsidRPr="002C57DA" w:rsidRDefault="001325D6" w:rsidP="00D0240C">
            <w:pPr>
              <w:pStyle w:val="TableText-Left"/>
            </w:pPr>
            <w:r>
              <w:t>MeteringPointSync</w:t>
            </w:r>
          </w:p>
        </w:tc>
        <w:tc>
          <w:tcPr>
            <w:tcW w:w="2513" w:type="dxa"/>
          </w:tcPr>
          <w:p w14:paraId="1C7FB297" w14:textId="77777777" w:rsidR="001325D6" w:rsidRDefault="001325D6" w:rsidP="00D0240C">
            <w:pPr>
              <w:pStyle w:val="TableText-Left"/>
            </w:pPr>
            <w:r>
              <w:t>Outbound</w:t>
            </w:r>
          </w:p>
        </w:tc>
        <w:tc>
          <w:tcPr>
            <w:tcW w:w="2373" w:type="dxa"/>
          </w:tcPr>
          <w:p w14:paraId="69F3151B" w14:textId="44F12AD0" w:rsidR="001325D6" w:rsidRPr="002C57DA" w:rsidRDefault="00DB63D0" w:rsidP="00D0240C">
            <w:pPr>
              <w:pStyle w:val="TableText-Left"/>
              <w:jc w:val="center"/>
            </w:pPr>
            <w:r>
              <w:t>MPAS</w:t>
            </w:r>
          </w:p>
        </w:tc>
        <w:tc>
          <w:tcPr>
            <w:tcW w:w="1966" w:type="dxa"/>
          </w:tcPr>
          <w:p w14:paraId="2D7DAD3D" w14:textId="77777777" w:rsidR="001325D6" w:rsidRPr="002C57DA" w:rsidRDefault="001325D6" w:rsidP="00D0240C">
            <w:pPr>
              <w:pStyle w:val="TableText-Left"/>
              <w:jc w:val="center"/>
            </w:pPr>
            <w:r>
              <w:t>CSS</w:t>
            </w:r>
          </w:p>
        </w:tc>
      </w:tr>
      <w:tr w:rsidR="001325D6" w:rsidRPr="002C57DA" w14:paraId="71789E00" w14:textId="77777777" w:rsidTr="00D0240C">
        <w:tc>
          <w:tcPr>
            <w:tcW w:w="2878" w:type="dxa"/>
          </w:tcPr>
          <w:p w14:paraId="454CD8E7" w14:textId="77777777" w:rsidR="001325D6" w:rsidRPr="002C57DA" w:rsidRDefault="001325D6" w:rsidP="00D0240C">
            <w:pPr>
              <w:pStyle w:val="TableText-Left"/>
            </w:pPr>
            <w:r>
              <w:t>RegistrationSync</w:t>
            </w:r>
          </w:p>
        </w:tc>
        <w:tc>
          <w:tcPr>
            <w:tcW w:w="2513" w:type="dxa"/>
          </w:tcPr>
          <w:p w14:paraId="3029E545" w14:textId="77777777" w:rsidR="001325D6" w:rsidRDefault="001325D6" w:rsidP="00D0240C">
            <w:pPr>
              <w:pStyle w:val="TableText-Left"/>
            </w:pPr>
            <w:r>
              <w:t>Inbound</w:t>
            </w:r>
          </w:p>
        </w:tc>
        <w:tc>
          <w:tcPr>
            <w:tcW w:w="2373" w:type="dxa"/>
          </w:tcPr>
          <w:p w14:paraId="524D4941" w14:textId="77777777" w:rsidR="001325D6" w:rsidRPr="002C57DA" w:rsidRDefault="001325D6" w:rsidP="00D0240C">
            <w:pPr>
              <w:pStyle w:val="TableText-Left"/>
              <w:jc w:val="center"/>
            </w:pPr>
            <w:r>
              <w:t>CSS</w:t>
            </w:r>
          </w:p>
        </w:tc>
        <w:tc>
          <w:tcPr>
            <w:tcW w:w="1966" w:type="dxa"/>
          </w:tcPr>
          <w:p w14:paraId="7A001D80" w14:textId="061FED00" w:rsidR="001325D6" w:rsidRDefault="00DB63D0" w:rsidP="00D0240C">
            <w:pPr>
              <w:pStyle w:val="TableText-Left"/>
              <w:jc w:val="center"/>
            </w:pPr>
            <w:r>
              <w:t>MPAS</w:t>
            </w:r>
          </w:p>
        </w:tc>
      </w:tr>
      <w:tr w:rsidR="001325D6" w:rsidRPr="002C57DA" w14:paraId="23A6E1F1" w14:textId="77777777" w:rsidTr="00D0240C">
        <w:tc>
          <w:tcPr>
            <w:tcW w:w="2878" w:type="dxa"/>
          </w:tcPr>
          <w:p w14:paraId="3B52526C" w14:textId="77777777" w:rsidR="001325D6" w:rsidRDefault="001325D6" w:rsidP="00D0240C">
            <w:pPr>
              <w:pStyle w:val="TableText-Left"/>
            </w:pPr>
            <w:r>
              <w:t>MeteringPointStatus</w:t>
            </w:r>
            <w:r w:rsidRPr="002C57DA">
              <w:t xml:space="preserve"> </w:t>
            </w:r>
          </w:p>
        </w:tc>
        <w:tc>
          <w:tcPr>
            <w:tcW w:w="2513" w:type="dxa"/>
          </w:tcPr>
          <w:p w14:paraId="6030CCC7" w14:textId="77777777" w:rsidR="001325D6" w:rsidRDefault="001325D6" w:rsidP="00D0240C">
            <w:pPr>
              <w:pStyle w:val="TableText-Left"/>
            </w:pPr>
            <w:r>
              <w:t>Inbound</w:t>
            </w:r>
          </w:p>
        </w:tc>
        <w:tc>
          <w:tcPr>
            <w:tcW w:w="2373" w:type="dxa"/>
          </w:tcPr>
          <w:p w14:paraId="4B2CDC70" w14:textId="77777777" w:rsidR="001325D6" w:rsidRDefault="001325D6" w:rsidP="00D0240C">
            <w:pPr>
              <w:pStyle w:val="TableText-Left"/>
              <w:jc w:val="center"/>
            </w:pPr>
            <w:r>
              <w:t>DNOs</w:t>
            </w:r>
          </w:p>
        </w:tc>
        <w:tc>
          <w:tcPr>
            <w:tcW w:w="1966" w:type="dxa"/>
          </w:tcPr>
          <w:p w14:paraId="13118EFB" w14:textId="03DCC711" w:rsidR="001325D6" w:rsidRDefault="00DB63D0" w:rsidP="00D0240C">
            <w:pPr>
              <w:pStyle w:val="TableText-Left"/>
              <w:jc w:val="center"/>
            </w:pPr>
            <w:r>
              <w:t>MPAS</w:t>
            </w:r>
          </w:p>
        </w:tc>
      </w:tr>
      <w:tr w:rsidR="001325D6" w:rsidRPr="002C57DA" w14:paraId="4EF7245B" w14:textId="77777777" w:rsidTr="00D0240C">
        <w:tc>
          <w:tcPr>
            <w:tcW w:w="2878" w:type="dxa"/>
          </w:tcPr>
          <w:p w14:paraId="54369B37" w14:textId="77777777" w:rsidR="001325D6" w:rsidRDefault="001325D6" w:rsidP="00D0240C">
            <w:pPr>
              <w:pStyle w:val="TableText-Left"/>
            </w:pPr>
            <w:r>
              <w:t>ElectricityRetailMarketData</w:t>
            </w:r>
            <w:r w:rsidRPr="002C57DA">
              <w:t xml:space="preserve"> </w:t>
            </w:r>
          </w:p>
        </w:tc>
        <w:tc>
          <w:tcPr>
            <w:tcW w:w="2513" w:type="dxa"/>
          </w:tcPr>
          <w:p w14:paraId="4DED5D74" w14:textId="77777777" w:rsidR="001325D6" w:rsidRDefault="001325D6" w:rsidP="00D0240C">
            <w:pPr>
              <w:pStyle w:val="TableText-Left"/>
            </w:pPr>
            <w:r>
              <w:t>Outbound</w:t>
            </w:r>
          </w:p>
        </w:tc>
        <w:tc>
          <w:tcPr>
            <w:tcW w:w="2373" w:type="dxa"/>
          </w:tcPr>
          <w:p w14:paraId="26270821" w14:textId="34442F38" w:rsidR="001325D6" w:rsidRDefault="00DB63D0" w:rsidP="00D0240C">
            <w:pPr>
              <w:pStyle w:val="TableText-Left"/>
              <w:jc w:val="center"/>
            </w:pPr>
            <w:r>
              <w:t>MPAS</w:t>
            </w:r>
          </w:p>
        </w:tc>
        <w:tc>
          <w:tcPr>
            <w:tcW w:w="1966" w:type="dxa"/>
          </w:tcPr>
          <w:p w14:paraId="426F9D6D" w14:textId="77777777" w:rsidR="001325D6" w:rsidRDefault="001325D6" w:rsidP="00D0240C">
            <w:pPr>
              <w:pStyle w:val="TableText-Left"/>
              <w:jc w:val="center"/>
            </w:pPr>
            <w:r>
              <w:t>ECOES</w:t>
            </w:r>
          </w:p>
        </w:tc>
      </w:tr>
      <w:tr w:rsidR="001325D6" w:rsidRPr="002C57DA" w14:paraId="7505D3A7" w14:textId="77777777" w:rsidTr="00D0240C">
        <w:tc>
          <w:tcPr>
            <w:tcW w:w="2878" w:type="dxa"/>
          </w:tcPr>
          <w:p w14:paraId="7A3A9504" w14:textId="2B874E41" w:rsidR="001325D6" w:rsidRDefault="001325D6" w:rsidP="00D0240C">
            <w:pPr>
              <w:pStyle w:val="TableText-Left"/>
            </w:pPr>
            <w:r>
              <w:t>SwitchingDomainData</w:t>
            </w:r>
            <w:r w:rsidR="00554FBF">
              <w:rPr>
                <w:rStyle w:val="FootnoteReference"/>
              </w:rPr>
              <w:footnoteReference w:id="4"/>
            </w:r>
          </w:p>
        </w:tc>
        <w:tc>
          <w:tcPr>
            <w:tcW w:w="2513" w:type="dxa"/>
          </w:tcPr>
          <w:p w14:paraId="3473B21D" w14:textId="77777777" w:rsidR="001325D6" w:rsidRDefault="001325D6" w:rsidP="00D0240C">
            <w:pPr>
              <w:pStyle w:val="TableText-Left"/>
            </w:pPr>
            <w:r>
              <w:t>Inbound</w:t>
            </w:r>
          </w:p>
        </w:tc>
        <w:tc>
          <w:tcPr>
            <w:tcW w:w="2373" w:type="dxa"/>
          </w:tcPr>
          <w:p w14:paraId="5584DF85" w14:textId="77777777" w:rsidR="001325D6" w:rsidRDefault="001325D6" w:rsidP="00D0240C">
            <w:pPr>
              <w:pStyle w:val="TableText-Left"/>
              <w:jc w:val="center"/>
            </w:pPr>
            <w:r>
              <w:t>Switching Domain Data Service</w:t>
            </w:r>
          </w:p>
        </w:tc>
        <w:tc>
          <w:tcPr>
            <w:tcW w:w="1966" w:type="dxa"/>
          </w:tcPr>
          <w:p w14:paraId="657FDB1D" w14:textId="08CB5A4E" w:rsidR="001325D6" w:rsidRDefault="00DB63D0" w:rsidP="00D0240C">
            <w:pPr>
              <w:pStyle w:val="TableText-Left"/>
              <w:jc w:val="center"/>
            </w:pPr>
            <w:r>
              <w:t>MPAS</w:t>
            </w:r>
          </w:p>
        </w:tc>
      </w:tr>
      <w:tr w:rsidR="009A6444" w:rsidRPr="002C57DA" w14:paraId="642E6A18" w14:textId="77777777" w:rsidTr="00D0240C">
        <w:tc>
          <w:tcPr>
            <w:tcW w:w="2878" w:type="dxa"/>
          </w:tcPr>
          <w:p w14:paraId="662F41E3" w14:textId="5AC8584D" w:rsidR="009A6444" w:rsidRDefault="009A6444" w:rsidP="00D0240C">
            <w:pPr>
              <w:pStyle w:val="TableText-Left"/>
            </w:pPr>
            <w:r>
              <w:t>RetailEnergyLocation</w:t>
            </w:r>
          </w:p>
        </w:tc>
        <w:tc>
          <w:tcPr>
            <w:tcW w:w="2513" w:type="dxa"/>
          </w:tcPr>
          <w:p w14:paraId="3DFF9B13" w14:textId="74840428" w:rsidR="009A6444" w:rsidRDefault="009A6444" w:rsidP="00D0240C">
            <w:pPr>
              <w:pStyle w:val="TableText-Left"/>
            </w:pPr>
            <w:r>
              <w:t>Inbound</w:t>
            </w:r>
          </w:p>
        </w:tc>
        <w:tc>
          <w:tcPr>
            <w:tcW w:w="2373" w:type="dxa"/>
          </w:tcPr>
          <w:p w14:paraId="11ECFA2D" w14:textId="6A59D331" w:rsidR="009A6444" w:rsidRDefault="009A6444" w:rsidP="00D0240C">
            <w:pPr>
              <w:pStyle w:val="TableText-Left"/>
              <w:jc w:val="center"/>
            </w:pPr>
            <w:r>
              <w:t>CSS</w:t>
            </w:r>
          </w:p>
        </w:tc>
        <w:tc>
          <w:tcPr>
            <w:tcW w:w="1966" w:type="dxa"/>
          </w:tcPr>
          <w:p w14:paraId="4B4654C2" w14:textId="4D4E46A7" w:rsidR="009A6444" w:rsidRDefault="009A6444" w:rsidP="00D0240C">
            <w:pPr>
              <w:pStyle w:val="TableText-Left"/>
              <w:jc w:val="center"/>
            </w:pPr>
            <w:r>
              <w:t>MPAS</w:t>
            </w:r>
          </w:p>
        </w:tc>
      </w:tr>
    </w:tbl>
    <w:p w14:paraId="7B95B1FD" w14:textId="06483E46" w:rsidR="001325D6" w:rsidRPr="00501F07" w:rsidRDefault="001325D6" w:rsidP="001325D6">
      <w:pPr>
        <w:pStyle w:val="Paragrapgh"/>
      </w:pPr>
      <w:r>
        <w:t>Note: MeteringPointStatus</w:t>
      </w:r>
      <w:r w:rsidRPr="00501F07">
        <w:t xml:space="preserve"> </w:t>
      </w:r>
      <w:r>
        <w:t xml:space="preserve">is an </w:t>
      </w:r>
      <w:r w:rsidRPr="00F66838">
        <w:t>existing</w:t>
      </w:r>
      <w:r>
        <w:t xml:space="preserve"> interface between </w:t>
      </w:r>
      <w:r w:rsidR="00DB63D0">
        <w:t>MPAS</w:t>
      </w:r>
      <w:r>
        <w:t xml:space="preserve"> and DNO Data Service</w:t>
      </w:r>
      <w:r w:rsidRPr="00501F07">
        <w:t>.</w:t>
      </w:r>
      <w:r>
        <w:t xml:space="preserve"> I</w:t>
      </w:r>
      <w:r w:rsidRPr="00501F07">
        <w:t>t is included here for completeness</w:t>
      </w:r>
      <w:r w:rsidR="00EC68EF">
        <w:t>.</w:t>
      </w:r>
      <w:r w:rsidRPr="00481772">
        <w:t xml:space="preserve"> </w:t>
      </w:r>
      <w:r w:rsidR="00EC68EF">
        <w:t>A</w:t>
      </w:r>
      <w:r w:rsidR="008A453C">
        <w:t>ny changes necessary as a result of the new Switching Arrangements</w:t>
      </w:r>
      <w:r w:rsidRPr="00481772">
        <w:t xml:space="preserve"> </w:t>
      </w:r>
      <w:r>
        <w:t>will need to be agreed between the respective Service Owners.</w:t>
      </w:r>
    </w:p>
    <w:p w14:paraId="38DA2EB9" w14:textId="546C29AB" w:rsidR="001325D6" w:rsidRPr="00501F07" w:rsidRDefault="001325D6" w:rsidP="001325D6">
      <w:pPr>
        <w:pStyle w:val="Paragrapgh"/>
      </w:pPr>
      <w:r>
        <w:t>Note: Electricity</w:t>
      </w:r>
      <w:r w:rsidRPr="00501F07">
        <w:t xml:space="preserve">RetailMarketData </w:t>
      </w:r>
      <w:r>
        <w:t xml:space="preserve">is an </w:t>
      </w:r>
      <w:r w:rsidRPr="00F66838">
        <w:t>existing</w:t>
      </w:r>
      <w:r>
        <w:t xml:space="preserve"> interface between </w:t>
      </w:r>
      <w:r w:rsidR="00DB63D0">
        <w:t>ECOES</w:t>
      </w:r>
      <w:r>
        <w:t xml:space="preserve"> and </w:t>
      </w:r>
      <w:r w:rsidR="00DB63D0">
        <w:t>MPAS</w:t>
      </w:r>
      <w:r w:rsidRPr="00501F07">
        <w:t>.</w:t>
      </w:r>
      <w:r>
        <w:t xml:space="preserve"> I</w:t>
      </w:r>
      <w:r w:rsidRPr="00501F07">
        <w:t>t is included here for completeness</w:t>
      </w:r>
      <w:r w:rsidR="00EC68EF">
        <w:t>.  A</w:t>
      </w:r>
      <w:r w:rsidR="008A453C">
        <w:t>ny changes necessary as a result of the new Switching Arrangements</w:t>
      </w:r>
      <w:r w:rsidRPr="00481772">
        <w:t xml:space="preserve"> </w:t>
      </w:r>
      <w:r>
        <w:t>will need to be agreed between the respective Service Owners.</w:t>
      </w:r>
    </w:p>
    <w:p w14:paraId="253F33C5" w14:textId="77777777" w:rsidR="001325D6" w:rsidRDefault="001325D6" w:rsidP="001325D6">
      <w:pPr>
        <w:pStyle w:val="Paragrapgh"/>
      </w:pPr>
      <w:r>
        <w:t>These interfaces are shown in the next diagram:</w:t>
      </w:r>
    </w:p>
    <w:p w14:paraId="04B1C7C4" w14:textId="50CD9DCE" w:rsidR="001325D6" w:rsidRDefault="001325D6" w:rsidP="001325D6">
      <w:pPr>
        <w:pStyle w:val="BodyTextNormal"/>
        <w:jc w:val="center"/>
      </w:pPr>
      <w:r w:rsidRPr="00F47F9C">
        <w:t xml:space="preserve"> </w:t>
      </w:r>
      <w:r w:rsidR="007E7DCA" w:rsidRPr="007E7DCA">
        <w:rPr>
          <w:noProof/>
          <w:lang w:eastAsia="en-GB"/>
        </w:rPr>
        <w:drawing>
          <wp:inline distT="0" distB="0" distL="0" distR="0" wp14:anchorId="0C3CF9AD" wp14:editId="2971D982">
            <wp:extent cx="6184900" cy="400621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84900" cy="4006215"/>
                    </a:xfrm>
                    <a:prstGeom prst="rect">
                      <a:avLst/>
                    </a:prstGeom>
                    <a:noFill/>
                    <a:ln>
                      <a:noFill/>
                    </a:ln>
                  </pic:spPr>
                </pic:pic>
              </a:graphicData>
            </a:graphic>
          </wp:inline>
        </w:drawing>
      </w:r>
    </w:p>
    <w:p w14:paraId="4D05DC36" w14:textId="6C18A995" w:rsidR="001325D6" w:rsidRDefault="001325D6" w:rsidP="0065787F">
      <w:pPr>
        <w:pStyle w:val="Caption"/>
      </w:pPr>
      <w:r w:rsidRPr="00A72CB6">
        <w:t xml:space="preserve">Figure </w:t>
      </w:r>
      <w:r w:rsidR="00112F53">
        <w:rPr>
          <w:noProof/>
        </w:rPr>
        <w:fldChar w:fldCharType="begin"/>
      </w:r>
      <w:r w:rsidR="00112F53">
        <w:rPr>
          <w:noProof/>
        </w:rPr>
        <w:instrText xml:space="preserve"> SEQ Figure \* ARABIC </w:instrText>
      </w:r>
      <w:r w:rsidR="00112F53">
        <w:rPr>
          <w:noProof/>
        </w:rPr>
        <w:fldChar w:fldCharType="separate"/>
      </w:r>
      <w:r w:rsidR="005D4843">
        <w:rPr>
          <w:noProof/>
        </w:rPr>
        <w:t>3</w:t>
      </w:r>
      <w:r w:rsidR="00112F53">
        <w:rPr>
          <w:noProof/>
        </w:rPr>
        <w:fldChar w:fldCharType="end"/>
      </w:r>
      <w:r w:rsidRPr="00A72CB6">
        <w:t xml:space="preserve"> </w:t>
      </w:r>
      <w:r>
        <w:t xml:space="preserve">– New/Changed </w:t>
      </w:r>
      <w:r w:rsidRPr="00A72CB6">
        <w:t xml:space="preserve">Interfaces with </w:t>
      </w:r>
      <w:r w:rsidR="00DB63D0">
        <w:t>MPAS</w:t>
      </w:r>
    </w:p>
    <w:p w14:paraId="55356B06" w14:textId="699876D7" w:rsidR="001325D6" w:rsidRDefault="00A1661D" w:rsidP="00F73DBE">
      <w:pPr>
        <w:pStyle w:val="Heading3"/>
      </w:pPr>
      <w:bookmarkStart w:id="69" w:name="_Toc9934739"/>
      <w:bookmarkEnd w:id="60"/>
      <w:bookmarkEnd w:id="61"/>
      <w:bookmarkEnd w:id="62"/>
      <w:bookmarkEnd w:id="63"/>
      <w:bookmarkEnd w:id="64"/>
      <w:bookmarkEnd w:id="65"/>
      <w:bookmarkEnd w:id="66"/>
      <w:r>
        <w:t>UK Link</w:t>
      </w:r>
      <w:bookmarkEnd w:id="67"/>
      <w:bookmarkEnd w:id="68"/>
      <w:bookmarkEnd w:id="69"/>
    </w:p>
    <w:p w14:paraId="7D5799EC" w14:textId="46127634" w:rsidR="001325D6" w:rsidRDefault="00A1661D" w:rsidP="001325D6">
      <w:pPr>
        <w:pStyle w:val="Paragrapgh"/>
      </w:pPr>
      <w:r>
        <w:t>UK Link</w:t>
      </w:r>
      <w:r w:rsidR="001325D6">
        <w:t xml:space="preserve"> will undergo a series of changes related to the process of switching gas supplier, updating supply meter point asset details, and </w:t>
      </w:r>
      <w:r w:rsidR="00DE5734">
        <w:t>maintaining</w:t>
      </w:r>
      <w:r w:rsidR="001325D6">
        <w:t xml:space="preserve"> meter point data, including:</w:t>
      </w:r>
    </w:p>
    <w:p w14:paraId="24B8DD49" w14:textId="20562504" w:rsidR="001325D6" w:rsidRDefault="001325D6" w:rsidP="00176198">
      <w:pPr>
        <w:pStyle w:val="ListBullet"/>
      </w:pPr>
      <w:r>
        <w:t>Management of the Switching Process and Initial Registration (of RMP to Energy Supplier)</w:t>
      </w:r>
      <w:r w:rsidR="00D0240C">
        <w:t xml:space="preserve"> </w:t>
      </w:r>
      <w:r>
        <w:t xml:space="preserve">will be transferred to the CSS service from </w:t>
      </w:r>
      <w:r w:rsidR="00A1661D">
        <w:t>UK Link</w:t>
      </w:r>
      <w:r>
        <w:t xml:space="preserve">. This process transfer will be done in a manner that will not impact the remaining core functionality of </w:t>
      </w:r>
      <w:r w:rsidR="00A1661D">
        <w:t>UK Link</w:t>
      </w:r>
      <w:r>
        <w:t xml:space="preserve"> and will require the creation of a number of new interfaces between CSS and </w:t>
      </w:r>
      <w:r w:rsidR="00A1661D">
        <w:t>UK Link</w:t>
      </w:r>
      <w:r>
        <w:t>.</w:t>
      </w:r>
    </w:p>
    <w:p w14:paraId="630DF862" w14:textId="49B63996" w:rsidR="001325D6" w:rsidRDefault="001325D6" w:rsidP="00176198">
      <w:pPr>
        <w:pStyle w:val="ListBullet"/>
      </w:pPr>
      <w:r>
        <w:t xml:space="preserve">Responsibility for the Switching Process and Initial Registration will be transferred from Shippers to Suppliers, but Shippers will continue to interact with </w:t>
      </w:r>
      <w:r w:rsidR="00A1661D">
        <w:t>UK Link</w:t>
      </w:r>
      <w:r>
        <w:t xml:space="preserve"> to update settlement parameters.</w:t>
      </w:r>
    </w:p>
    <w:p w14:paraId="29FEB0A7" w14:textId="47F3DCA1" w:rsidR="001325D6" w:rsidRDefault="001325D6" w:rsidP="00176198">
      <w:pPr>
        <w:pStyle w:val="ListBullet"/>
      </w:pPr>
      <w:r>
        <w:t xml:space="preserve">Provision of Registration Data Provider (RDP) information (currently supplied by </w:t>
      </w:r>
      <w:r w:rsidR="00A1661D">
        <w:t>UK Link</w:t>
      </w:r>
      <w:r>
        <w:t xml:space="preserve"> to the DCC) will be transferred to the CSS.</w:t>
      </w:r>
      <w:r w:rsidR="00DB63D0">
        <w:t xml:space="preserve"> Note that the reverse feed of data from DCC to UK Link will stay as is.</w:t>
      </w:r>
    </w:p>
    <w:p w14:paraId="2ACBC379" w14:textId="2B9BE38D" w:rsidR="001325D6" w:rsidRDefault="001325D6" w:rsidP="00176198">
      <w:pPr>
        <w:pStyle w:val="ListBullet"/>
      </w:pPr>
      <w:r>
        <w:t xml:space="preserve">Management of RMP (including details of installed assets) will remain with </w:t>
      </w:r>
      <w:r w:rsidR="00A1661D">
        <w:t>UK Link</w:t>
      </w:r>
      <w:r>
        <w:t>, but additions and changes will need to be made to support E2E Switching:</w:t>
      </w:r>
    </w:p>
    <w:p w14:paraId="6616B366" w14:textId="31F9293F" w:rsidR="001325D6" w:rsidRDefault="001325D6" w:rsidP="001325D6">
      <w:pPr>
        <w:pStyle w:val="ListBullet2"/>
      </w:pPr>
      <w:r>
        <w:t xml:space="preserve">Metering Asset Managers (MAMs) will be split into Metering Equipment Managers (MEMs) and Metering Asset Providers (MAPs). </w:t>
      </w:r>
      <w:r w:rsidR="00A1661D">
        <w:t>UK Link</w:t>
      </w:r>
      <w:r>
        <w:t xml:space="preserve"> will be updated to hold the two roles separately for each asset.</w:t>
      </w:r>
    </w:p>
    <w:p w14:paraId="0FED43F9" w14:textId="5404972C" w:rsidR="001325D6" w:rsidRDefault="001325D6" w:rsidP="001325D6">
      <w:pPr>
        <w:pStyle w:val="ListBullet2"/>
      </w:pPr>
      <w:r>
        <w:t>The ‘Primary’ asset at each RMP will be identified and maintained.</w:t>
      </w:r>
      <w:r w:rsidR="00323F52">
        <w:t xml:space="preserve"> This d</w:t>
      </w:r>
      <w:r w:rsidR="00323F52" w:rsidRPr="00323F52">
        <w:t xml:space="preserve">ata </w:t>
      </w:r>
      <w:r w:rsidR="00323F52">
        <w:t>will be provided by MEMs to UK Link</w:t>
      </w:r>
      <w:r w:rsidR="00323F52" w:rsidRPr="00323F52">
        <w:t xml:space="preserve"> by means of existing interfaces, which may be achieved </w:t>
      </w:r>
      <w:r w:rsidR="00323F52">
        <w:t xml:space="preserve">by an </w:t>
      </w:r>
      <w:r w:rsidR="00323F52" w:rsidRPr="00323F52">
        <w:t>indirect</w:t>
      </w:r>
      <w:r w:rsidR="00323F52">
        <w:t xml:space="preserve"> route</w:t>
      </w:r>
      <w:r w:rsidR="00323F52" w:rsidRPr="00323F52">
        <w:t xml:space="preserve"> via the existing Supplier</w:t>
      </w:r>
      <w:r w:rsidR="00323F52">
        <w:t>/Shipper interfaces</w:t>
      </w:r>
      <w:r w:rsidR="00323F52" w:rsidRPr="00323F52">
        <w:t>.</w:t>
      </w:r>
    </w:p>
    <w:p w14:paraId="1C555ADC" w14:textId="77777777" w:rsidR="001325D6" w:rsidRDefault="001325D6" w:rsidP="001325D6">
      <w:pPr>
        <w:pStyle w:val="ListBullet2"/>
      </w:pPr>
      <w:r>
        <w:t>The MAP for the ‘Primary’ asset will be included in Supply Meter Point Status updates to CSS.</w:t>
      </w:r>
    </w:p>
    <w:p w14:paraId="118B74A1" w14:textId="7CCE3272" w:rsidR="001325D6" w:rsidRDefault="001325D6" w:rsidP="001325D6">
      <w:pPr>
        <w:pStyle w:val="ListBullet2"/>
      </w:pPr>
      <w:r>
        <w:t xml:space="preserve">On request, </w:t>
      </w:r>
      <w:r w:rsidR="0011192E">
        <w:t>UK LINK</w:t>
      </w:r>
      <w:r>
        <w:t xml:space="preserve"> will create RMPs for premises situated on Licence Exempt Networks (LENs) that are within their distribution areas. These will be coded with a Licence Exempt Network Indicator.</w:t>
      </w:r>
    </w:p>
    <w:p w14:paraId="2E05FBA3" w14:textId="5D43E72A" w:rsidR="001325D6" w:rsidRDefault="004D0BFE" w:rsidP="001325D6">
      <w:pPr>
        <w:pStyle w:val="ListBullet2"/>
      </w:pPr>
      <w:r>
        <w:t>Inclusion of RMP status and management of the (logical) values as the RMP advances through its lifecycle. These values must be included in the interfaces.</w:t>
      </w:r>
    </w:p>
    <w:p w14:paraId="110819FE" w14:textId="7C2FA894" w:rsidR="002A6E9C" w:rsidRDefault="002A6E9C" w:rsidP="002A6E9C">
      <w:pPr>
        <w:pStyle w:val="ListBullet2"/>
      </w:pPr>
      <w:r>
        <w:t xml:space="preserve">Retail Energy Location Updates will be passed from CSS to </w:t>
      </w:r>
      <w:r w:rsidR="00CD485F">
        <w:t>UK Link</w:t>
      </w:r>
      <w:r>
        <w:t>.</w:t>
      </w:r>
    </w:p>
    <w:p w14:paraId="36936A11" w14:textId="1457F301" w:rsidR="001325D6" w:rsidRDefault="001325D6" w:rsidP="001325D6">
      <w:pPr>
        <w:pStyle w:val="Paragrapgh"/>
      </w:pPr>
      <w:r>
        <w:t xml:space="preserve">An interface from </w:t>
      </w:r>
      <w:r w:rsidR="00A1661D">
        <w:t>UK Link</w:t>
      </w:r>
      <w:r>
        <w:t xml:space="preserve"> to CSS will provide a full update feed of data that represents gas meter point information that includes supplier registration data</w:t>
      </w:r>
      <w:r w:rsidR="00393B97">
        <w:t>.  It will also provide</w:t>
      </w:r>
      <w:r>
        <w:t xml:space="preserve"> identi</w:t>
      </w:r>
      <w:r w:rsidR="004D0BFE">
        <w:t>ty of</w:t>
      </w:r>
      <w:r>
        <w:t xml:space="preserve"> the primary asset Meter Asset Provider (MAP)</w:t>
      </w:r>
      <w:r w:rsidR="00393B97">
        <w:t>, w</w:t>
      </w:r>
      <w:r w:rsidR="004D0BFE">
        <w:t>h</w:t>
      </w:r>
      <w:r w:rsidR="00393B97">
        <w:t>ich will be maintained in UK Link</w:t>
      </w:r>
      <w:r w:rsidR="004D0BFE">
        <w:t>, and the Metering Equipment Managers (MEM).</w:t>
      </w:r>
    </w:p>
    <w:p w14:paraId="5058DD73" w14:textId="06C29F6F" w:rsidR="001325D6" w:rsidRDefault="001325D6" w:rsidP="001325D6">
      <w:pPr>
        <w:pStyle w:val="Paragrapgh"/>
      </w:pPr>
      <w:r>
        <w:t xml:space="preserve">New interfaces between </w:t>
      </w:r>
      <w:r w:rsidR="00A1661D">
        <w:t>UK Link</w:t>
      </w:r>
      <w:r>
        <w:t xml:space="preserve"> and CSS are required to facilitate the wider E2E Switching Arrangements</w:t>
      </w:r>
      <w:r w:rsidRPr="009E579C">
        <w:t>.</w:t>
      </w:r>
      <w:r>
        <w:t xml:space="preserve"> </w:t>
      </w:r>
      <w:r w:rsidRPr="009E579C">
        <w:t xml:space="preserve">CSS will have the capability to process </w:t>
      </w:r>
      <w:r>
        <w:t xml:space="preserve">both inbound and outbound requests as defined in the </w:t>
      </w:r>
      <w:hyperlink w:anchor="_Interfaces" w:history="1">
        <w:r w:rsidRPr="00B57B39">
          <w:rPr>
            <w:rStyle w:val="Hyperlink"/>
            <w:sz w:val="20"/>
          </w:rPr>
          <w:t>Interfaces</w:t>
        </w:r>
      </w:hyperlink>
      <w:r>
        <w:rPr>
          <w:rStyle w:val="Hyperlink"/>
          <w:sz w:val="20"/>
        </w:rPr>
        <w:t xml:space="preserve"> </w:t>
      </w:r>
      <w:r>
        <w:t>section of this document.</w:t>
      </w:r>
    </w:p>
    <w:p w14:paraId="7C34655B" w14:textId="701EB112" w:rsidR="001325D6" w:rsidRDefault="001325D6" w:rsidP="001325D6">
      <w:pPr>
        <w:pStyle w:val="Paragrapgh"/>
      </w:pPr>
      <w:r>
        <w:t>The new industry business processes</w:t>
      </w:r>
      <w:r w:rsidRPr="0076041E">
        <w:t xml:space="preserve"> </w:t>
      </w:r>
      <w:r>
        <w:t xml:space="preserve">and business rules involving </w:t>
      </w:r>
      <w:r w:rsidR="00A1661D">
        <w:t>UK Link</w:t>
      </w:r>
      <w:r>
        <w:t xml:space="preserve"> Provider, and interaction sequence diagrams describing its involvement in these processes, are defined in the Switching Design Repository (ABACUS). </w:t>
      </w:r>
    </w:p>
    <w:p w14:paraId="0121596F" w14:textId="77777777" w:rsidR="001325D6" w:rsidRDefault="001325D6" w:rsidP="001325D6">
      <w:pPr>
        <w:pStyle w:val="Heading4"/>
        <w:keepNext/>
      </w:pPr>
      <w:r>
        <w:t xml:space="preserve">Impact </w:t>
      </w:r>
      <w:r w:rsidRPr="00890F09">
        <w:t>Summary</w:t>
      </w:r>
    </w:p>
    <w:p w14:paraId="7770B716" w14:textId="49EFC744" w:rsidR="001325D6" w:rsidRDefault="001325D6" w:rsidP="001325D6">
      <w:pPr>
        <w:pStyle w:val="Paragrapgh"/>
        <w:keepNext/>
      </w:pPr>
      <w:r w:rsidRPr="0035188E">
        <w:t xml:space="preserve">The following </w:t>
      </w:r>
      <w:r>
        <w:t xml:space="preserve">table provides a summary of the new CSS (including Switching Domain Data Service) </w:t>
      </w:r>
      <w:r w:rsidRPr="0035188E">
        <w:t>interface</w:t>
      </w:r>
      <w:r>
        <w:t xml:space="preserve">s </w:t>
      </w:r>
      <w:r w:rsidRPr="0035188E">
        <w:t xml:space="preserve">for </w:t>
      </w:r>
      <w:r w:rsidR="00A1661D">
        <w:t>UK Link</w:t>
      </w:r>
      <w:r w:rsidRPr="0035188E">
        <w:t xml:space="preserve"> in ABACUS</w:t>
      </w:r>
      <w:r>
        <w:t xml:space="preserve">, plus </w:t>
      </w:r>
      <w:r w:rsidR="000A3AAF">
        <w:t xml:space="preserve">two </w:t>
      </w:r>
      <w:r>
        <w:t>interfaces that are not in ABACUS but are referenced for completeness:</w:t>
      </w:r>
    </w:p>
    <w:tbl>
      <w:tblPr>
        <w:tblStyle w:val="TableGrid"/>
        <w:tblW w:w="0" w:type="auto"/>
        <w:tblLook w:val="04A0" w:firstRow="1" w:lastRow="0" w:firstColumn="1" w:lastColumn="0" w:noHBand="0" w:noVBand="1"/>
      </w:tblPr>
      <w:tblGrid>
        <w:gridCol w:w="2878"/>
        <w:gridCol w:w="2524"/>
        <w:gridCol w:w="2166"/>
        <w:gridCol w:w="2162"/>
      </w:tblGrid>
      <w:tr w:rsidR="001325D6" w:rsidRPr="00F26F35" w14:paraId="2FD9BCAC" w14:textId="77777777" w:rsidTr="00D0240C">
        <w:tc>
          <w:tcPr>
            <w:tcW w:w="2878" w:type="dxa"/>
            <w:shd w:val="clear" w:color="auto" w:fill="A6A6A6" w:themeFill="background1" w:themeFillShade="A6"/>
          </w:tcPr>
          <w:p w14:paraId="3A2CB6F0" w14:textId="77777777" w:rsidR="001325D6" w:rsidRPr="00F26F35" w:rsidRDefault="001325D6" w:rsidP="00D0240C">
            <w:pPr>
              <w:pStyle w:val="TableHeadings"/>
            </w:pPr>
            <w:r w:rsidRPr="00F26F35">
              <w:t>Interface</w:t>
            </w:r>
            <w:r>
              <w:t xml:space="preserve"> Name</w:t>
            </w:r>
          </w:p>
        </w:tc>
        <w:tc>
          <w:tcPr>
            <w:tcW w:w="2524" w:type="dxa"/>
            <w:shd w:val="clear" w:color="auto" w:fill="A6A6A6" w:themeFill="background1" w:themeFillShade="A6"/>
          </w:tcPr>
          <w:p w14:paraId="6072E270" w14:textId="77777777" w:rsidR="001325D6" w:rsidRPr="00F26F35" w:rsidRDefault="001325D6" w:rsidP="00D0240C">
            <w:pPr>
              <w:pStyle w:val="TableHeadings"/>
            </w:pPr>
            <w:r>
              <w:t>Directionality</w:t>
            </w:r>
          </w:p>
        </w:tc>
        <w:tc>
          <w:tcPr>
            <w:tcW w:w="2166" w:type="dxa"/>
            <w:shd w:val="clear" w:color="auto" w:fill="A6A6A6" w:themeFill="background1" w:themeFillShade="A6"/>
          </w:tcPr>
          <w:p w14:paraId="3265C6F1" w14:textId="77777777" w:rsidR="001325D6" w:rsidRPr="00F26F35" w:rsidRDefault="001325D6" w:rsidP="00D0240C">
            <w:pPr>
              <w:pStyle w:val="TableHeadings"/>
              <w:jc w:val="center"/>
            </w:pPr>
            <w:r>
              <w:t>Sending Data Service</w:t>
            </w:r>
          </w:p>
        </w:tc>
        <w:tc>
          <w:tcPr>
            <w:tcW w:w="2162" w:type="dxa"/>
            <w:shd w:val="clear" w:color="auto" w:fill="A6A6A6" w:themeFill="background1" w:themeFillShade="A6"/>
          </w:tcPr>
          <w:p w14:paraId="058DE6BE" w14:textId="77777777" w:rsidR="001325D6" w:rsidRPr="00FC5269" w:rsidRDefault="001325D6" w:rsidP="00D0240C">
            <w:pPr>
              <w:pStyle w:val="TableHeadings"/>
              <w:jc w:val="center"/>
            </w:pPr>
            <w:r>
              <w:t>Receiving Data Service</w:t>
            </w:r>
          </w:p>
        </w:tc>
      </w:tr>
      <w:tr w:rsidR="001325D6" w:rsidRPr="00BE3F0A" w14:paraId="057931CC" w14:textId="77777777" w:rsidTr="00D0240C">
        <w:tc>
          <w:tcPr>
            <w:tcW w:w="2878" w:type="dxa"/>
          </w:tcPr>
          <w:p w14:paraId="4F27EE6C" w14:textId="77777777" w:rsidR="001325D6" w:rsidRPr="00BE3F0A" w:rsidRDefault="001325D6" w:rsidP="00D0240C">
            <w:pPr>
              <w:pStyle w:val="TableText-Left"/>
            </w:pPr>
            <w:r>
              <w:t>MEMAppointment</w:t>
            </w:r>
          </w:p>
        </w:tc>
        <w:tc>
          <w:tcPr>
            <w:tcW w:w="2524" w:type="dxa"/>
          </w:tcPr>
          <w:p w14:paraId="49F27A34" w14:textId="77777777" w:rsidR="001325D6" w:rsidRPr="00BE3F0A" w:rsidRDefault="001325D6" w:rsidP="00D0240C">
            <w:pPr>
              <w:pStyle w:val="TableText-Left"/>
            </w:pPr>
            <w:r w:rsidRPr="00BE3F0A">
              <w:t>Outbound</w:t>
            </w:r>
          </w:p>
        </w:tc>
        <w:tc>
          <w:tcPr>
            <w:tcW w:w="2166" w:type="dxa"/>
          </w:tcPr>
          <w:p w14:paraId="7646F5FA" w14:textId="37101E39" w:rsidR="001325D6" w:rsidRPr="00BE3F0A" w:rsidRDefault="00A1661D" w:rsidP="00D0240C">
            <w:pPr>
              <w:pStyle w:val="TableText-Left"/>
              <w:jc w:val="center"/>
            </w:pPr>
            <w:r>
              <w:t>UK Link</w:t>
            </w:r>
          </w:p>
        </w:tc>
        <w:tc>
          <w:tcPr>
            <w:tcW w:w="2162" w:type="dxa"/>
          </w:tcPr>
          <w:p w14:paraId="1B5776E7" w14:textId="77777777" w:rsidR="001325D6" w:rsidRPr="00BE3F0A" w:rsidRDefault="001325D6" w:rsidP="00D0240C">
            <w:pPr>
              <w:pStyle w:val="TableText-Left"/>
              <w:jc w:val="center"/>
            </w:pPr>
            <w:r>
              <w:t>CSS</w:t>
            </w:r>
          </w:p>
        </w:tc>
      </w:tr>
      <w:tr w:rsidR="001325D6" w:rsidRPr="00BE3F0A" w14:paraId="55C95E83" w14:textId="77777777" w:rsidTr="00D0240C">
        <w:tc>
          <w:tcPr>
            <w:tcW w:w="2878" w:type="dxa"/>
          </w:tcPr>
          <w:p w14:paraId="1578033A" w14:textId="77777777" w:rsidR="001325D6" w:rsidRPr="00BE3F0A" w:rsidRDefault="001325D6" w:rsidP="00D0240C">
            <w:pPr>
              <w:pStyle w:val="TableText-Left"/>
            </w:pPr>
            <w:r w:rsidRPr="00BE3F0A">
              <w:t>SupplyMeterPointSync</w:t>
            </w:r>
          </w:p>
        </w:tc>
        <w:tc>
          <w:tcPr>
            <w:tcW w:w="2524" w:type="dxa"/>
          </w:tcPr>
          <w:p w14:paraId="382090AD" w14:textId="77777777" w:rsidR="001325D6" w:rsidRPr="00BE3F0A" w:rsidRDefault="001325D6" w:rsidP="00D0240C">
            <w:pPr>
              <w:pStyle w:val="TableText-Left"/>
            </w:pPr>
            <w:r w:rsidRPr="00BE3F0A">
              <w:t>Outbound</w:t>
            </w:r>
          </w:p>
        </w:tc>
        <w:tc>
          <w:tcPr>
            <w:tcW w:w="2166" w:type="dxa"/>
          </w:tcPr>
          <w:p w14:paraId="545B170F" w14:textId="236444D5" w:rsidR="001325D6" w:rsidRPr="00BE3F0A" w:rsidRDefault="00A1661D" w:rsidP="00D0240C">
            <w:pPr>
              <w:pStyle w:val="TableText-Left"/>
              <w:jc w:val="center"/>
            </w:pPr>
            <w:r>
              <w:t>UK Link</w:t>
            </w:r>
          </w:p>
        </w:tc>
        <w:tc>
          <w:tcPr>
            <w:tcW w:w="2162" w:type="dxa"/>
          </w:tcPr>
          <w:p w14:paraId="45908EF6" w14:textId="77777777" w:rsidR="001325D6" w:rsidRPr="00BE3F0A" w:rsidRDefault="001325D6" w:rsidP="00D0240C">
            <w:pPr>
              <w:pStyle w:val="TableText-Left"/>
              <w:jc w:val="center"/>
            </w:pPr>
            <w:r>
              <w:t>CSS</w:t>
            </w:r>
          </w:p>
        </w:tc>
      </w:tr>
      <w:tr w:rsidR="001325D6" w:rsidRPr="00BE3F0A" w14:paraId="60BA9A54" w14:textId="77777777" w:rsidTr="00D0240C">
        <w:tc>
          <w:tcPr>
            <w:tcW w:w="2878" w:type="dxa"/>
          </w:tcPr>
          <w:p w14:paraId="293BBE0E" w14:textId="77777777" w:rsidR="001325D6" w:rsidRPr="00BE3F0A" w:rsidRDefault="001325D6" w:rsidP="00D0240C">
            <w:pPr>
              <w:pStyle w:val="TableText-Left"/>
            </w:pPr>
            <w:r w:rsidRPr="00BE3F0A">
              <w:t>RegistrationSync</w:t>
            </w:r>
          </w:p>
        </w:tc>
        <w:tc>
          <w:tcPr>
            <w:tcW w:w="2524" w:type="dxa"/>
          </w:tcPr>
          <w:p w14:paraId="73F6D93A" w14:textId="77777777" w:rsidR="001325D6" w:rsidRPr="00BE3F0A" w:rsidRDefault="001325D6" w:rsidP="00D0240C">
            <w:pPr>
              <w:pStyle w:val="TableText-Left"/>
            </w:pPr>
            <w:r w:rsidRPr="00BE3F0A">
              <w:t xml:space="preserve">Inbound </w:t>
            </w:r>
          </w:p>
        </w:tc>
        <w:tc>
          <w:tcPr>
            <w:tcW w:w="2166" w:type="dxa"/>
          </w:tcPr>
          <w:p w14:paraId="5FF88479" w14:textId="77777777" w:rsidR="001325D6" w:rsidRPr="00BE3F0A" w:rsidRDefault="001325D6" w:rsidP="00D0240C">
            <w:pPr>
              <w:pStyle w:val="TableText-Left"/>
              <w:jc w:val="center"/>
            </w:pPr>
            <w:r>
              <w:t>CSS</w:t>
            </w:r>
          </w:p>
        </w:tc>
        <w:tc>
          <w:tcPr>
            <w:tcW w:w="2162" w:type="dxa"/>
          </w:tcPr>
          <w:p w14:paraId="5BFF0047" w14:textId="2B1F9DEE" w:rsidR="001325D6" w:rsidRDefault="00A1661D" w:rsidP="00D0240C">
            <w:pPr>
              <w:pStyle w:val="TableText-Left"/>
              <w:jc w:val="center"/>
            </w:pPr>
            <w:r>
              <w:t>UK Link</w:t>
            </w:r>
          </w:p>
        </w:tc>
      </w:tr>
      <w:tr w:rsidR="001325D6" w:rsidRPr="00BE3F0A" w14:paraId="355F554D" w14:textId="77777777" w:rsidTr="00D0240C">
        <w:tc>
          <w:tcPr>
            <w:tcW w:w="2878" w:type="dxa"/>
          </w:tcPr>
          <w:p w14:paraId="71BF6FFD" w14:textId="77777777" w:rsidR="001325D6" w:rsidRPr="00BE3F0A" w:rsidRDefault="001325D6" w:rsidP="00D0240C">
            <w:pPr>
              <w:pStyle w:val="TableText-Left"/>
            </w:pPr>
            <w:r w:rsidRPr="00481772">
              <w:t xml:space="preserve">SupplyMeterPointStatus </w:t>
            </w:r>
          </w:p>
        </w:tc>
        <w:tc>
          <w:tcPr>
            <w:tcW w:w="2524" w:type="dxa"/>
          </w:tcPr>
          <w:p w14:paraId="58383731" w14:textId="77777777" w:rsidR="001325D6" w:rsidRPr="00BE3F0A" w:rsidRDefault="001325D6" w:rsidP="00D0240C">
            <w:pPr>
              <w:pStyle w:val="TableText-Left"/>
            </w:pPr>
            <w:r w:rsidRPr="00481772">
              <w:t>Inbound</w:t>
            </w:r>
          </w:p>
        </w:tc>
        <w:tc>
          <w:tcPr>
            <w:tcW w:w="2166" w:type="dxa"/>
          </w:tcPr>
          <w:p w14:paraId="7FAA3D6C" w14:textId="77777777" w:rsidR="001325D6" w:rsidRDefault="001325D6" w:rsidP="00D0240C">
            <w:pPr>
              <w:pStyle w:val="TableText-Left"/>
              <w:jc w:val="center"/>
            </w:pPr>
            <w:r w:rsidRPr="00481772">
              <w:t>Gas Transporters</w:t>
            </w:r>
            <w:r>
              <w:t xml:space="preserve"> Data Service</w:t>
            </w:r>
          </w:p>
        </w:tc>
        <w:tc>
          <w:tcPr>
            <w:tcW w:w="2162" w:type="dxa"/>
          </w:tcPr>
          <w:p w14:paraId="41034448" w14:textId="02E0CD9C" w:rsidR="001325D6" w:rsidRDefault="00A1661D" w:rsidP="00D0240C">
            <w:pPr>
              <w:pStyle w:val="TableText-Left"/>
              <w:jc w:val="center"/>
            </w:pPr>
            <w:r>
              <w:t>UK Link</w:t>
            </w:r>
          </w:p>
        </w:tc>
      </w:tr>
      <w:tr w:rsidR="001325D6" w:rsidRPr="00BE3F0A" w14:paraId="2B304773" w14:textId="77777777" w:rsidTr="00D0240C">
        <w:tc>
          <w:tcPr>
            <w:tcW w:w="2878" w:type="dxa"/>
          </w:tcPr>
          <w:p w14:paraId="255827F7" w14:textId="77777777" w:rsidR="001325D6" w:rsidRPr="00BE3F0A" w:rsidRDefault="001325D6" w:rsidP="00D0240C">
            <w:pPr>
              <w:pStyle w:val="TableText-Left"/>
            </w:pPr>
            <w:r>
              <w:t>GasRetailMarketData</w:t>
            </w:r>
            <w:r w:rsidRPr="002C57DA">
              <w:t xml:space="preserve"> </w:t>
            </w:r>
          </w:p>
        </w:tc>
        <w:tc>
          <w:tcPr>
            <w:tcW w:w="2524" w:type="dxa"/>
          </w:tcPr>
          <w:p w14:paraId="42020306" w14:textId="77777777" w:rsidR="001325D6" w:rsidRPr="00BE3F0A" w:rsidRDefault="001325D6" w:rsidP="00D0240C">
            <w:pPr>
              <w:pStyle w:val="TableText-Left"/>
            </w:pPr>
            <w:r>
              <w:t>Outbound</w:t>
            </w:r>
          </w:p>
        </w:tc>
        <w:tc>
          <w:tcPr>
            <w:tcW w:w="2166" w:type="dxa"/>
          </w:tcPr>
          <w:p w14:paraId="623AE447" w14:textId="7D678ED7" w:rsidR="001325D6" w:rsidRDefault="00A1661D" w:rsidP="00D0240C">
            <w:pPr>
              <w:pStyle w:val="TableText-Left"/>
              <w:jc w:val="center"/>
            </w:pPr>
            <w:r>
              <w:t>UK Link</w:t>
            </w:r>
          </w:p>
        </w:tc>
        <w:tc>
          <w:tcPr>
            <w:tcW w:w="2162" w:type="dxa"/>
          </w:tcPr>
          <w:p w14:paraId="0854759A" w14:textId="4553E255" w:rsidR="001325D6" w:rsidRDefault="00A1661D" w:rsidP="00D0240C">
            <w:pPr>
              <w:pStyle w:val="TableText-Left"/>
              <w:jc w:val="center"/>
            </w:pPr>
            <w:r>
              <w:t>DES</w:t>
            </w:r>
          </w:p>
        </w:tc>
      </w:tr>
      <w:tr w:rsidR="001325D6" w:rsidRPr="00BE3F0A" w14:paraId="4677CB27" w14:textId="77777777" w:rsidTr="00D0240C">
        <w:tc>
          <w:tcPr>
            <w:tcW w:w="2878" w:type="dxa"/>
          </w:tcPr>
          <w:p w14:paraId="7631CA96" w14:textId="0538D1C8" w:rsidR="001325D6" w:rsidRDefault="001325D6" w:rsidP="00D0240C">
            <w:pPr>
              <w:pStyle w:val="TableText-Left"/>
            </w:pPr>
            <w:r>
              <w:t>SwitchingDomainData</w:t>
            </w:r>
            <w:r w:rsidR="00554FBF">
              <w:rPr>
                <w:rStyle w:val="FootnoteReference"/>
              </w:rPr>
              <w:footnoteReference w:id="5"/>
            </w:r>
          </w:p>
        </w:tc>
        <w:tc>
          <w:tcPr>
            <w:tcW w:w="2524" w:type="dxa"/>
          </w:tcPr>
          <w:p w14:paraId="6F35C517" w14:textId="77777777" w:rsidR="001325D6" w:rsidRDefault="001325D6" w:rsidP="00D0240C">
            <w:pPr>
              <w:pStyle w:val="TableText-Left"/>
            </w:pPr>
            <w:r>
              <w:t>Inbound</w:t>
            </w:r>
          </w:p>
        </w:tc>
        <w:tc>
          <w:tcPr>
            <w:tcW w:w="2166" w:type="dxa"/>
          </w:tcPr>
          <w:p w14:paraId="7CD6F312" w14:textId="77777777" w:rsidR="001325D6" w:rsidRDefault="001325D6" w:rsidP="00D0240C">
            <w:pPr>
              <w:pStyle w:val="TableText-Left"/>
              <w:jc w:val="center"/>
            </w:pPr>
            <w:r>
              <w:t>Switching Domain Data Service</w:t>
            </w:r>
          </w:p>
        </w:tc>
        <w:tc>
          <w:tcPr>
            <w:tcW w:w="2162" w:type="dxa"/>
          </w:tcPr>
          <w:p w14:paraId="5D37F325" w14:textId="0C114CFD" w:rsidR="001325D6" w:rsidRDefault="00A1661D" w:rsidP="00D0240C">
            <w:pPr>
              <w:pStyle w:val="TableText-Left"/>
              <w:jc w:val="center"/>
            </w:pPr>
            <w:r>
              <w:t>UK Link</w:t>
            </w:r>
          </w:p>
        </w:tc>
      </w:tr>
      <w:tr w:rsidR="008B3526" w:rsidRPr="00BE3F0A" w14:paraId="351CF23A" w14:textId="77777777" w:rsidTr="00D0240C">
        <w:tc>
          <w:tcPr>
            <w:tcW w:w="2878" w:type="dxa"/>
          </w:tcPr>
          <w:p w14:paraId="4B8A8B8D" w14:textId="39CA6164" w:rsidR="008B3526" w:rsidRDefault="008B3526" w:rsidP="008B3526">
            <w:pPr>
              <w:pStyle w:val="TableText-Left"/>
            </w:pPr>
            <w:r>
              <w:t>RetailEnergyLocation</w:t>
            </w:r>
          </w:p>
        </w:tc>
        <w:tc>
          <w:tcPr>
            <w:tcW w:w="2524" w:type="dxa"/>
          </w:tcPr>
          <w:p w14:paraId="1D188D65" w14:textId="24071352" w:rsidR="008B3526" w:rsidRDefault="008B3526" w:rsidP="008B3526">
            <w:pPr>
              <w:pStyle w:val="TableText-Left"/>
            </w:pPr>
            <w:r>
              <w:t>Inbound</w:t>
            </w:r>
          </w:p>
        </w:tc>
        <w:tc>
          <w:tcPr>
            <w:tcW w:w="2166" w:type="dxa"/>
          </w:tcPr>
          <w:p w14:paraId="51F5281E" w14:textId="3E7CEA09" w:rsidR="008B3526" w:rsidRDefault="008B3526" w:rsidP="008B3526">
            <w:pPr>
              <w:pStyle w:val="TableText-Left"/>
              <w:jc w:val="center"/>
            </w:pPr>
            <w:r>
              <w:t>CSS</w:t>
            </w:r>
          </w:p>
        </w:tc>
        <w:tc>
          <w:tcPr>
            <w:tcW w:w="2162" w:type="dxa"/>
          </w:tcPr>
          <w:p w14:paraId="4510EB3A" w14:textId="38640712" w:rsidR="008B3526" w:rsidRDefault="008B3526" w:rsidP="008B3526">
            <w:pPr>
              <w:pStyle w:val="TableText-Left"/>
              <w:jc w:val="center"/>
            </w:pPr>
            <w:r>
              <w:t>UK Link</w:t>
            </w:r>
          </w:p>
        </w:tc>
      </w:tr>
    </w:tbl>
    <w:p w14:paraId="7CB9628B" w14:textId="5F02365E" w:rsidR="001325D6" w:rsidRPr="00481772" w:rsidRDefault="001325D6" w:rsidP="001325D6">
      <w:pPr>
        <w:pStyle w:val="Paragrapgh"/>
      </w:pPr>
      <w:r w:rsidRPr="00481772">
        <w:t>No</w:t>
      </w:r>
      <w:r>
        <w:t xml:space="preserve">te: SupplyPointMeterStatus is an existing </w:t>
      </w:r>
      <w:r w:rsidRPr="00481772">
        <w:t xml:space="preserve">interface between </w:t>
      </w:r>
      <w:r>
        <w:t>the Gas Transporters (</w:t>
      </w:r>
      <w:r w:rsidRPr="00481772">
        <w:t>GT</w:t>
      </w:r>
      <w:r>
        <w:t>) Data Service</w:t>
      </w:r>
      <w:r w:rsidRPr="00481772">
        <w:t xml:space="preserve"> and </w:t>
      </w:r>
      <w:r w:rsidR="00A1661D">
        <w:t>UK Link</w:t>
      </w:r>
      <w:r w:rsidRPr="00481772">
        <w:t xml:space="preserve">. </w:t>
      </w:r>
      <w:bookmarkStart w:id="70" w:name="_Hlk496860947"/>
      <w:r w:rsidRPr="00481772">
        <w:t>It is</w:t>
      </w:r>
      <w:r>
        <w:t xml:space="preserve"> included here for completenes</w:t>
      </w:r>
      <w:bookmarkEnd w:id="70"/>
      <w:r w:rsidR="00EC68EF">
        <w:t>s.  An</w:t>
      </w:r>
      <w:r w:rsidR="008A453C">
        <w:t>y changes necessary as a result of the new Switching Arrangements</w:t>
      </w:r>
      <w:r w:rsidRPr="00481772">
        <w:t xml:space="preserve"> </w:t>
      </w:r>
      <w:r>
        <w:t>will need to be agreed between the respective Service Owners</w:t>
      </w:r>
      <w:r w:rsidRPr="00481772">
        <w:t>.</w:t>
      </w:r>
    </w:p>
    <w:p w14:paraId="6F06645B" w14:textId="0C4BD2DC" w:rsidR="001325D6" w:rsidRPr="00501F07" w:rsidRDefault="001325D6" w:rsidP="001325D6">
      <w:pPr>
        <w:pStyle w:val="Paragrapgh"/>
      </w:pPr>
      <w:r>
        <w:t xml:space="preserve">Note: </w:t>
      </w:r>
      <w:r w:rsidRPr="00501F07">
        <w:t>GasRet</w:t>
      </w:r>
      <w:r>
        <w:t xml:space="preserve">ailMarketData is an existing </w:t>
      </w:r>
      <w:r w:rsidRPr="00501F07">
        <w:t xml:space="preserve">interface between </w:t>
      </w:r>
      <w:r w:rsidR="00A1661D">
        <w:t>UK Link</w:t>
      </w:r>
      <w:r w:rsidRPr="00501F07">
        <w:t xml:space="preserve"> and </w:t>
      </w:r>
      <w:r w:rsidR="00A1661D">
        <w:t>DES</w:t>
      </w:r>
      <w:r w:rsidRPr="00501F07">
        <w:t>.</w:t>
      </w:r>
      <w:r>
        <w:t xml:space="preserve"> I</w:t>
      </w:r>
      <w:r w:rsidRPr="00501F07">
        <w:t>t is included here for completeness</w:t>
      </w:r>
      <w:r w:rsidR="00EC68EF">
        <w:t>.</w:t>
      </w:r>
      <w:r>
        <w:t xml:space="preserve"> </w:t>
      </w:r>
      <w:r w:rsidR="00EC68EF">
        <w:t>A</w:t>
      </w:r>
      <w:r w:rsidR="008A453C">
        <w:t>ny changes necessary as a result of the new Switching Arrangements</w:t>
      </w:r>
      <w:r w:rsidRPr="00481772">
        <w:t xml:space="preserve"> </w:t>
      </w:r>
      <w:r>
        <w:t>will need to be agreed between the respective Service Owners.</w:t>
      </w:r>
    </w:p>
    <w:p w14:paraId="6344EC9F" w14:textId="77777777" w:rsidR="001325D6" w:rsidRDefault="001325D6" w:rsidP="001325D6">
      <w:pPr>
        <w:pStyle w:val="Paragrapgh"/>
        <w:keepNext/>
      </w:pPr>
      <w:r>
        <w:t>The new interfaces are shown in the next diagram:</w:t>
      </w:r>
    </w:p>
    <w:p w14:paraId="66366973" w14:textId="7B2BC412" w:rsidR="001325D6" w:rsidRDefault="001325D6" w:rsidP="001325D6">
      <w:pPr>
        <w:pStyle w:val="BodyTextNormal"/>
        <w:jc w:val="center"/>
      </w:pPr>
    </w:p>
    <w:p w14:paraId="1487BF7C" w14:textId="75A61188" w:rsidR="007E7DCA" w:rsidRDefault="007E7DCA" w:rsidP="001325D6">
      <w:pPr>
        <w:pStyle w:val="BodyTextNormal"/>
        <w:jc w:val="center"/>
      </w:pPr>
    </w:p>
    <w:p w14:paraId="7EFB73B5" w14:textId="3B66C0BB" w:rsidR="007E7DCA" w:rsidRDefault="007E7DCA" w:rsidP="001325D6">
      <w:pPr>
        <w:pStyle w:val="BodyTextNormal"/>
        <w:jc w:val="center"/>
      </w:pPr>
      <w:r w:rsidRPr="007E7DCA">
        <w:rPr>
          <w:noProof/>
          <w:lang w:eastAsia="en-GB"/>
        </w:rPr>
        <w:drawing>
          <wp:inline distT="0" distB="0" distL="0" distR="0" wp14:anchorId="11DD260F" wp14:editId="4274EC5B">
            <wp:extent cx="6184900" cy="3973830"/>
            <wp:effectExtent l="0" t="0" r="635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84900" cy="3973830"/>
                    </a:xfrm>
                    <a:prstGeom prst="rect">
                      <a:avLst/>
                    </a:prstGeom>
                    <a:noFill/>
                    <a:ln>
                      <a:noFill/>
                    </a:ln>
                  </pic:spPr>
                </pic:pic>
              </a:graphicData>
            </a:graphic>
          </wp:inline>
        </w:drawing>
      </w:r>
    </w:p>
    <w:p w14:paraId="16A53FC5" w14:textId="72BFDFC6" w:rsidR="001325D6" w:rsidRPr="001325D6" w:rsidRDefault="001325D6" w:rsidP="0065787F">
      <w:pPr>
        <w:pStyle w:val="Caption"/>
      </w:pPr>
      <w:r w:rsidRPr="00A72CB6">
        <w:t xml:space="preserve">Figure </w:t>
      </w:r>
      <w:r w:rsidR="00112F53">
        <w:rPr>
          <w:noProof/>
        </w:rPr>
        <w:fldChar w:fldCharType="begin"/>
      </w:r>
      <w:r w:rsidR="00112F53">
        <w:rPr>
          <w:noProof/>
        </w:rPr>
        <w:instrText xml:space="preserve"> SEQ Figure \* ARABIC </w:instrText>
      </w:r>
      <w:r w:rsidR="00112F53">
        <w:rPr>
          <w:noProof/>
        </w:rPr>
        <w:fldChar w:fldCharType="separate"/>
      </w:r>
      <w:r w:rsidR="005D4843">
        <w:rPr>
          <w:noProof/>
        </w:rPr>
        <w:t>4</w:t>
      </w:r>
      <w:r w:rsidR="00112F53">
        <w:rPr>
          <w:noProof/>
        </w:rPr>
        <w:fldChar w:fldCharType="end"/>
      </w:r>
      <w:r w:rsidRPr="00A72CB6">
        <w:t xml:space="preserve"> </w:t>
      </w:r>
      <w:r>
        <w:t xml:space="preserve">– New/Changed </w:t>
      </w:r>
      <w:r w:rsidRPr="00A72CB6">
        <w:t xml:space="preserve">Interfaces </w:t>
      </w:r>
      <w:r>
        <w:t>with</w:t>
      </w:r>
      <w:r w:rsidRPr="00A72CB6">
        <w:t xml:space="preserve"> </w:t>
      </w:r>
      <w:r w:rsidR="00A1661D">
        <w:t>UK Link</w:t>
      </w:r>
    </w:p>
    <w:p w14:paraId="664B91BB" w14:textId="16BCBC4E" w:rsidR="001325D6" w:rsidRPr="00890F09" w:rsidRDefault="001325D6" w:rsidP="00DB63D0">
      <w:pPr>
        <w:pStyle w:val="Heading3"/>
      </w:pPr>
      <w:bookmarkStart w:id="71" w:name="_Toc491332310"/>
      <w:bookmarkStart w:id="72" w:name="_Toc491332406"/>
      <w:bookmarkStart w:id="73" w:name="_Toc494379472"/>
      <w:bookmarkStart w:id="74" w:name="_Toc505257232"/>
      <w:bookmarkStart w:id="75" w:name="_Toc505689960"/>
      <w:bookmarkStart w:id="76" w:name="_Toc9934740"/>
      <w:r>
        <w:t>Smart Metering</w:t>
      </w:r>
      <w:bookmarkEnd w:id="71"/>
      <w:bookmarkEnd w:id="72"/>
      <w:bookmarkEnd w:id="73"/>
      <w:bookmarkEnd w:id="74"/>
      <w:bookmarkEnd w:id="75"/>
      <w:bookmarkEnd w:id="76"/>
    </w:p>
    <w:p w14:paraId="7C228F2B" w14:textId="727A7CC3" w:rsidR="001325D6" w:rsidRDefault="001325D6" w:rsidP="001325D6">
      <w:pPr>
        <w:pStyle w:val="Paragrapgh"/>
      </w:pPr>
      <w:r>
        <w:t xml:space="preserve">RDP (Registration Data Provider) data from Gas and Electricity will be provided in one single interface from CSS. CSS will assume responsibility for providing RDP updates to the Smart Metering Data Service via the RMPRegApptSync interface. These updates currently occur directly between the Electricity and </w:t>
      </w:r>
      <w:r w:rsidR="00A1661D">
        <w:t>UK Link</w:t>
      </w:r>
      <w:r>
        <w:t>s and the Smart Metering Data Service.</w:t>
      </w:r>
    </w:p>
    <w:p w14:paraId="54DB5576" w14:textId="3E91810D" w:rsidR="001325D6" w:rsidRDefault="001325D6" w:rsidP="001325D6">
      <w:pPr>
        <w:pStyle w:val="Paragrapgh"/>
      </w:pPr>
      <w:r>
        <w:t xml:space="preserve"> The current Registration Service Interfaces for Gas and Electricity</w:t>
      </w:r>
      <w:r>
        <w:rPr>
          <w:rStyle w:val="FootnoteReference"/>
        </w:rPr>
        <w:footnoteReference w:id="6"/>
      </w:r>
      <w:r>
        <w:t xml:space="preserve"> </w:t>
      </w:r>
      <w:r w:rsidR="00F377BC">
        <w:t xml:space="preserve">into Smart Metering </w:t>
      </w:r>
      <w:r>
        <w:t xml:space="preserve">will be combined into a single interface with a similar data format of the existing combined file formats of the current interface specification – aligned to the Data Model and Interface standards defined in </w:t>
      </w:r>
      <w:r w:rsidR="00D0240C">
        <w:t>D-4.1.2 - Detailed Design Models</w:t>
      </w:r>
      <w:r w:rsidR="00D0240C" w:rsidRPr="00B302CB">
        <w:rPr>
          <w:vertAlign w:val="superscript"/>
        </w:rPr>
        <w:fldChar w:fldCharType="begin"/>
      </w:r>
      <w:r w:rsidR="00D0240C" w:rsidRPr="00B302CB">
        <w:rPr>
          <w:vertAlign w:val="superscript"/>
        </w:rPr>
        <w:instrText xml:space="preserve"> REF D_4_1_2 \h </w:instrText>
      </w:r>
      <w:r w:rsidR="00D0240C">
        <w:rPr>
          <w:vertAlign w:val="superscript"/>
        </w:rPr>
        <w:instrText xml:space="preserve"> \* MERGEFORMAT </w:instrText>
      </w:r>
      <w:r w:rsidR="00D0240C" w:rsidRPr="00B302CB">
        <w:rPr>
          <w:vertAlign w:val="superscript"/>
        </w:rPr>
      </w:r>
      <w:r w:rsidR="00D0240C" w:rsidRPr="00B302CB">
        <w:rPr>
          <w:vertAlign w:val="superscript"/>
        </w:rPr>
        <w:fldChar w:fldCharType="separate"/>
      </w:r>
      <w:r w:rsidR="005D4843" w:rsidRPr="005D4843">
        <w:rPr>
          <w:vertAlign w:val="superscript"/>
        </w:rPr>
        <w:t>[2]</w:t>
      </w:r>
      <w:r w:rsidR="00D0240C" w:rsidRPr="00B302CB">
        <w:rPr>
          <w:vertAlign w:val="superscript"/>
        </w:rPr>
        <w:fldChar w:fldCharType="end"/>
      </w:r>
      <w:r w:rsidR="00D0240C">
        <w:rPr>
          <w:vertAlign w:val="superscript"/>
        </w:rPr>
        <w:t xml:space="preserve"> </w:t>
      </w:r>
      <w:r>
        <w:t xml:space="preserve">and </w:t>
      </w:r>
      <w:r w:rsidR="00D17C83">
        <w:t>D-4.1.10.1 E2E Security Architecture</w:t>
      </w:r>
      <w:r w:rsidR="00D17C83" w:rsidRPr="00D17C83">
        <w:rPr>
          <w:vertAlign w:val="superscript"/>
        </w:rPr>
        <w:fldChar w:fldCharType="begin"/>
      </w:r>
      <w:r w:rsidR="00D17C83" w:rsidRPr="00D17C83">
        <w:rPr>
          <w:vertAlign w:val="superscript"/>
        </w:rPr>
        <w:instrText xml:space="preserve"> REF D_4_1_10_1 \h </w:instrText>
      </w:r>
      <w:r w:rsidR="00D17C83">
        <w:rPr>
          <w:vertAlign w:val="superscript"/>
        </w:rPr>
        <w:instrText xml:space="preserve"> \* MERGEFORMAT </w:instrText>
      </w:r>
      <w:r w:rsidR="00D17C83" w:rsidRPr="00D17C83">
        <w:rPr>
          <w:vertAlign w:val="superscript"/>
        </w:rPr>
      </w:r>
      <w:r w:rsidR="00D17C83" w:rsidRPr="00D17C83">
        <w:rPr>
          <w:vertAlign w:val="superscript"/>
        </w:rPr>
        <w:fldChar w:fldCharType="separate"/>
      </w:r>
      <w:r w:rsidR="00F03AB2" w:rsidRPr="0057528B">
        <w:rPr>
          <w:vertAlign w:val="superscript"/>
        </w:rPr>
        <w:t>[6]</w:t>
      </w:r>
      <w:r w:rsidR="00D17C83" w:rsidRPr="00D17C83">
        <w:rPr>
          <w:vertAlign w:val="superscript"/>
        </w:rPr>
        <w:fldChar w:fldCharType="end"/>
      </w:r>
      <w:r>
        <w:t>.</w:t>
      </w:r>
      <w:r w:rsidR="00F377BC">
        <w:t xml:space="preserve">  Note that the interfaces from Smart Metering outward to UK Link and MPAS will continue, but that this will be reviewed to ensure that Users do not bear unwarranted costs of maintaining a Gamma connection.</w:t>
      </w:r>
    </w:p>
    <w:p w14:paraId="7D6A7EFB" w14:textId="77777777" w:rsidR="001325D6" w:rsidRDefault="001325D6" w:rsidP="001325D6">
      <w:pPr>
        <w:pStyle w:val="Paragrapgh"/>
      </w:pPr>
      <w:r>
        <w:rPr>
          <w:color w:val="000000"/>
          <w:lang w:eastAsia="en-GB"/>
        </w:rPr>
        <w:t>To support improvements in quality of Addresses, the Smart Metering Data Service</w:t>
      </w:r>
      <w:r w:rsidRPr="00B376E1">
        <w:rPr>
          <w:color w:val="000000"/>
          <w:lang w:eastAsia="en-GB"/>
        </w:rPr>
        <w:t xml:space="preserve"> </w:t>
      </w:r>
      <w:r>
        <w:rPr>
          <w:color w:val="000000"/>
          <w:lang w:eastAsia="en-GB"/>
        </w:rPr>
        <w:t>will</w:t>
      </w:r>
      <w:r w:rsidRPr="00B376E1">
        <w:rPr>
          <w:color w:val="000000"/>
          <w:lang w:eastAsia="en-GB"/>
        </w:rPr>
        <w:t xml:space="preserve"> </w:t>
      </w:r>
      <w:r>
        <w:rPr>
          <w:color w:val="000000"/>
          <w:lang w:eastAsia="en-GB"/>
        </w:rPr>
        <w:t>interface to CSS providing</w:t>
      </w:r>
      <w:r w:rsidRPr="00B376E1">
        <w:rPr>
          <w:color w:val="000000"/>
          <w:lang w:eastAsia="en-GB"/>
        </w:rPr>
        <w:t xml:space="preserve"> </w:t>
      </w:r>
      <w:r>
        <w:rPr>
          <w:color w:val="000000"/>
          <w:lang w:eastAsia="en-GB"/>
        </w:rPr>
        <w:t xml:space="preserve">details of </w:t>
      </w:r>
      <w:r w:rsidRPr="00B376E1">
        <w:rPr>
          <w:color w:val="000000"/>
          <w:lang w:eastAsia="en-GB"/>
        </w:rPr>
        <w:t>Communication</w:t>
      </w:r>
      <w:r>
        <w:rPr>
          <w:color w:val="000000"/>
          <w:lang w:eastAsia="en-GB"/>
        </w:rPr>
        <w:t>s</w:t>
      </w:r>
      <w:r w:rsidRPr="00B376E1">
        <w:rPr>
          <w:color w:val="000000"/>
          <w:lang w:eastAsia="en-GB"/>
        </w:rPr>
        <w:t xml:space="preserve"> Hub </w:t>
      </w:r>
      <w:r>
        <w:rPr>
          <w:color w:val="000000"/>
          <w:lang w:eastAsia="en-GB"/>
        </w:rPr>
        <w:t>to meter connection</w:t>
      </w:r>
      <w:r w:rsidRPr="00B376E1">
        <w:rPr>
          <w:color w:val="000000"/>
          <w:lang w:eastAsia="en-GB"/>
        </w:rPr>
        <w:t xml:space="preserve"> information </w:t>
      </w:r>
      <w:r>
        <w:rPr>
          <w:color w:val="000000"/>
          <w:lang w:eastAsia="en-GB"/>
        </w:rPr>
        <w:t>(showing which meter points are at a single premises)</w:t>
      </w:r>
      <w:r w:rsidRPr="00B376E1">
        <w:rPr>
          <w:color w:val="000000"/>
          <w:lang w:eastAsia="en-GB"/>
        </w:rPr>
        <w:t>.</w:t>
      </w:r>
    </w:p>
    <w:p w14:paraId="799671B2" w14:textId="0B1F5B95" w:rsidR="001325D6" w:rsidRDefault="001325D6" w:rsidP="001325D6">
      <w:pPr>
        <w:pStyle w:val="Paragrapgh"/>
      </w:pPr>
      <w:r>
        <w:t xml:space="preserve">The Smart Metering Data Service will be required to support Messaging interfaces with CSS as defined in the </w:t>
      </w:r>
      <w:hyperlink w:anchor="_Interfaces" w:history="1">
        <w:r w:rsidRPr="00B57B39">
          <w:rPr>
            <w:rStyle w:val="Hyperlink"/>
            <w:sz w:val="20"/>
          </w:rPr>
          <w:t>Interfaces</w:t>
        </w:r>
      </w:hyperlink>
      <w:r>
        <w:t xml:space="preserve"> section of this document.</w:t>
      </w:r>
    </w:p>
    <w:p w14:paraId="1B94A616" w14:textId="77777777" w:rsidR="001325D6" w:rsidRDefault="001325D6" w:rsidP="001325D6">
      <w:pPr>
        <w:pStyle w:val="Heading4"/>
      </w:pPr>
      <w:r>
        <w:t>Impact Summary</w:t>
      </w:r>
    </w:p>
    <w:p w14:paraId="30B46D8A" w14:textId="02E206CE" w:rsidR="001325D6" w:rsidRDefault="001325D6" w:rsidP="001325D6">
      <w:pPr>
        <w:pStyle w:val="Paragrapgh"/>
      </w:pPr>
      <w:bookmarkStart w:id="77" w:name="_Hlk496860276"/>
      <w:r w:rsidRPr="0035188E">
        <w:t xml:space="preserve">The following </w:t>
      </w:r>
      <w:r>
        <w:t xml:space="preserve">table provides a summary of the </w:t>
      </w:r>
      <w:r w:rsidRPr="0035188E">
        <w:t>new</w:t>
      </w:r>
      <w:r>
        <w:t xml:space="preserve"> CSS</w:t>
      </w:r>
      <w:r w:rsidR="00FC1537">
        <w:t xml:space="preserve"> </w:t>
      </w:r>
      <w:r>
        <w:t>(including Switching Domain Data Service)</w:t>
      </w:r>
      <w:r w:rsidRPr="0035188E">
        <w:t xml:space="preserve"> interface</w:t>
      </w:r>
      <w:r>
        <w:t>s that are</w:t>
      </w:r>
      <w:r w:rsidRPr="0035188E">
        <w:t xml:space="preserve"> specified for </w:t>
      </w:r>
      <w:r>
        <w:t>the Smart Metering Data Service</w:t>
      </w:r>
      <w:r w:rsidRPr="0035188E">
        <w:t xml:space="preserve"> in ABACUS</w:t>
      </w:r>
      <w:r>
        <w:t>:</w:t>
      </w:r>
    </w:p>
    <w:tbl>
      <w:tblPr>
        <w:tblStyle w:val="TableGrid"/>
        <w:tblW w:w="0" w:type="auto"/>
        <w:tblLook w:val="04A0" w:firstRow="1" w:lastRow="0" w:firstColumn="1" w:lastColumn="0" w:noHBand="0" w:noVBand="1"/>
      </w:tblPr>
      <w:tblGrid>
        <w:gridCol w:w="2976"/>
        <w:gridCol w:w="2510"/>
        <w:gridCol w:w="2122"/>
        <w:gridCol w:w="2122"/>
      </w:tblGrid>
      <w:tr w:rsidR="001325D6" w:rsidRPr="00F26F35" w14:paraId="07B3A90F" w14:textId="77777777" w:rsidTr="00D0240C">
        <w:tc>
          <w:tcPr>
            <w:tcW w:w="2976" w:type="dxa"/>
            <w:shd w:val="clear" w:color="auto" w:fill="A6A6A6" w:themeFill="background1" w:themeFillShade="A6"/>
          </w:tcPr>
          <w:bookmarkEnd w:id="77"/>
          <w:p w14:paraId="14DB0EEB" w14:textId="77777777" w:rsidR="001325D6" w:rsidRPr="00F26F35" w:rsidRDefault="001325D6" w:rsidP="00D0240C">
            <w:pPr>
              <w:pStyle w:val="TableHeadings"/>
            </w:pPr>
            <w:r w:rsidRPr="00F26F35">
              <w:t>Interface</w:t>
            </w:r>
            <w:r>
              <w:t xml:space="preserve"> Name</w:t>
            </w:r>
          </w:p>
        </w:tc>
        <w:tc>
          <w:tcPr>
            <w:tcW w:w="2510" w:type="dxa"/>
            <w:shd w:val="clear" w:color="auto" w:fill="A6A6A6" w:themeFill="background1" w:themeFillShade="A6"/>
          </w:tcPr>
          <w:p w14:paraId="32D8014C" w14:textId="77777777" w:rsidR="001325D6" w:rsidRPr="00F26F35" w:rsidRDefault="001325D6" w:rsidP="00D0240C">
            <w:pPr>
              <w:pStyle w:val="TableHeadings"/>
            </w:pPr>
            <w:r>
              <w:t>Directionality</w:t>
            </w:r>
          </w:p>
        </w:tc>
        <w:tc>
          <w:tcPr>
            <w:tcW w:w="2122" w:type="dxa"/>
            <w:shd w:val="clear" w:color="auto" w:fill="A6A6A6" w:themeFill="background1" w:themeFillShade="A6"/>
          </w:tcPr>
          <w:p w14:paraId="23B695BB" w14:textId="77777777" w:rsidR="001325D6" w:rsidRPr="00F26F35" w:rsidRDefault="001325D6" w:rsidP="00D0240C">
            <w:pPr>
              <w:pStyle w:val="TableHeadings"/>
              <w:jc w:val="center"/>
            </w:pPr>
            <w:r>
              <w:t>Sending Data Service</w:t>
            </w:r>
          </w:p>
        </w:tc>
        <w:tc>
          <w:tcPr>
            <w:tcW w:w="2122" w:type="dxa"/>
            <w:shd w:val="clear" w:color="auto" w:fill="A6A6A6" w:themeFill="background1" w:themeFillShade="A6"/>
          </w:tcPr>
          <w:p w14:paraId="2E9AE799" w14:textId="77777777" w:rsidR="001325D6" w:rsidRPr="00FC5269" w:rsidRDefault="001325D6" w:rsidP="00D0240C">
            <w:pPr>
              <w:pStyle w:val="TableHeadings"/>
              <w:jc w:val="center"/>
            </w:pPr>
            <w:r>
              <w:t>Receiving Data Service</w:t>
            </w:r>
          </w:p>
        </w:tc>
      </w:tr>
      <w:tr w:rsidR="001325D6" w:rsidRPr="002C57DA" w14:paraId="4D3BA78E" w14:textId="77777777" w:rsidTr="00D0240C">
        <w:tc>
          <w:tcPr>
            <w:tcW w:w="2976" w:type="dxa"/>
          </w:tcPr>
          <w:p w14:paraId="12695B13" w14:textId="77777777" w:rsidR="001325D6" w:rsidRDefault="001325D6" w:rsidP="00D0240C">
            <w:pPr>
              <w:pStyle w:val="TableText-Left"/>
            </w:pPr>
            <w:r>
              <w:t>RMPRegApptSync</w:t>
            </w:r>
          </w:p>
        </w:tc>
        <w:tc>
          <w:tcPr>
            <w:tcW w:w="2510" w:type="dxa"/>
          </w:tcPr>
          <w:p w14:paraId="6ED7AB56" w14:textId="77777777" w:rsidR="001325D6" w:rsidRPr="002C57DA" w:rsidRDefault="001325D6" w:rsidP="00D0240C">
            <w:pPr>
              <w:pStyle w:val="TableText-Left"/>
            </w:pPr>
            <w:r>
              <w:t>Inbound</w:t>
            </w:r>
          </w:p>
        </w:tc>
        <w:tc>
          <w:tcPr>
            <w:tcW w:w="2122" w:type="dxa"/>
          </w:tcPr>
          <w:p w14:paraId="62D4EE5D" w14:textId="77777777" w:rsidR="001325D6" w:rsidRPr="002C57DA" w:rsidRDefault="001325D6" w:rsidP="00D0240C">
            <w:pPr>
              <w:pStyle w:val="TableText-Left"/>
              <w:jc w:val="center"/>
            </w:pPr>
            <w:r>
              <w:t>CSS</w:t>
            </w:r>
          </w:p>
        </w:tc>
        <w:tc>
          <w:tcPr>
            <w:tcW w:w="2122" w:type="dxa"/>
          </w:tcPr>
          <w:p w14:paraId="1DC943D3" w14:textId="77777777" w:rsidR="001325D6" w:rsidRDefault="001325D6" w:rsidP="00D0240C">
            <w:pPr>
              <w:pStyle w:val="TableText-Left"/>
              <w:jc w:val="center"/>
            </w:pPr>
            <w:r>
              <w:t xml:space="preserve">Smart Metering Data Service </w:t>
            </w:r>
          </w:p>
        </w:tc>
      </w:tr>
      <w:tr w:rsidR="001325D6" w:rsidRPr="002C57DA" w14:paraId="12D64786" w14:textId="77777777" w:rsidTr="00D0240C">
        <w:tc>
          <w:tcPr>
            <w:tcW w:w="2976" w:type="dxa"/>
          </w:tcPr>
          <w:p w14:paraId="0497CB61" w14:textId="77777777" w:rsidR="001325D6" w:rsidRPr="002C57DA" w:rsidRDefault="001325D6" w:rsidP="00D0240C">
            <w:pPr>
              <w:pStyle w:val="TableText-Left"/>
            </w:pPr>
            <w:r>
              <w:t>CommsHubDataLink</w:t>
            </w:r>
          </w:p>
        </w:tc>
        <w:tc>
          <w:tcPr>
            <w:tcW w:w="2510" w:type="dxa"/>
          </w:tcPr>
          <w:p w14:paraId="4E620514" w14:textId="77777777" w:rsidR="001325D6" w:rsidRPr="002C57DA" w:rsidRDefault="001325D6" w:rsidP="00D0240C">
            <w:pPr>
              <w:pStyle w:val="TableText-Left"/>
            </w:pPr>
            <w:r w:rsidRPr="002C57DA">
              <w:t>Outbound</w:t>
            </w:r>
          </w:p>
        </w:tc>
        <w:tc>
          <w:tcPr>
            <w:tcW w:w="2122" w:type="dxa"/>
          </w:tcPr>
          <w:p w14:paraId="2169BCFD" w14:textId="77777777" w:rsidR="001325D6" w:rsidRPr="002C57DA" w:rsidRDefault="001325D6" w:rsidP="00D0240C">
            <w:pPr>
              <w:pStyle w:val="TableText-Left"/>
              <w:jc w:val="center"/>
            </w:pPr>
            <w:r>
              <w:t xml:space="preserve">Smart Metering Data Service </w:t>
            </w:r>
          </w:p>
        </w:tc>
        <w:tc>
          <w:tcPr>
            <w:tcW w:w="2122" w:type="dxa"/>
          </w:tcPr>
          <w:p w14:paraId="7083FEE3" w14:textId="77777777" w:rsidR="001325D6" w:rsidRDefault="001325D6" w:rsidP="00D0240C">
            <w:pPr>
              <w:pStyle w:val="TableText-Left"/>
              <w:jc w:val="center"/>
            </w:pPr>
            <w:r>
              <w:t>CSS</w:t>
            </w:r>
          </w:p>
        </w:tc>
      </w:tr>
      <w:tr w:rsidR="00F377BC" w:rsidRPr="002C57DA" w14:paraId="27ABCCF7" w14:textId="77777777" w:rsidTr="00D0240C">
        <w:tc>
          <w:tcPr>
            <w:tcW w:w="2976" w:type="dxa"/>
          </w:tcPr>
          <w:p w14:paraId="1D0520F5" w14:textId="1B424EF8" w:rsidR="00F377BC" w:rsidRDefault="00F377BC" w:rsidP="00D0240C">
            <w:pPr>
              <w:pStyle w:val="TableText-Left"/>
            </w:pPr>
            <w:r>
              <w:t>REGIS</w:t>
            </w:r>
          </w:p>
        </w:tc>
        <w:tc>
          <w:tcPr>
            <w:tcW w:w="2510" w:type="dxa"/>
          </w:tcPr>
          <w:p w14:paraId="68CE29DF" w14:textId="2799E8DE" w:rsidR="00F377BC" w:rsidRDefault="00F377BC" w:rsidP="00D0240C">
            <w:pPr>
              <w:pStyle w:val="TableText-Left"/>
            </w:pPr>
            <w:r>
              <w:t>Outbound</w:t>
            </w:r>
          </w:p>
        </w:tc>
        <w:tc>
          <w:tcPr>
            <w:tcW w:w="2122" w:type="dxa"/>
          </w:tcPr>
          <w:p w14:paraId="48294C2B" w14:textId="373FC604" w:rsidR="00F377BC" w:rsidRDefault="00F377BC" w:rsidP="00D0240C">
            <w:pPr>
              <w:pStyle w:val="TableText-Left"/>
              <w:jc w:val="center"/>
            </w:pPr>
            <w:r>
              <w:t>Smart Metering Data Service</w:t>
            </w:r>
          </w:p>
        </w:tc>
        <w:tc>
          <w:tcPr>
            <w:tcW w:w="2122" w:type="dxa"/>
          </w:tcPr>
          <w:p w14:paraId="735BE6A2" w14:textId="7045D31D" w:rsidR="00F377BC" w:rsidRDefault="00F377BC" w:rsidP="00D0240C">
            <w:pPr>
              <w:pStyle w:val="TableText-Left"/>
              <w:jc w:val="center"/>
            </w:pPr>
            <w:r>
              <w:t>UK Link</w:t>
            </w:r>
          </w:p>
        </w:tc>
      </w:tr>
      <w:tr w:rsidR="00F377BC" w:rsidRPr="002C57DA" w14:paraId="08D6A1C1" w14:textId="77777777" w:rsidTr="00D0240C">
        <w:tc>
          <w:tcPr>
            <w:tcW w:w="2976" w:type="dxa"/>
          </w:tcPr>
          <w:p w14:paraId="659FF716" w14:textId="59DC3764" w:rsidR="00F377BC" w:rsidRDefault="00F377BC" w:rsidP="00D0240C">
            <w:pPr>
              <w:pStyle w:val="TableText-Left"/>
            </w:pPr>
            <w:r>
              <w:t>REGIS</w:t>
            </w:r>
          </w:p>
        </w:tc>
        <w:tc>
          <w:tcPr>
            <w:tcW w:w="2510" w:type="dxa"/>
          </w:tcPr>
          <w:p w14:paraId="44D6F643" w14:textId="5687557A" w:rsidR="00F377BC" w:rsidRDefault="00F377BC" w:rsidP="00D0240C">
            <w:pPr>
              <w:pStyle w:val="TableText-Left"/>
            </w:pPr>
            <w:r>
              <w:t>Outbound</w:t>
            </w:r>
          </w:p>
        </w:tc>
        <w:tc>
          <w:tcPr>
            <w:tcW w:w="2122" w:type="dxa"/>
          </w:tcPr>
          <w:p w14:paraId="05B23811" w14:textId="249C4CFD" w:rsidR="00F377BC" w:rsidRDefault="00F377BC" w:rsidP="00D0240C">
            <w:pPr>
              <w:pStyle w:val="TableText-Left"/>
              <w:jc w:val="center"/>
            </w:pPr>
            <w:r>
              <w:t>Smart Metering Data Service</w:t>
            </w:r>
          </w:p>
        </w:tc>
        <w:tc>
          <w:tcPr>
            <w:tcW w:w="2122" w:type="dxa"/>
          </w:tcPr>
          <w:p w14:paraId="211DA1D8" w14:textId="41C0ECEE" w:rsidR="00F377BC" w:rsidRDefault="00F377BC" w:rsidP="00D0240C">
            <w:pPr>
              <w:pStyle w:val="TableText-Left"/>
              <w:jc w:val="center"/>
            </w:pPr>
            <w:r>
              <w:t>MPAS</w:t>
            </w:r>
          </w:p>
        </w:tc>
      </w:tr>
      <w:tr w:rsidR="001325D6" w:rsidRPr="002C57DA" w14:paraId="7DA8869C" w14:textId="77777777" w:rsidTr="00D0240C">
        <w:tc>
          <w:tcPr>
            <w:tcW w:w="2976" w:type="dxa"/>
          </w:tcPr>
          <w:p w14:paraId="4182994D" w14:textId="044B143B" w:rsidR="001325D6" w:rsidRDefault="001325D6" w:rsidP="00D0240C">
            <w:pPr>
              <w:pStyle w:val="TableText-Left"/>
            </w:pPr>
            <w:r>
              <w:t>SwitchingDomainData</w:t>
            </w:r>
            <w:r w:rsidR="00554FBF">
              <w:rPr>
                <w:rStyle w:val="FootnoteReference"/>
              </w:rPr>
              <w:footnoteReference w:id="7"/>
            </w:r>
          </w:p>
        </w:tc>
        <w:tc>
          <w:tcPr>
            <w:tcW w:w="2510" w:type="dxa"/>
          </w:tcPr>
          <w:p w14:paraId="4A3FEC99" w14:textId="77777777" w:rsidR="001325D6" w:rsidRPr="002C57DA" w:rsidRDefault="001325D6" w:rsidP="00D0240C">
            <w:pPr>
              <w:pStyle w:val="TableText-Left"/>
            </w:pPr>
            <w:r>
              <w:t>Inbound</w:t>
            </w:r>
          </w:p>
        </w:tc>
        <w:tc>
          <w:tcPr>
            <w:tcW w:w="2122" w:type="dxa"/>
          </w:tcPr>
          <w:p w14:paraId="11648A51" w14:textId="77777777" w:rsidR="001325D6" w:rsidRDefault="001325D6" w:rsidP="00D0240C">
            <w:pPr>
              <w:pStyle w:val="TableText-Left"/>
              <w:jc w:val="center"/>
            </w:pPr>
            <w:r>
              <w:t>Switching Domain Data Service</w:t>
            </w:r>
          </w:p>
        </w:tc>
        <w:tc>
          <w:tcPr>
            <w:tcW w:w="2122" w:type="dxa"/>
          </w:tcPr>
          <w:p w14:paraId="591B0C02" w14:textId="77777777" w:rsidR="001325D6" w:rsidRDefault="001325D6" w:rsidP="00D0240C">
            <w:pPr>
              <w:pStyle w:val="TableText-Left"/>
              <w:jc w:val="center"/>
            </w:pPr>
            <w:r>
              <w:t>Smart Metering</w:t>
            </w:r>
            <w:r w:rsidRPr="00B735D5">
              <w:t xml:space="preserve"> Data Service</w:t>
            </w:r>
          </w:p>
        </w:tc>
      </w:tr>
    </w:tbl>
    <w:p w14:paraId="4540FF5D" w14:textId="77777777" w:rsidR="001325D6" w:rsidRDefault="001325D6" w:rsidP="001325D6">
      <w:pPr>
        <w:pStyle w:val="Paragrapgh"/>
      </w:pPr>
      <w:r>
        <w:t>These interfaces are shown in the next diagram:</w:t>
      </w:r>
    </w:p>
    <w:p w14:paraId="699173D1" w14:textId="77777777" w:rsidR="001325D6" w:rsidRDefault="001325D6" w:rsidP="001325D6">
      <w:pPr>
        <w:pStyle w:val="BodyTextNormal"/>
        <w:jc w:val="center"/>
      </w:pPr>
      <w:r>
        <w:rPr>
          <w:noProof/>
          <w:lang w:eastAsia="en-GB"/>
        </w:rPr>
        <w:drawing>
          <wp:inline distT="0" distB="0" distL="0" distR="0" wp14:anchorId="1BFCAC01" wp14:editId="475F6E31">
            <wp:extent cx="6184900" cy="5271135"/>
            <wp:effectExtent l="0" t="0" r="6350" b="5715"/>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E2E SA - CSS to DSP Interface - Figure  5.gif"/>
                    <pic:cNvPicPr/>
                  </pic:nvPicPr>
                  <pic:blipFill>
                    <a:blip r:embed="rId24">
                      <a:extLst>
                        <a:ext uri="{28A0092B-C50C-407E-A947-70E740481C1C}">
                          <a14:useLocalDpi xmlns:a14="http://schemas.microsoft.com/office/drawing/2010/main" val="0"/>
                        </a:ext>
                      </a:extLst>
                    </a:blip>
                    <a:stretch>
                      <a:fillRect/>
                    </a:stretch>
                  </pic:blipFill>
                  <pic:spPr>
                    <a:xfrm>
                      <a:off x="0" y="0"/>
                      <a:ext cx="6184900" cy="5271135"/>
                    </a:xfrm>
                    <a:prstGeom prst="rect">
                      <a:avLst/>
                    </a:prstGeom>
                  </pic:spPr>
                </pic:pic>
              </a:graphicData>
            </a:graphic>
          </wp:inline>
        </w:drawing>
      </w:r>
    </w:p>
    <w:p w14:paraId="0C14FB63" w14:textId="0219D696" w:rsidR="001325D6" w:rsidRPr="00A72CB6" w:rsidRDefault="001325D6" w:rsidP="001325D6">
      <w:pPr>
        <w:pStyle w:val="Caption"/>
      </w:pPr>
      <w:r w:rsidRPr="00A72CB6">
        <w:t xml:space="preserve">Figure </w:t>
      </w:r>
      <w:r w:rsidR="00112F53">
        <w:rPr>
          <w:noProof/>
        </w:rPr>
        <w:fldChar w:fldCharType="begin"/>
      </w:r>
      <w:r w:rsidR="00112F53">
        <w:rPr>
          <w:noProof/>
        </w:rPr>
        <w:instrText xml:space="preserve"> SEQ Figure \* ARABIC </w:instrText>
      </w:r>
      <w:r w:rsidR="00112F53">
        <w:rPr>
          <w:noProof/>
        </w:rPr>
        <w:fldChar w:fldCharType="separate"/>
      </w:r>
      <w:r w:rsidR="005D4843">
        <w:rPr>
          <w:noProof/>
        </w:rPr>
        <w:t>5</w:t>
      </w:r>
      <w:r w:rsidR="00112F53">
        <w:rPr>
          <w:noProof/>
        </w:rPr>
        <w:fldChar w:fldCharType="end"/>
      </w:r>
      <w:r w:rsidRPr="00A72CB6">
        <w:t xml:space="preserve"> </w:t>
      </w:r>
      <w:r>
        <w:t xml:space="preserve">– New/Changed </w:t>
      </w:r>
      <w:r w:rsidRPr="00A72CB6">
        <w:t xml:space="preserve">Interfaces </w:t>
      </w:r>
      <w:r>
        <w:t>to the</w:t>
      </w:r>
      <w:r w:rsidRPr="00A72CB6">
        <w:t xml:space="preserve"> </w:t>
      </w:r>
      <w:r>
        <w:t>Smart Metering Data Service</w:t>
      </w:r>
    </w:p>
    <w:p w14:paraId="3CA9F2C7" w14:textId="2D3F95DC" w:rsidR="001325D6" w:rsidRDefault="00A1661D" w:rsidP="00F73DBE">
      <w:pPr>
        <w:pStyle w:val="Heading3"/>
      </w:pPr>
      <w:bookmarkStart w:id="78" w:name="_Toc491332313"/>
      <w:bookmarkStart w:id="79" w:name="_Toc491332409"/>
      <w:bookmarkStart w:id="80" w:name="_Toc494379475"/>
      <w:bookmarkStart w:id="81" w:name="_Toc505257235"/>
      <w:bookmarkStart w:id="82" w:name="_Toc505689963"/>
      <w:bookmarkStart w:id="83" w:name="_Toc9934741"/>
      <w:r>
        <w:t>Data Enquiry Service (</w:t>
      </w:r>
      <w:r w:rsidR="001325D6">
        <w:t>DES</w:t>
      </w:r>
      <w:bookmarkEnd w:id="78"/>
      <w:bookmarkEnd w:id="79"/>
      <w:bookmarkEnd w:id="80"/>
      <w:r w:rsidR="001325D6">
        <w:t>)</w:t>
      </w:r>
      <w:bookmarkEnd w:id="81"/>
      <w:bookmarkEnd w:id="82"/>
      <w:bookmarkEnd w:id="83"/>
    </w:p>
    <w:p w14:paraId="5ED389B1" w14:textId="776ADBF6" w:rsidR="001325D6" w:rsidRPr="009D22DE" w:rsidRDefault="001325D6" w:rsidP="001325D6">
      <w:pPr>
        <w:pStyle w:val="Paragrapgh"/>
        <w:rPr>
          <w:rFonts w:asciiTheme="minorHAnsi" w:hAnsiTheme="minorHAnsi"/>
          <w:szCs w:val="22"/>
        </w:rPr>
      </w:pPr>
      <w:r>
        <w:t xml:space="preserve">To reflect the CSS updates in DES and in other data provision services e.g. Application Programme Interface (API) services to Price Comparison Websites, the CSS updates will come into the SAP Business Warehouse (BW) service and from there will be available for the relevant data provision services. This information </w:t>
      </w:r>
      <w:r w:rsidRPr="00501F07">
        <w:t>is included here for completeness</w:t>
      </w:r>
      <w:r w:rsidR="00EC68EF">
        <w:t>.</w:t>
      </w:r>
      <w:r>
        <w:t xml:space="preserve"> </w:t>
      </w:r>
      <w:r w:rsidR="00EC68EF">
        <w:t>A</w:t>
      </w:r>
      <w:r w:rsidR="008A453C">
        <w:t>ny changes necessary as a result of the new Switching Arrangements</w:t>
      </w:r>
      <w:r w:rsidRPr="00481772">
        <w:t xml:space="preserve"> </w:t>
      </w:r>
      <w:r>
        <w:t>will need to be defined by Xoserve.</w:t>
      </w:r>
    </w:p>
    <w:p w14:paraId="74563D7D" w14:textId="03E0EA28" w:rsidR="001325D6" w:rsidRDefault="00A1661D" w:rsidP="001325D6">
      <w:pPr>
        <w:pStyle w:val="Paragrapgh"/>
      </w:pPr>
      <w:r>
        <w:t>DES</w:t>
      </w:r>
      <w:r w:rsidR="001325D6">
        <w:t xml:space="preserve"> will undergo changes related to receiving new gas enquiry information related to switched gas registrations (i.e. switched gas supplier</w:t>
      </w:r>
      <w:r w:rsidR="004570B4">
        <w:t xml:space="preserve"> and shipper</w:t>
      </w:r>
      <w:r w:rsidR="001325D6">
        <w:t xml:space="preserve">). This new enquiry information will include the </w:t>
      </w:r>
      <w:r w:rsidR="004570B4">
        <w:t>REL Address</w:t>
      </w:r>
      <w:r w:rsidR="001325D6">
        <w:t xml:space="preserve"> </w:t>
      </w:r>
      <w:r w:rsidR="004570B4">
        <w:t>for a given RMP,</w:t>
      </w:r>
      <w:r w:rsidR="001325D6">
        <w:t xml:space="preserve"> transferred </w:t>
      </w:r>
      <w:r w:rsidR="004570B4">
        <w:t>via</w:t>
      </w:r>
      <w:r w:rsidR="001325D6">
        <w:t xml:space="preserve"> a new interface from CSS to </w:t>
      </w:r>
      <w:r>
        <w:t>DES</w:t>
      </w:r>
      <w:r w:rsidR="004570B4">
        <w:t xml:space="preserve">.  Note that this does not affect the flow of the Meter Point Location Address from </w:t>
      </w:r>
      <w:r>
        <w:t>UK Link</w:t>
      </w:r>
      <w:r w:rsidR="004570B4">
        <w:t xml:space="preserve"> to DES, which continues unchanged</w:t>
      </w:r>
      <w:r w:rsidR="001325D6">
        <w:t>.</w:t>
      </w:r>
      <w:r w:rsidR="00F377BC">
        <w:t xml:space="preserve">  Both MEM and MAP data will need to be held in DES.</w:t>
      </w:r>
    </w:p>
    <w:p w14:paraId="2B81DDB8" w14:textId="77777777" w:rsidR="001325D6" w:rsidRDefault="001325D6" w:rsidP="001325D6">
      <w:pPr>
        <w:pStyle w:val="Paragrapgh"/>
      </w:pPr>
      <w:r>
        <w:t>Registration information synchronised to DES will include the Erroneous Switch Indicator, and the valid Registration states in CSS. Access to this information may be restricted using the Role Based Access Control arrangements provided by DES.</w:t>
      </w:r>
    </w:p>
    <w:p w14:paraId="3023B8AE" w14:textId="11955521" w:rsidR="001325D6" w:rsidRDefault="001325D6" w:rsidP="001325D6">
      <w:pPr>
        <w:pStyle w:val="Paragrapgh"/>
      </w:pPr>
      <w:r>
        <w:t xml:space="preserve">The new industry business processes and interaction sequence diagrams involving </w:t>
      </w:r>
      <w:r w:rsidR="00A1661D">
        <w:t>DES</w:t>
      </w:r>
      <w:r>
        <w:t xml:space="preserve"> and its involvement in these processes, are defined in the Switching Design Repository (ABACUS). </w:t>
      </w:r>
    </w:p>
    <w:p w14:paraId="6570C712" w14:textId="77777777" w:rsidR="001325D6" w:rsidRDefault="001325D6" w:rsidP="001325D6">
      <w:pPr>
        <w:pStyle w:val="Heading4"/>
        <w:keepNext/>
      </w:pPr>
      <w:r>
        <w:t>Impact Summary</w:t>
      </w:r>
    </w:p>
    <w:p w14:paraId="3291F1E7" w14:textId="065A082D" w:rsidR="001325D6" w:rsidRDefault="001325D6" w:rsidP="001325D6">
      <w:pPr>
        <w:pStyle w:val="Paragrapgh"/>
        <w:keepNext/>
      </w:pPr>
      <w:r w:rsidRPr="0035188E">
        <w:t xml:space="preserve">The following </w:t>
      </w:r>
      <w:r>
        <w:t xml:space="preserve">table provides a summary of the new CSS (including Switching Domain Data Service) </w:t>
      </w:r>
      <w:r w:rsidRPr="0035188E">
        <w:t>interface</w:t>
      </w:r>
      <w:r>
        <w:t>s that are</w:t>
      </w:r>
      <w:r w:rsidRPr="0035188E">
        <w:t xml:space="preserve"> specified for </w:t>
      </w:r>
      <w:r w:rsidR="00A1661D">
        <w:t>DES</w:t>
      </w:r>
      <w:r w:rsidRPr="0035188E">
        <w:t xml:space="preserve"> in ABACUS</w:t>
      </w:r>
      <w:r>
        <w:t>, plus two interfaces that are not in ABACUS but are referenced for completeness:</w:t>
      </w:r>
    </w:p>
    <w:tbl>
      <w:tblPr>
        <w:tblStyle w:val="TableGrid"/>
        <w:tblW w:w="0" w:type="auto"/>
        <w:tblLook w:val="04A0" w:firstRow="1" w:lastRow="0" w:firstColumn="1" w:lastColumn="0" w:noHBand="0" w:noVBand="1"/>
      </w:tblPr>
      <w:tblGrid>
        <w:gridCol w:w="2878"/>
        <w:gridCol w:w="2523"/>
        <w:gridCol w:w="2166"/>
        <w:gridCol w:w="2163"/>
      </w:tblGrid>
      <w:tr w:rsidR="001325D6" w:rsidRPr="00F26F35" w14:paraId="6AE21AAF" w14:textId="77777777" w:rsidTr="00D0240C">
        <w:tc>
          <w:tcPr>
            <w:tcW w:w="2878" w:type="dxa"/>
            <w:shd w:val="clear" w:color="auto" w:fill="A6A6A6" w:themeFill="background1" w:themeFillShade="A6"/>
          </w:tcPr>
          <w:p w14:paraId="23FA0821" w14:textId="77777777" w:rsidR="001325D6" w:rsidRPr="00F26F35" w:rsidRDefault="001325D6" w:rsidP="00D0240C">
            <w:pPr>
              <w:pStyle w:val="TableHeadings"/>
            </w:pPr>
            <w:r w:rsidRPr="00F26F35">
              <w:t>Interface</w:t>
            </w:r>
            <w:r>
              <w:t xml:space="preserve"> Name</w:t>
            </w:r>
          </w:p>
        </w:tc>
        <w:tc>
          <w:tcPr>
            <w:tcW w:w="2523" w:type="dxa"/>
            <w:shd w:val="clear" w:color="auto" w:fill="A6A6A6" w:themeFill="background1" w:themeFillShade="A6"/>
          </w:tcPr>
          <w:p w14:paraId="4A16B254" w14:textId="77777777" w:rsidR="001325D6" w:rsidRPr="00F26F35" w:rsidRDefault="001325D6" w:rsidP="00D0240C">
            <w:pPr>
              <w:pStyle w:val="TableHeadings"/>
            </w:pPr>
            <w:r>
              <w:t>Directionality</w:t>
            </w:r>
          </w:p>
        </w:tc>
        <w:tc>
          <w:tcPr>
            <w:tcW w:w="2166" w:type="dxa"/>
            <w:shd w:val="clear" w:color="auto" w:fill="A6A6A6" w:themeFill="background1" w:themeFillShade="A6"/>
          </w:tcPr>
          <w:p w14:paraId="63C42046" w14:textId="77777777" w:rsidR="001325D6" w:rsidRPr="00F26F35" w:rsidRDefault="001325D6" w:rsidP="00D0240C">
            <w:pPr>
              <w:pStyle w:val="TableHeadings"/>
              <w:jc w:val="center"/>
            </w:pPr>
            <w:r>
              <w:t>Sending Data Service</w:t>
            </w:r>
          </w:p>
        </w:tc>
        <w:tc>
          <w:tcPr>
            <w:tcW w:w="2163" w:type="dxa"/>
            <w:shd w:val="clear" w:color="auto" w:fill="A6A6A6" w:themeFill="background1" w:themeFillShade="A6"/>
          </w:tcPr>
          <w:p w14:paraId="7616FC83" w14:textId="77777777" w:rsidR="001325D6" w:rsidRPr="00FC5269" w:rsidRDefault="001325D6" w:rsidP="00D0240C">
            <w:pPr>
              <w:pStyle w:val="TableHeadings"/>
              <w:jc w:val="center"/>
            </w:pPr>
            <w:r>
              <w:t>Receiving Data Service</w:t>
            </w:r>
          </w:p>
        </w:tc>
      </w:tr>
      <w:tr w:rsidR="001325D6" w:rsidRPr="002C57DA" w14:paraId="691182E3" w14:textId="77777777" w:rsidTr="00D0240C">
        <w:tc>
          <w:tcPr>
            <w:tcW w:w="2878" w:type="dxa"/>
          </w:tcPr>
          <w:p w14:paraId="7F269764" w14:textId="77777777" w:rsidR="001325D6" w:rsidRPr="002C57DA" w:rsidRDefault="001325D6" w:rsidP="00D0240C">
            <w:pPr>
              <w:pStyle w:val="TableText-Left"/>
            </w:pPr>
            <w:r>
              <w:t>RetailEnergyLocation</w:t>
            </w:r>
          </w:p>
        </w:tc>
        <w:tc>
          <w:tcPr>
            <w:tcW w:w="2523" w:type="dxa"/>
          </w:tcPr>
          <w:p w14:paraId="068AE638" w14:textId="77777777" w:rsidR="001325D6" w:rsidRDefault="001325D6" w:rsidP="00D0240C">
            <w:pPr>
              <w:pStyle w:val="TableText-Left"/>
            </w:pPr>
            <w:r>
              <w:t>Inbound</w:t>
            </w:r>
          </w:p>
        </w:tc>
        <w:tc>
          <w:tcPr>
            <w:tcW w:w="2166" w:type="dxa"/>
          </w:tcPr>
          <w:p w14:paraId="19AEB4CF" w14:textId="77777777" w:rsidR="001325D6" w:rsidRPr="002C57DA" w:rsidRDefault="001325D6" w:rsidP="00D0240C">
            <w:pPr>
              <w:pStyle w:val="TableText-Left"/>
              <w:jc w:val="center"/>
            </w:pPr>
            <w:r>
              <w:t>CSS</w:t>
            </w:r>
          </w:p>
        </w:tc>
        <w:tc>
          <w:tcPr>
            <w:tcW w:w="2163" w:type="dxa"/>
          </w:tcPr>
          <w:p w14:paraId="5E5B2118" w14:textId="68C80B45" w:rsidR="001325D6" w:rsidRDefault="00A1661D" w:rsidP="00D0240C">
            <w:pPr>
              <w:pStyle w:val="TableText-Left"/>
              <w:jc w:val="center"/>
            </w:pPr>
            <w:r>
              <w:t>DES</w:t>
            </w:r>
          </w:p>
        </w:tc>
      </w:tr>
      <w:tr w:rsidR="001325D6" w:rsidRPr="002C57DA" w14:paraId="09AEAE55" w14:textId="77777777" w:rsidTr="00D0240C">
        <w:tc>
          <w:tcPr>
            <w:tcW w:w="2878" w:type="dxa"/>
          </w:tcPr>
          <w:p w14:paraId="5FD73141" w14:textId="77777777" w:rsidR="001325D6" w:rsidRPr="002C57DA" w:rsidRDefault="001325D6" w:rsidP="00D0240C">
            <w:pPr>
              <w:pStyle w:val="TableText-Left"/>
            </w:pPr>
            <w:r>
              <w:t>GasRegistration</w:t>
            </w:r>
          </w:p>
        </w:tc>
        <w:tc>
          <w:tcPr>
            <w:tcW w:w="2523" w:type="dxa"/>
          </w:tcPr>
          <w:p w14:paraId="5D896EF1" w14:textId="77777777" w:rsidR="001325D6" w:rsidRDefault="001325D6" w:rsidP="00D0240C">
            <w:pPr>
              <w:pStyle w:val="TableText-Left"/>
            </w:pPr>
            <w:r>
              <w:t>Inbound</w:t>
            </w:r>
          </w:p>
        </w:tc>
        <w:tc>
          <w:tcPr>
            <w:tcW w:w="2166" w:type="dxa"/>
          </w:tcPr>
          <w:p w14:paraId="7C71F5B4" w14:textId="77777777" w:rsidR="001325D6" w:rsidRPr="002C57DA" w:rsidRDefault="001325D6" w:rsidP="00D0240C">
            <w:pPr>
              <w:pStyle w:val="TableText-Left"/>
              <w:jc w:val="center"/>
            </w:pPr>
            <w:r>
              <w:t>CSS</w:t>
            </w:r>
          </w:p>
        </w:tc>
        <w:tc>
          <w:tcPr>
            <w:tcW w:w="2163" w:type="dxa"/>
          </w:tcPr>
          <w:p w14:paraId="3AEBF8A5" w14:textId="1315ED77" w:rsidR="001325D6" w:rsidRDefault="00A1661D" w:rsidP="00D0240C">
            <w:pPr>
              <w:pStyle w:val="TableText-Left"/>
              <w:jc w:val="center"/>
            </w:pPr>
            <w:r>
              <w:t>DES</w:t>
            </w:r>
          </w:p>
        </w:tc>
      </w:tr>
      <w:tr w:rsidR="001325D6" w:rsidRPr="002C57DA" w14:paraId="41BCBFFB" w14:textId="77777777" w:rsidTr="00D0240C">
        <w:tc>
          <w:tcPr>
            <w:tcW w:w="2878" w:type="dxa"/>
          </w:tcPr>
          <w:p w14:paraId="0D62A4EF" w14:textId="77777777" w:rsidR="001325D6" w:rsidRPr="00B735D5" w:rsidRDefault="001325D6" w:rsidP="00D0240C">
            <w:pPr>
              <w:pStyle w:val="TableText-Left"/>
              <w:rPr>
                <w:b/>
              </w:rPr>
            </w:pPr>
            <w:r>
              <w:t>TPIGasEnquiry</w:t>
            </w:r>
            <w:r w:rsidRPr="002C57DA">
              <w:t xml:space="preserve"> </w:t>
            </w:r>
          </w:p>
        </w:tc>
        <w:tc>
          <w:tcPr>
            <w:tcW w:w="2523" w:type="dxa"/>
          </w:tcPr>
          <w:p w14:paraId="1C5E2531" w14:textId="77777777" w:rsidR="001325D6" w:rsidRDefault="001325D6" w:rsidP="00D0240C">
            <w:pPr>
              <w:pStyle w:val="TableText-Left"/>
            </w:pPr>
            <w:r>
              <w:t>Inbound</w:t>
            </w:r>
          </w:p>
        </w:tc>
        <w:tc>
          <w:tcPr>
            <w:tcW w:w="2166" w:type="dxa"/>
          </w:tcPr>
          <w:p w14:paraId="62C57D66" w14:textId="77777777" w:rsidR="001325D6" w:rsidRDefault="001325D6" w:rsidP="00D0240C">
            <w:pPr>
              <w:pStyle w:val="TableText-Left"/>
              <w:jc w:val="center"/>
            </w:pPr>
            <w:r>
              <w:t>MIS TPI Data Service</w:t>
            </w:r>
          </w:p>
        </w:tc>
        <w:tc>
          <w:tcPr>
            <w:tcW w:w="2163" w:type="dxa"/>
          </w:tcPr>
          <w:p w14:paraId="4D689F86" w14:textId="7FEC8866" w:rsidR="001325D6" w:rsidRDefault="00A1661D" w:rsidP="00D0240C">
            <w:pPr>
              <w:pStyle w:val="TableText-Left"/>
              <w:jc w:val="center"/>
            </w:pPr>
            <w:r>
              <w:t>DES</w:t>
            </w:r>
          </w:p>
        </w:tc>
      </w:tr>
      <w:tr w:rsidR="001325D6" w:rsidRPr="002C57DA" w14:paraId="4FA5F608" w14:textId="77777777" w:rsidTr="00D0240C">
        <w:tc>
          <w:tcPr>
            <w:tcW w:w="2878" w:type="dxa"/>
          </w:tcPr>
          <w:p w14:paraId="011DD408" w14:textId="77777777" w:rsidR="001325D6" w:rsidRPr="00B735D5" w:rsidRDefault="001325D6" w:rsidP="00D0240C">
            <w:pPr>
              <w:pStyle w:val="TableText-Left"/>
              <w:rPr>
                <w:b/>
              </w:rPr>
            </w:pPr>
            <w:r>
              <w:t>GasRetailMarketData</w:t>
            </w:r>
          </w:p>
        </w:tc>
        <w:tc>
          <w:tcPr>
            <w:tcW w:w="2523" w:type="dxa"/>
          </w:tcPr>
          <w:p w14:paraId="705BF432" w14:textId="77777777" w:rsidR="001325D6" w:rsidRDefault="001325D6" w:rsidP="00D0240C">
            <w:pPr>
              <w:pStyle w:val="TableText-Left"/>
            </w:pPr>
            <w:r>
              <w:t>Inbound</w:t>
            </w:r>
          </w:p>
        </w:tc>
        <w:tc>
          <w:tcPr>
            <w:tcW w:w="2166" w:type="dxa"/>
          </w:tcPr>
          <w:p w14:paraId="12B41256" w14:textId="121F6256" w:rsidR="001325D6" w:rsidRDefault="00A1661D" w:rsidP="00D0240C">
            <w:pPr>
              <w:pStyle w:val="TableText-Left"/>
              <w:jc w:val="center"/>
            </w:pPr>
            <w:r>
              <w:t>UK Link</w:t>
            </w:r>
          </w:p>
        </w:tc>
        <w:tc>
          <w:tcPr>
            <w:tcW w:w="2163" w:type="dxa"/>
          </w:tcPr>
          <w:p w14:paraId="2130291D" w14:textId="32A7E7D3" w:rsidR="001325D6" w:rsidRDefault="00A1661D" w:rsidP="00D0240C">
            <w:pPr>
              <w:pStyle w:val="TableText-Left"/>
              <w:jc w:val="center"/>
            </w:pPr>
            <w:r>
              <w:t>DES</w:t>
            </w:r>
          </w:p>
        </w:tc>
      </w:tr>
      <w:tr w:rsidR="001325D6" w:rsidRPr="002C57DA" w14:paraId="7CC7CB83" w14:textId="77777777" w:rsidTr="00D0240C">
        <w:tc>
          <w:tcPr>
            <w:tcW w:w="2878" w:type="dxa"/>
          </w:tcPr>
          <w:p w14:paraId="2CDC6919" w14:textId="23957CB3" w:rsidR="001325D6" w:rsidRDefault="001325D6" w:rsidP="00D0240C">
            <w:pPr>
              <w:pStyle w:val="TableText-Left"/>
            </w:pPr>
            <w:r>
              <w:t>SwitchingDomainData</w:t>
            </w:r>
            <w:r w:rsidR="00554FBF">
              <w:rPr>
                <w:rStyle w:val="FootnoteReference"/>
              </w:rPr>
              <w:footnoteReference w:id="8"/>
            </w:r>
          </w:p>
        </w:tc>
        <w:tc>
          <w:tcPr>
            <w:tcW w:w="2523" w:type="dxa"/>
          </w:tcPr>
          <w:p w14:paraId="1EB8B5E8" w14:textId="77777777" w:rsidR="001325D6" w:rsidRDefault="001325D6" w:rsidP="00D0240C">
            <w:pPr>
              <w:pStyle w:val="TableText-Left"/>
            </w:pPr>
            <w:r>
              <w:t>Inbound</w:t>
            </w:r>
          </w:p>
        </w:tc>
        <w:tc>
          <w:tcPr>
            <w:tcW w:w="2166" w:type="dxa"/>
          </w:tcPr>
          <w:p w14:paraId="2F27463F" w14:textId="77777777" w:rsidR="001325D6" w:rsidRDefault="001325D6" w:rsidP="00D0240C">
            <w:pPr>
              <w:pStyle w:val="TableText-Left"/>
              <w:jc w:val="center"/>
            </w:pPr>
            <w:r>
              <w:t>Switching Domain Data Service</w:t>
            </w:r>
          </w:p>
        </w:tc>
        <w:tc>
          <w:tcPr>
            <w:tcW w:w="2163" w:type="dxa"/>
          </w:tcPr>
          <w:p w14:paraId="10BEA4DF" w14:textId="2776D5F5" w:rsidR="001325D6" w:rsidRDefault="00A1661D" w:rsidP="00D0240C">
            <w:pPr>
              <w:pStyle w:val="TableText-Left"/>
              <w:jc w:val="center"/>
            </w:pPr>
            <w:r>
              <w:t>DES</w:t>
            </w:r>
          </w:p>
        </w:tc>
      </w:tr>
    </w:tbl>
    <w:p w14:paraId="17D74BE4" w14:textId="484A7A02" w:rsidR="001325D6" w:rsidRPr="00501F07" w:rsidRDefault="001325D6" w:rsidP="001325D6">
      <w:pPr>
        <w:pStyle w:val="Paragrapgh"/>
      </w:pPr>
      <w:r w:rsidRPr="00FC4335">
        <w:t>Note:</w:t>
      </w:r>
      <w:r>
        <w:t xml:space="preserve"> TPIGasEnquiry</w:t>
      </w:r>
      <w:r w:rsidRPr="00501F07">
        <w:t xml:space="preserve"> is a</w:t>
      </w:r>
      <w:r>
        <w:t>n</w:t>
      </w:r>
      <w:r w:rsidRPr="00501F07">
        <w:t xml:space="preserve"> </w:t>
      </w:r>
      <w:r>
        <w:t xml:space="preserve">existing enquiry </w:t>
      </w:r>
      <w:r w:rsidRPr="00501F07">
        <w:t xml:space="preserve">interface between </w:t>
      </w:r>
      <w:r>
        <w:t xml:space="preserve">MIS TPI Data Services </w:t>
      </w:r>
      <w:r w:rsidRPr="00501F07">
        <w:t xml:space="preserve">and </w:t>
      </w:r>
      <w:r w:rsidR="00A1661D">
        <w:t>DES</w:t>
      </w:r>
      <w:r>
        <w:t>. I</w:t>
      </w:r>
      <w:r w:rsidRPr="00501F07">
        <w:t>t is included here for completeness</w:t>
      </w:r>
      <w:r w:rsidR="00EC68EF">
        <w:t>.  A</w:t>
      </w:r>
      <w:r w:rsidR="008A453C">
        <w:t>ny changes necessary as a result of the new Switching Arrangements</w:t>
      </w:r>
      <w:r w:rsidRPr="00501F07">
        <w:t xml:space="preserve"> </w:t>
      </w:r>
      <w:r>
        <w:t>will need to be agreed directly between the respective Service Owners</w:t>
      </w:r>
      <w:r w:rsidRPr="00501F07">
        <w:t>.</w:t>
      </w:r>
    </w:p>
    <w:p w14:paraId="39872180" w14:textId="639189BD" w:rsidR="001325D6" w:rsidRPr="00501F07" w:rsidRDefault="001325D6" w:rsidP="001325D6">
      <w:pPr>
        <w:pStyle w:val="Paragrapgh"/>
      </w:pPr>
      <w:r>
        <w:t xml:space="preserve">Note: GasRetailMarketData is an existing </w:t>
      </w:r>
      <w:r w:rsidRPr="00501F07">
        <w:t xml:space="preserve">interface between </w:t>
      </w:r>
      <w:r w:rsidR="00A1661D">
        <w:t>UK Link</w:t>
      </w:r>
      <w:r w:rsidRPr="00501F07">
        <w:t xml:space="preserve"> and </w:t>
      </w:r>
      <w:r w:rsidR="00A1661D">
        <w:t>DES</w:t>
      </w:r>
      <w:r w:rsidRPr="00501F07">
        <w:t>.</w:t>
      </w:r>
      <w:r>
        <w:t xml:space="preserve"> I</w:t>
      </w:r>
      <w:r w:rsidRPr="00501F07">
        <w:t>t is included here for completeness</w:t>
      </w:r>
      <w:r w:rsidR="00EC68EF">
        <w:t>.  A</w:t>
      </w:r>
      <w:r w:rsidR="008A453C">
        <w:t>ny changes necessary as a result of the new Switching Arrangements</w:t>
      </w:r>
      <w:r w:rsidRPr="00501F07">
        <w:t xml:space="preserve"> </w:t>
      </w:r>
      <w:r>
        <w:t>will need to be agreed directly between the respective Service Owners</w:t>
      </w:r>
      <w:r w:rsidRPr="00501F07">
        <w:t>.</w:t>
      </w:r>
    </w:p>
    <w:p w14:paraId="101D03C5" w14:textId="77777777" w:rsidR="001325D6" w:rsidRDefault="001325D6" w:rsidP="001325D6">
      <w:pPr>
        <w:pStyle w:val="Paragrapgh"/>
      </w:pPr>
      <w:r>
        <w:t>These interfaces are shown in the next diagram:</w:t>
      </w:r>
    </w:p>
    <w:p w14:paraId="44264EFE" w14:textId="019D3889" w:rsidR="001325D6" w:rsidRDefault="00FF5360" w:rsidP="001325D6">
      <w:pPr>
        <w:pStyle w:val="Paragrapgh"/>
        <w:numPr>
          <w:ilvl w:val="0"/>
          <w:numId w:val="0"/>
        </w:numPr>
      </w:pPr>
      <w:r>
        <w:rPr>
          <w:noProof/>
          <w:lang w:eastAsia="en-GB"/>
        </w:rPr>
        <w:drawing>
          <wp:inline distT="0" distB="0" distL="0" distR="0" wp14:anchorId="47C3ABE4" wp14:editId="2E482597">
            <wp:extent cx="6184900" cy="452374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2E SA - CSS to DES - Figure  6.gif"/>
                    <pic:cNvPicPr/>
                  </pic:nvPicPr>
                  <pic:blipFill>
                    <a:blip r:embed="rId25">
                      <a:extLst>
                        <a:ext uri="{28A0092B-C50C-407E-A947-70E740481C1C}">
                          <a14:useLocalDpi xmlns:a14="http://schemas.microsoft.com/office/drawing/2010/main" val="0"/>
                        </a:ext>
                      </a:extLst>
                    </a:blip>
                    <a:stretch>
                      <a:fillRect/>
                    </a:stretch>
                  </pic:blipFill>
                  <pic:spPr>
                    <a:xfrm>
                      <a:off x="0" y="0"/>
                      <a:ext cx="6184900" cy="4523740"/>
                    </a:xfrm>
                    <a:prstGeom prst="rect">
                      <a:avLst/>
                    </a:prstGeom>
                  </pic:spPr>
                </pic:pic>
              </a:graphicData>
            </a:graphic>
          </wp:inline>
        </w:drawing>
      </w:r>
    </w:p>
    <w:p w14:paraId="0CB1497B" w14:textId="454C57DF" w:rsidR="001325D6" w:rsidRPr="00A72CB6" w:rsidRDefault="001325D6" w:rsidP="001325D6">
      <w:pPr>
        <w:pStyle w:val="Caption"/>
      </w:pPr>
      <w:r w:rsidRPr="00A72CB6">
        <w:t xml:space="preserve">Figure </w:t>
      </w:r>
      <w:r w:rsidR="00112F53">
        <w:rPr>
          <w:noProof/>
        </w:rPr>
        <w:fldChar w:fldCharType="begin"/>
      </w:r>
      <w:r w:rsidR="00112F53">
        <w:rPr>
          <w:noProof/>
        </w:rPr>
        <w:instrText xml:space="preserve"> SEQ Figure \* ARABIC </w:instrText>
      </w:r>
      <w:r w:rsidR="00112F53">
        <w:rPr>
          <w:noProof/>
        </w:rPr>
        <w:fldChar w:fldCharType="separate"/>
      </w:r>
      <w:r w:rsidR="005D4843">
        <w:rPr>
          <w:noProof/>
        </w:rPr>
        <w:t>6</w:t>
      </w:r>
      <w:r w:rsidR="00112F53">
        <w:rPr>
          <w:noProof/>
        </w:rPr>
        <w:fldChar w:fldCharType="end"/>
      </w:r>
      <w:r w:rsidRPr="00A72CB6">
        <w:t xml:space="preserve"> </w:t>
      </w:r>
      <w:r>
        <w:t xml:space="preserve">– New/Changed </w:t>
      </w:r>
      <w:r w:rsidRPr="00A72CB6">
        <w:t xml:space="preserve">Interfaces with DES </w:t>
      </w:r>
    </w:p>
    <w:p w14:paraId="085CBA0C" w14:textId="3CDB802A" w:rsidR="001325D6" w:rsidRPr="00890F09" w:rsidRDefault="00DB63D0" w:rsidP="00F73DBE">
      <w:pPr>
        <w:pStyle w:val="Heading3"/>
      </w:pPr>
      <w:bookmarkStart w:id="84" w:name="_Toc9934742"/>
      <w:r>
        <w:rPr>
          <w:noProof/>
        </w:rPr>
        <w:t>Electricity Central Online Enquiry Service</w:t>
      </w:r>
      <w:r>
        <w:t xml:space="preserve"> (ECOES)</w:t>
      </w:r>
      <w:bookmarkEnd w:id="84"/>
    </w:p>
    <w:p w14:paraId="685A00F9" w14:textId="63FE2316" w:rsidR="001325D6" w:rsidRDefault="001325D6" w:rsidP="001325D6">
      <w:pPr>
        <w:pStyle w:val="Paragrapgh"/>
      </w:pPr>
      <w:r>
        <w:t>ECOES will undergo changes related to receiving new electricity enquiry information related to switched electricity registrations (i.e. switched electricity supplier)</w:t>
      </w:r>
      <w:r w:rsidR="00F377BC">
        <w:t xml:space="preserve"> and to the changes made in MPAS (e.g. Related RMPs)</w:t>
      </w:r>
      <w:r>
        <w:t xml:space="preserve">. </w:t>
      </w:r>
      <w:r w:rsidR="004570B4">
        <w:t xml:space="preserve">This new enquiry information will include the REL Address for a given RMP, transferred via a new interface from CSS to MPAS.  Note that this does not affect the flow of the Meter Point Location Address from </w:t>
      </w:r>
      <w:r w:rsidR="00DB63D0">
        <w:t>MPAS</w:t>
      </w:r>
      <w:r w:rsidR="004570B4">
        <w:t xml:space="preserve"> to ECOES, which continues unchanged.</w:t>
      </w:r>
    </w:p>
    <w:p w14:paraId="5FE44D83" w14:textId="77777777" w:rsidR="001325D6" w:rsidRDefault="001325D6" w:rsidP="001325D6">
      <w:pPr>
        <w:pStyle w:val="Paragrapgh"/>
      </w:pPr>
      <w:r>
        <w:t>Provision for the Identification and maintenance of Meter asset data (including MAP), will be transferred from ECOES to MPAS</w:t>
      </w:r>
    </w:p>
    <w:p w14:paraId="547E7A7F" w14:textId="77777777" w:rsidR="001325D6" w:rsidRDefault="001325D6" w:rsidP="001325D6">
      <w:pPr>
        <w:pStyle w:val="Paragrapgh"/>
      </w:pPr>
      <w:r>
        <w:t>Registration information synchronised to ECOES will include the Erroneous Switch Indicator. Access to this information may be restricted using the Role Based Access Control arrangements provided by ECOES.</w:t>
      </w:r>
    </w:p>
    <w:p w14:paraId="132E4729" w14:textId="77777777" w:rsidR="001325D6" w:rsidRDefault="001325D6" w:rsidP="001325D6">
      <w:pPr>
        <w:pStyle w:val="Paragrapgh"/>
      </w:pPr>
      <w:r>
        <w:t xml:space="preserve">The new industry business processes and interaction sequence diagrams involving ECOES and its involvement in these processes, are defined in the Switching Design Repository (ABACUS). </w:t>
      </w:r>
    </w:p>
    <w:p w14:paraId="716CAE62" w14:textId="77777777" w:rsidR="001325D6" w:rsidRDefault="001325D6" w:rsidP="00DD2D97">
      <w:pPr>
        <w:pStyle w:val="Heading4"/>
        <w:keepNext/>
      </w:pPr>
      <w:r>
        <w:t xml:space="preserve">Impact </w:t>
      </w:r>
      <w:r w:rsidRPr="00890F09">
        <w:t>Summary</w:t>
      </w:r>
    </w:p>
    <w:p w14:paraId="716AD22C" w14:textId="12B92D92" w:rsidR="001325D6" w:rsidRDefault="001325D6" w:rsidP="00DD2D97">
      <w:pPr>
        <w:pStyle w:val="Paragrapgh"/>
        <w:keepNext/>
      </w:pPr>
      <w:r w:rsidRPr="0035188E">
        <w:t xml:space="preserve">The following </w:t>
      </w:r>
      <w:r>
        <w:t xml:space="preserve">table provides a summary of the new CSS (including Switching Domain Data Service) </w:t>
      </w:r>
      <w:r w:rsidRPr="0035188E">
        <w:t>interface</w:t>
      </w:r>
      <w:r>
        <w:t>s that are</w:t>
      </w:r>
      <w:r w:rsidRPr="0035188E">
        <w:t xml:space="preserve"> specified for </w:t>
      </w:r>
      <w:r>
        <w:t xml:space="preserve">the </w:t>
      </w:r>
      <w:r w:rsidR="00DB63D0">
        <w:t>ECOES</w:t>
      </w:r>
      <w:r>
        <w:t xml:space="preserve"> </w:t>
      </w:r>
      <w:r w:rsidRPr="0035188E">
        <w:t>in ABACUS</w:t>
      </w:r>
      <w:r>
        <w:t>, plus two interfaces that are not in ABACUS but are referenced for completeness:</w:t>
      </w:r>
    </w:p>
    <w:tbl>
      <w:tblPr>
        <w:tblStyle w:val="TableGrid"/>
        <w:tblW w:w="0" w:type="auto"/>
        <w:tblLook w:val="04A0" w:firstRow="1" w:lastRow="0" w:firstColumn="1" w:lastColumn="0" w:noHBand="0" w:noVBand="1"/>
      </w:tblPr>
      <w:tblGrid>
        <w:gridCol w:w="2878"/>
        <w:gridCol w:w="2515"/>
        <w:gridCol w:w="2168"/>
        <w:gridCol w:w="2169"/>
      </w:tblGrid>
      <w:tr w:rsidR="001325D6" w:rsidRPr="00F26F35" w14:paraId="4F5EAACD" w14:textId="77777777" w:rsidTr="00D0240C">
        <w:trPr>
          <w:tblHeader/>
        </w:trPr>
        <w:tc>
          <w:tcPr>
            <w:tcW w:w="2878" w:type="dxa"/>
            <w:shd w:val="clear" w:color="auto" w:fill="A6A6A6" w:themeFill="background1" w:themeFillShade="A6"/>
          </w:tcPr>
          <w:p w14:paraId="2A0DC378" w14:textId="77777777" w:rsidR="001325D6" w:rsidRPr="00F26F35" w:rsidRDefault="001325D6" w:rsidP="00D0240C">
            <w:pPr>
              <w:pStyle w:val="TableHeadings"/>
            </w:pPr>
            <w:r w:rsidRPr="00F26F35">
              <w:t>Interface</w:t>
            </w:r>
            <w:r>
              <w:t xml:space="preserve"> Name</w:t>
            </w:r>
          </w:p>
        </w:tc>
        <w:tc>
          <w:tcPr>
            <w:tcW w:w="2515" w:type="dxa"/>
            <w:shd w:val="clear" w:color="auto" w:fill="A6A6A6" w:themeFill="background1" w:themeFillShade="A6"/>
          </w:tcPr>
          <w:p w14:paraId="6D109235" w14:textId="77777777" w:rsidR="001325D6" w:rsidRPr="00F26F35" w:rsidRDefault="001325D6" w:rsidP="00D0240C">
            <w:pPr>
              <w:pStyle w:val="TableHeadings"/>
            </w:pPr>
            <w:r>
              <w:t>Directionality</w:t>
            </w:r>
          </w:p>
        </w:tc>
        <w:tc>
          <w:tcPr>
            <w:tcW w:w="2168" w:type="dxa"/>
            <w:shd w:val="clear" w:color="auto" w:fill="A6A6A6" w:themeFill="background1" w:themeFillShade="A6"/>
          </w:tcPr>
          <w:p w14:paraId="2FC5DD43" w14:textId="77777777" w:rsidR="001325D6" w:rsidRPr="00F26F35" w:rsidRDefault="001325D6" w:rsidP="00D0240C">
            <w:pPr>
              <w:pStyle w:val="TableHeadings"/>
              <w:jc w:val="center"/>
            </w:pPr>
            <w:r>
              <w:t>Sending Data Service</w:t>
            </w:r>
          </w:p>
        </w:tc>
        <w:tc>
          <w:tcPr>
            <w:tcW w:w="2169" w:type="dxa"/>
            <w:shd w:val="clear" w:color="auto" w:fill="A6A6A6" w:themeFill="background1" w:themeFillShade="A6"/>
          </w:tcPr>
          <w:p w14:paraId="54C61D4B" w14:textId="77777777" w:rsidR="001325D6" w:rsidRPr="00FC5269" w:rsidRDefault="001325D6" w:rsidP="00D0240C">
            <w:pPr>
              <w:pStyle w:val="TableHeadings"/>
              <w:jc w:val="center"/>
            </w:pPr>
            <w:r>
              <w:t>Receiving Data Service</w:t>
            </w:r>
          </w:p>
        </w:tc>
      </w:tr>
      <w:tr w:rsidR="001325D6" w:rsidRPr="002C57DA" w14:paraId="2B9C90DD" w14:textId="77777777" w:rsidTr="00D0240C">
        <w:tc>
          <w:tcPr>
            <w:tcW w:w="2878" w:type="dxa"/>
          </w:tcPr>
          <w:p w14:paraId="7DCB4B2B" w14:textId="77777777" w:rsidR="001325D6" w:rsidRPr="002C57DA" w:rsidRDefault="001325D6" w:rsidP="00D0240C">
            <w:pPr>
              <w:pStyle w:val="TableText-Left"/>
            </w:pPr>
            <w:r>
              <w:t>RetailEnergyLocation</w:t>
            </w:r>
          </w:p>
        </w:tc>
        <w:tc>
          <w:tcPr>
            <w:tcW w:w="2515" w:type="dxa"/>
          </w:tcPr>
          <w:p w14:paraId="7B0FA282" w14:textId="77777777" w:rsidR="001325D6" w:rsidRDefault="001325D6" w:rsidP="00D0240C">
            <w:pPr>
              <w:pStyle w:val="TableText-Left"/>
            </w:pPr>
            <w:r>
              <w:t>Inbound</w:t>
            </w:r>
          </w:p>
        </w:tc>
        <w:tc>
          <w:tcPr>
            <w:tcW w:w="2168" w:type="dxa"/>
          </w:tcPr>
          <w:p w14:paraId="21DA5907" w14:textId="77777777" w:rsidR="001325D6" w:rsidRPr="002C57DA" w:rsidRDefault="001325D6" w:rsidP="00D0240C">
            <w:pPr>
              <w:pStyle w:val="TableText-Left"/>
              <w:jc w:val="center"/>
            </w:pPr>
            <w:r>
              <w:t>CSS</w:t>
            </w:r>
          </w:p>
        </w:tc>
        <w:tc>
          <w:tcPr>
            <w:tcW w:w="2169" w:type="dxa"/>
          </w:tcPr>
          <w:p w14:paraId="50962880" w14:textId="13F6D1B2" w:rsidR="001325D6" w:rsidRDefault="00DB63D0" w:rsidP="00D0240C">
            <w:pPr>
              <w:pStyle w:val="TableText-Left"/>
              <w:jc w:val="center"/>
            </w:pPr>
            <w:r>
              <w:t>ECOES</w:t>
            </w:r>
          </w:p>
        </w:tc>
      </w:tr>
      <w:tr w:rsidR="001325D6" w:rsidRPr="002C57DA" w14:paraId="643B4DE4" w14:textId="77777777" w:rsidTr="00D0240C">
        <w:tc>
          <w:tcPr>
            <w:tcW w:w="2878" w:type="dxa"/>
          </w:tcPr>
          <w:p w14:paraId="306E4A60" w14:textId="77777777" w:rsidR="001325D6" w:rsidRPr="002C57DA" w:rsidRDefault="001325D6" w:rsidP="00D0240C">
            <w:pPr>
              <w:pStyle w:val="TableText-Left"/>
            </w:pPr>
            <w:r>
              <w:t>ElectricityRegistration</w:t>
            </w:r>
          </w:p>
        </w:tc>
        <w:tc>
          <w:tcPr>
            <w:tcW w:w="2515" w:type="dxa"/>
          </w:tcPr>
          <w:p w14:paraId="1228016C" w14:textId="77777777" w:rsidR="001325D6" w:rsidRDefault="001325D6" w:rsidP="00D0240C">
            <w:pPr>
              <w:pStyle w:val="TableText-Left"/>
            </w:pPr>
            <w:r>
              <w:t>Inbound</w:t>
            </w:r>
          </w:p>
        </w:tc>
        <w:tc>
          <w:tcPr>
            <w:tcW w:w="2168" w:type="dxa"/>
          </w:tcPr>
          <w:p w14:paraId="23CB36B9" w14:textId="77777777" w:rsidR="001325D6" w:rsidRPr="002C57DA" w:rsidRDefault="001325D6" w:rsidP="00D0240C">
            <w:pPr>
              <w:pStyle w:val="TableText-Left"/>
              <w:jc w:val="center"/>
            </w:pPr>
            <w:r>
              <w:t>CSS</w:t>
            </w:r>
          </w:p>
        </w:tc>
        <w:tc>
          <w:tcPr>
            <w:tcW w:w="2169" w:type="dxa"/>
          </w:tcPr>
          <w:p w14:paraId="45FF0A4F" w14:textId="24BA0F9F" w:rsidR="001325D6" w:rsidRDefault="00DB63D0" w:rsidP="00D0240C">
            <w:pPr>
              <w:pStyle w:val="TableText-Left"/>
              <w:jc w:val="center"/>
            </w:pPr>
            <w:r>
              <w:t>ECOES</w:t>
            </w:r>
          </w:p>
        </w:tc>
      </w:tr>
      <w:tr w:rsidR="001325D6" w:rsidRPr="002C57DA" w14:paraId="53EC8290" w14:textId="77777777" w:rsidTr="00D0240C">
        <w:tc>
          <w:tcPr>
            <w:tcW w:w="2878" w:type="dxa"/>
          </w:tcPr>
          <w:p w14:paraId="522811D2" w14:textId="77777777" w:rsidR="001325D6" w:rsidRDefault="001325D6" w:rsidP="00D0240C">
            <w:pPr>
              <w:pStyle w:val="TableText-Left"/>
            </w:pPr>
            <w:r>
              <w:t>ElectricityRetailMarketData</w:t>
            </w:r>
          </w:p>
        </w:tc>
        <w:tc>
          <w:tcPr>
            <w:tcW w:w="2515" w:type="dxa"/>
          </w:tcPr>
          <w:p w14:paraId="66409801" w14:textId="77777777" w:rsidR="001325D6" w:rsidRDefault="001325D6" w:rsidP="00D0240C">
            <w:pPr>
              <w:pStyle w:val="TableText-Left"/>
            </w:pPr>
            <w:r>
              <w:t>Inbound</w:t>
            </w:r>
          </w:p>
        </w:tc>
        <w:tc>
          <w:tcPr>
            <w:tcW w:w="2168" w:type="dxa"/>
          </w:tcPr>
          <w:p w14:paraId="57143BB9" w14:textId="70106A7D" w:rsidR="001325D6" w:rsidRDefault="00DB63D0" w:rsidP="00D0240C">
            <w:pPr>
              <w:pStyle w:val="TableText-Left"/>
              <w:jc w:val="center"/>
            </w:pPr>
            <w:r>
              <w:t>MPAS</w:t>
            </w:r>
          </w:p>
        </w:tc>
        <w:tc>
          <w:tcPr>
            <w:tcW w:w="2169" w:type="dxa"/>
          </w:tcPr>
          <w:p w14:paraId="3E440E7C" w14:textId="4CA10D60" w:rsidR="001325D6" w:rsidRPr="0060288E" w:rsidRDefault="00DB63D0" w:rsidP="00D0240C">
            <w:pPr>
              <w:pStyle w:val="TableText-Left"/>
              <w:jc w:val="center"/>
            </w:pPr>
            <w:r>
              <w:t>ECOES</w:t>
            </w:r>
          </w:p>
        </w:tc>
      </w:tr>
      <w:tr w:rsidR="001325D6" w:rsidRPr="002C57DA" w14:paraId="71D1950E" w14:textId="77777777" w:rsidTr="00D0240C">
        <w:tc>
          <w:tcPr>
            <w:tcW w:w="2878" w:type="dxa"/>
          </w:tcPr>
          <w:p w14:paraId="3359AE26" w14:textId="77777777" w:rsidR="001325D6" w:rsidRDefault="001325D6" w:rsidP="00D0240C">
            <w:pPr>
              <w:pStyle w:val="TableText-Left"/>
            </w:pPr>
            <w:r>
              <w:t>TPIElectricityEnquiry</w:t>
            </w:r>
            <w:r w:rsidRPr="002C57DA">
              <w:t xml:space="preserve"> </w:t>
            </w:r>
          </w:p>
        </w:tc>
        <w:tc>
          <w:tcPr>
            <w:tcW w:w="2515" w:type="dxa"/>
          </w:tcPr>
          <w:p w14:paraId="127AA77F" w14:textId="77777777" w:rsidR="001325D6" w:rsidRDefault="001325D6" w:rsidP="00D0240C">
            <w:pPr>
              <w:pStyle w:val="TableText-Left"/>
            </w:pPr>
            <w:r>
              <w:t>Inbound</w:t>
            </w:r>
          </w:p>
        </w:tc>
        <w:tc>
          <w:tcPr>
            <w:tcW w:w="2168" w:type="dxa"/>
          </w:tcPr>
          <w:p w14:paraId="067875C0" w14:textId="77777777" w:rsidR="001325D6" w:rsidRDefault="001325D6" w:rsidP="00D0240C">
            <w:pPr>
              <w:pStyle w:val="TableText-Left"/>
              <w:jc w:val="center"/>
            </w:pPr>
            <w:r>
              <w:t>MIS TPI Data Service</w:t>
            </w:r>
          </w:p>
        </w:tc>
        <w:tc>
          <w:tcPr>
            <w:tcW w:w="2169" w:type="dxa"/>
          </w:tcPr>
          <w:p w14:paraId="564A0C95" w14:textId="457F6271" w:rsidR="001325D6" w:rsidRPr="0060288E" w:rsidRDefault="00DB63D0" w:rsidP="00D0240C">
            <w:pPr>
              <w:pStyle w:val="TableText-Left"/>
              <w:jc w:val="center"/>
            </w:pPr>
            <w:r>
              <w:t>ECOES</w:t>
            </w:r>
          </w:p>
        </w:tc>
      </w:tr>
      <w:tr w:rsidR="001325D6" w:rsidRPr="002C57DA" w14:paraId="3DF7DDE7" w14:textId="77777777" w:rsidTr="00D0240C">
        <w:tc>
          <w:tcPr>
            <w:tcW w:w="2878" w:type="dxa"/>
          </w:tcPr>
          <w:p w14:paraId="10502DA1" w14:textId="51D4DA47" w:rsidR="001325D6" w:rsidRPr="0032179F" w:rsidRDefault="001325D6" w:rsidP="00D0240C">
            <w:pPr>
              <w:pStyle w:val="TableText-Left"/>
            </w:pPr>
            <w:r w:rsidRPr="0032179F">
              <w:t>SwitchingDomainData</w:t>
            </w:r>
            <w:r w:rsidR="00554FBF">
              <w:rPr>
                <w:rStyle w:val="FootnoteReference"/>
              </w:rPr>
              <w:footnoteReference w:id="9"/>
            </w:r>
          </w:p>
        </w:tc>
        <w:tc>
          <w:tcPr>
            <w:tcW w:w="2515" w:type="dxa"/>
          </w:tcPr>
          <w:p w14:paraId="6EF3308F" w14:textId="77777777" w:rsidR="001325D6" w:rsidRDefault="001325D6" w:rsidP="00D0240C">
            <w:pPr>
              <w:pStyle w:val="TableText-Left"/>
            </w:pPr>
            <w:r>
              <w:t>Inbound</w:t>
            </w:r>
          </w:p>
        </w:tc>
        <w:tc>
          <w:tcPr>
            <w:tcW w:w="2168" w:type="dxa"/>
          </w:tcPr>
          <w:p w14:paraId="029ACB33" w14:textId="77777777" w:rsidR="001325D6" w:rsidRDefault="001325D6" w:rsidP="00D0240C">
            <w:pPr>
              <w:pStyle w:val="TableText-Left"/>
              <w:jc w:val="center"/>
            </w:pPr>
            <w:r>
              <w:t>Switching Domain Data Service</w:t>
            </w:r>
          </w:p>
        </w:tc>
        <w:tc>
          <w:tcPr>
            <w:tcW w:w="2169" w:type="dxa"/>
          </w:tcPr>
          <w:p w14:paraId="077210B6" w14:textId="1BDD8D31" w:rsidR="001325D6" w:rsidRPr="0060288E" w:rsidRDefault="00DB63D0" w:rsidP="00D0240C">
            <w:pPr>
              <w:pStyle w:val="TableText-Left"/>
              <w:jc w:val="center"/>
            </w:pPr>
            <w:r>
              <w:t>ECOES</w:t>
            </w:r>
          </w:p>
        </w:tc>
      </w:tr>
    </w:tbl>
    <w:p w14:paraId="6908B1D6" w14:textId="1467852D" w:rsidR="001325D6" w:rsidRPr="00501F07" w:rsidRDefault="001325D6" w:rsidP="001325D6">
      <w:pPr>
        <w:pStyle w:val="Paragrapgh"/>
      </w:pPr>
      <w:r>
        <w:t>Note: Electricity</w:t>
      </w:r>
      <w:r w:rsidRPr="00501F07">
        <w:t xml:space="preserve">RetailMarketData </w:t>
      </w:r>
      <w:r>
        <w:t xml:space="preserve">is an </w:t>
      </w:r>
      <w:r w:rsidRPr="00953F94">
        <w:t>existing</w:t>
      </w:r>
      <w:r>
        <w:t xml:space="preserve"> </w:t>
      </w:r>
      <w:r w:rsidRPr="00501F07">
        <w:t xml:space="preserve">interface between </w:t>
      </w:r>
      <w:r w:rsidR="00DB63D0">
        <w:t>MPAS</w:t>
      </w:r>
      <w:r w:rsidRPr="00501F07">
        <w:t xml:space="preserve"> and </w:t>
      </w:r>
      <w:r>
        <w:t>ECOES</w:t>
      </w:r>
      <w:r w:rsidRPr="00501F07">
        <w:t>.</w:t>
      </w:r>
      <w:r>
        <w:t xml:space="preserve"> I</w:t>
      </w:r>
      <w:r w:rsidRPr="00501F07">
        <w:t>t is included here for completeness</w:t>
      </w:r>
      <w:r w:rsidR="00EC68EF">
        <w:t>.  A</w:t>
      </w:r>
      <w:r w:rsidR="008A453C">
        <w:t>ny changes necessary as a result of the new Switching Arrangements</w:t>
      </w:r>
      <w:r w:rsidRPr="00481772">
        <w:t xml:space="preserve"> </w:t>
      </w:r>
      <w:r>
        <w:t>will need to be agreed between the respective Service Owners.</w:t>
      </w:r>
    </w:p>
    <w:p w14:paraId="0D9B41E0" w14:textId="105DFED0" w:rsidR="001325D6" w:rsidRPr="00501F07" w:rsidRDefault="001325D6" w:rsidP="001325D6">
      <w:pPr>
        <w:pStyle w:val="Paragrapgh"/>
      </w:pPr>
      <w:r>
        <w:t>Note: TPIElectricityEnquiry</w:t>
      </w:r>
      <w:r w:rsidRPr="00501F07">
        <w:t xml:space="preserve"> </w:t>
      </w:r>
      <w:r>
        <w:t xml:space="preserve">is an </w:t>
      </w:r>
      <w:r w:rsidRPr="00953F94">
        <w:t>existing</w:t>
      </w:r>
      <w:r>
        <w:t xml:space="preserve"> enquiry service </w:t>
      </w:r>
      <w:r w:rsidRPr="00501F07">
        <w:t xml:space="preserve">interface between </w:t>
      </w:r>
      <w:r>
        <w:t>MIS TPI Data Services</w:t>
      </w:r>
      <w:r w:rsidRPr="00501F07">
        <w:t xml:space="preserve"> and </w:t>
      </w:r>
      <w:r>
        <w:t>ECOES</w:t>
      </w:r>
      <w:r w:rsidRPr="00501F07">
        <w:t>.</w:t>
      </w:r>
      <w:r>
        <w:t xml:space="preserve"> I</w:t>
      </w:r>
      <w:r w:rsidRPr="00501F07">
        <w:t>t is included here for completeness</w:t>
      </w:r>
      <w:r w:rsidR="00EC68EF">
        <w:t>.  A</w:t>
      </w:r>
      <w:r w:rsidR="008A453C">
        <w:t>ny changes necessary as a result of the new Switching Arrangements</w:t>
      </w:r>
      <w:r w:rsidRPr="00481772">
        <w:t xml:space="preserve"> </w:t>
      </w:r>
      <w:r>
        <w:t>will need to be agreed between the respective Service Owners.</w:t>
      </w:r>
    </w:p>
    <w:p w14:paraId="183AEDC4" w14:textId="77777777" w:rsidR="001325D6" w:rsidRDefault="001325D6" w:rsidP="001325D6">
      <w:pPr>
        <w:pStyle w:val="Paragrapgh"/>
      </w:pPr>
      <w:r>
        <w:t>These interfaces are shown in the next diagram:</w:t>
      </w:r>
    </w:p>
    <w:p w14:paraId="27C0454E" w14:textId="77777777" w:rsidR="001325D6" w:rsidRDefault="001325D6" w:rsidP="001325D6">
      <w:pPr>
        <w:pStyle w:val="BodyTextNormal"/>
        <w:keepNext/>
        <w:jc w:val="center"/>
      </w:pPr>
      <w:r>
        <w:rPr>
          <w:noProof/>
          <w:lang w:eastAsia="en-GB"/>
        </w:rPr>
        <w:drawing>
          <wp:inline distT="0" distB="0" distL="0" distR="0" wp14:anchorId="5D6AB1F3" wp14:editId="61398F17">
            <wp:extent cx="6184900" cy="3707765"/>
            <wp:effectExtent l="0" t="0" r="6350" b="698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E2E SA - CSS to ECOES - Figure 9.gif"/>
                    <pic:cNvPicPr/>
                  </pic:nvPicPr>
                  <pic:blipFill>
                    <a:blip r:embed="rId26">
                      <a:extLst>
                        <a:ext uri="{28A0092B-C50C-407E-A947-70E740481C1C}">
                          <a14:useLocalDpi xmlns:a14="http://schemas.microsoft.com/office/drawing/2010/main" val="0"/>
                        </a:ext>
                      </a:extLst>
                    </a:blip>
                    <a:stretch>
                      <a:fillRect/>
                    </a:stretch>
                  </pic:blipFill>
                  <pic:spPr>
                    <a:xfrm>
                      <a:off x="0" y="0"/>
                      <a:ext cx="6184900" cy="3707765"/>
                    </a:xfrm>
                    <a:prstGeom prst="rect">
                      <a:avLst/>
                    </a:prstGeom>
                  </pic:spPr>
                </pic:pic>
              </a:graphicData>
            </a:graphic>
          </wp:inline>
        </w:drawing>
      </w:r>
    </w:p>
    <w:p w14:paraId="3079687B" w14:textId="5EBDAEE0" w:rsidR="001325D6" w:rsidRDefault="001325D6" w:rsidP="0065787F">
      <w:pPr>
        <w:pStyle w:val="Caption"/>
      </w:pPr>
      <w:r w:rsidRPr="00A72CB6">
        <w:t xml:space="preserve">Figure </w:t>
      </w:r>
      <w:r w:rsidR="00112F53">
        <w:rPr>
          <w:noProof/>
        </w:rPr>
        <w:fldChar w:fldCharType="begin"/>
      </w:r>
      <w:r w:rsidR="00112F53">
        <w:rPr>
          <w:noProof/>
        </w:rPr>
        <w:instrText xml:space="preserve"> SEQ Figure \* ARABIC </w:instrText>
      </w:r>
      <w:r w:rsidR="00112F53">
        <w:rPr>
          <w:noProof/>
        </w:rPr>
        <w:fldChar w:fldCharType="separate"/>
      </w:r>
      <w:r w:rsidR="005D4843">
        <w:rPr>
          <w:noProof/>
        </w:rPr>
        <w:t>7</w:t>
      </w:r>
      <w:r w:rsidR="00112F53">
        <w:rPr>
          <w:noProof/>
        </w:rPr>
        <w:fldChar w:fldCharType="end"/>
      </w:r>
      <w:r w:rsidRPr="00A72CB6">
        <w:t xml:space="preserve"> </w:t>
      </w:r>
      <w:r>
        <w:t xml:space="preserve">– New/Changed </w:t>
      </w:r>
      <w:r w:rsidRPr="00A72CB6">
        <w:t>Interfaces with ECOES</w:t>
      </w:r>
    </w:p>
    <w:p w14:paraId="3624C539" w14:textId="56BD27DE" w:rsidR="001325D6" w:rsidRDefault="00F933FE" w:rsidP="00F73DBE">
      <w:pPr>
        <w:pStyle w:val="Heading2"/>
      </w:pPr>
      <w:bookmarkStart w:id="85" w:name="_Toc9934743"/>
      <w:r>
        <w:t>Suppliers and Shippers</w:t>
      </w:r>
      <w:bookmarkEnd w:id="85"/>
    </w:p>
    <w:p w14:paraId="030C141F" w14:textId="105B8138" w:rsidR="001325D6" w:rsidRDefault="001325D6" w:rsidP="00F73DBE">
      <w:pPr>
        <w:pStyle w:val="Heading3"/>
      </w:pPr>
      <w:bookmarkStart w:id="86" w:name="_Toc9934744"/>
      <w:r w:rsidRPr="00890F09">
        <w:t>Supplier</w:t>
      </w:r>
      <w:r>
        <w:t xml:space="preserve"> (Gaining and Losing)</w:t>
      </w:r>
      <w:r w:rsidR="00F933FE">
        <w:t xml:space="preserve"> Data Service</w:t>
      </w:r>
      <w:bookmarkEnd w:id="86"/>
    </w:p>
    <w:p w14:paraId="016CA1B0" w14:textId="77777777" w:rsidR="001325D6" w:rsidRDefault="001325D6" w:rsidP="001325D6">
      <w:pPr>
        <w:pStyle w:val="Paragrapgh"/>
      </w:pPr>
      <w:bookmarkStart w:id="87" w:name="_Hlk493170977"/>
      <w:r>
        <w:t>Supplier data services will undergo a series of changes related to supporting the switching process for both the Gaining Supplier and the Losing Supplier, including the following:</w:t>
      </w:r>
    </w:p>
    <w:p w14:paraId="3F8387CD" w14:textId="27B1D170" w:rsidR="001325D6" w:rsidRDefault="001325D6" w:rsidP="00176198">
      <w:pPr>
        <w:pStyle w:val="ListBullet"/>
      </w:pPr>
      <w:r>
        <w:t>Managing Switches and Initial Registrations through the new CSS. Gaining Suppliers have the option</w:t>
      </w:r>
      <w:r w:rsidR="006124F7">
        <w:t xml:space="preserve"> </w:t>
      </w:r>
      <w:r>
        <w:t>to Withdraw switch requests, while Losing suppliers can Object</w:t>
      </w:r>
      <w:r>
        <w:rPr>
          <w:rStyle w:val="FootnoteReference"/>
        </w:rPr>
        <w:footnoteReference w:id="10"/>
      </w:r>
      <w:r>
        <w:t xml:space="preserve"> to, or Annul, requests following an “invitation to intervene”. Notifications are also issued at </w:t>
      </w:r>
      <w:r w:rsidR="00B70121">
        <w:t>V</w:t>
      </w:r>
      <w:r>
        <w:t>alidation</w:t>
      </w:r>
      <w:r w:rsidR="00B70121">
        <w:t>, Confirmation and Securing</w:t>
      </w:r>
      <w:r>
        <w:t xml:space="preserve"> to</w:t>
      </w:r>
      <w:r w:rsidR="00B70121">
        <w:t xml:space="preserve"> both</w:t>
      </w:r>
      <w:r>
        <w:t xml:space="preserve"> Losing and Gaining Suppliers.</w:t>
      </w:r>
    </w:p>
    <w:p w14:paraId="518DB59C" w14:textId="0FEDC354" w:rsidR="006124F7" w:rsidRDefault="006124F7" w:rsidP="00176198">
      <w:pPr>
        <w:pStyle w:val="ListBullet"/>
      </w:pPr>
      <w:r>
        <w:t>Managing Switches to tighter timescales than at present, including faster objections processing and faster handover of DCC-enrolled meters.</w:t>
      </w:r>
    </w:p>
    <w:p w14:paraId="2EB340B2" w14:textId="64675640" w:rsidR="00AF65E8" w:rsidRDefault="00AF65E8" w:rsidP="00176198">
      <w:pPr>
        <w:pStyle w:val="ListBullet"/>
      </w:pPr>
      <w:r>
        <w:t xml:space="preserve">Settlement Parameters and Supplier-Appointed Agents may be updated in MPAS or </w:t>
      </w:r>
      <w:r w:rsidR="00A1661D">
        <w:t>UK Link</w:t>
      </w:r>
      <w:r>
        <w:t xml:space="preserve"> once these services</w:t>
      </w:r>
      <w:r w:rsidR="006124F7">
        <w:t xml:space="preserve"> have been informed of the impe</w:t>
      </w:r>
      <w:r>
        <w:t>n</w:t>
      </w:r>
      <w:r w:rsidR="006124F7">
        <w:t>d</w:t>
      </w:r>
      <w:r>
        <w:t>ing change, which happens when a switch has become Validated or an initial registration has become Confirmed (because this passes immediately to Confirmed when submitted and successfully validated).</w:t>
      </w:r>
    </w:p>
    <w:p w14:paraId="33FD8A0D" w14:textId="77777777" w:rsidR="001325D6" w:rsidRDefault="001325D6" w:rsidP="00176198">
      <w:pPr>
        <w:pStyle w:val="ListBullet"/>
      </w:pPr>
      <w:r>
        <w:t>Management of Switch Requests passes from Shipper to Supplier. The Supplier declares the Shipper at Registration and any changes thereafter.</w:t>
      </w:r>
    </w:p>
    <w:p w14:paraId="20A5DF81" w14:textId="25D2AD8B" w:rsidR="001325D6" w:rsidRDefault="006124F7" w:rsidP="00176198">
      <w:pPr>
        <w:pStyle w:val="ListBullet"/>
      </w:pPr>
      <w:r>
        <w:t>Setting the domestic p</w:t>
      </w:r>
      <w:r w:rsidR="001325D6">
        <w:t xml:space="preserve">remises </w:t>
      </w:r>
      <w:r>
        <w:t xml:space="preserve">indicator </w:t>
      </w:r>
      <w:r w:rsidR="001325D6">
        <w:t>at Initial Registration</w:t>
      </w:r>
      <w:r>
        <w:t xml:space="preserve"> and in a</w:t>
      </w:r>
      <w:r w:rsidR="001325D6">
        <w:t xml:space="preserve"> Switch Request</w:t>
      </w:r>
      <w:r>
        <w:t>.  Notifying</w:t>
      </w:r>
      <w:r w:rsidR="00B70121">
        <w:t xml:space="preserve"> of </w:t>
      </w:r>
      <w:r>
        <w:t xml:space="preserve">a </w:t>
      </w:r>
      <w:r w:rsidR="00B70121">
        <w:t>change to the domestic premises indicator</w:t>
      </w:r>
      <w:r w:rsidR="00AF65E8">
        <w:t>,</w:t>
      </w:r>
      <w:r w:rsidR="00B70121">
        <w:t xml:space="preserve"> should this occur without being associated with a registration change.</w:t>
      </w:r>
    </w:p>
    <w:p w14:paraId="167C15FB" w14:textId="0B124593" w:rsidR="001325D6" w:rsidRDefault="001325D6" w:rsidP="00176198">
      <w:pPr>
        <w:pStyle w:val="ListBullet"/>
      </w:pPr>
      <w:r>
        <w:t>Deactivation of Registrations</w:t>
      </w:r>
      <w:r w:rsidR="0011192E">
        <w:t xml:space="preserve"> – this will be initiated by a Registration Management Request submitted over the RegMgmtRequestSubmission interface and will take place in CSS</w:t>
      </w:r>
      <w:r>
        <w:t>.</w:t>
      </w:r>
    </w:p>
    <w:p w14:paraId="316407EA" w14:textId="3B8F5453" w:rsidR="001325D6" w:rsidRDefault="001325D6" w:rsidP="00176198">
      <w:pPr>
        <w:pStyle w:val="ListBullet"/>
      </w:pPr>
      <w:r>
        <w:t xml:space="preserve">Identification and </w:t>
      </w:r>
      <w:r w:rsidR="00FC1537">
        <w:t>maintenance</w:t>
      </w:r>
      <w:r>
        <w:t xml:space="preserve"> of Related RMPs (previously Related MPANs) is through a new RMP Association structure in MPAS including explicit nomination of a ‘Parent’ RMP</w:t>
      </w:r>
      <w:r w:rsidR="0049360B">
        <w:t>; suppliers will have to be able to support this</w:t>
      </w:r>
      <w:r w:rsidR="006124F7">
        <w:t xml:space="preserve"> and will only need to switch the “parent”</w:t>
      </w:r>
      <w:r>
        <w:t>.</w:t>
      </w:r>
    </w:p>
    <w:p w14:paraId="65906BA8" w14:textId="08EDF49D" w:rsidR="001325D6" w:rsidRDefault="001325D6" w:rsidP="00176198">
      <w:pPr>
        <w:pStyle w:val="ListBullet"/>
      </w:pPr>
      <w:r>
        <w:t>For Electricity Suppliers</w:t>
      </w:r>
      <w:r w:rsidDel="004C7609">
        <w:t xml:space="preserve"> </w:t>
      </w:r>
      <w:r>
        <w:t xml:space="preserve">the identification and </w:t>
      </w:r>
      <w:r w:rsidR="00FC1537">
        <w:t>maintenance</w:t>
      </w:r>
      <w:r>
        <w:t xml:space="preserve"> of Meter Asset Details and MAP details will be in MPAS, while for Gas Suppliers identifying and maintaining MAP details will be in </w:t>
      </w:r>
      <w:r w:rsidR="00A1661D">
        <w:t>UK Link</w:t>
      </w:r>
      <w:r>
        <w:t>. Note Energy Suppliers may choose to outsource maintenance of MAP details to MEMs, but responsibility remains with the Energy Supplier.</w:t>
      </w:r>
    </w:p>
    <w:p w14:paraId="707EE917" w14:textId="4F881562" w:rsidR="001325D6" w:rsidRDefault="001325D6" w:rsidP="00176198">
      <w:pPr>
        <w:pStyle w:val="ListBullet"/>
      </w:pPr>
      <w:r>
        <w:t xml:space="preserve">A Losing Supplier in the Switch event </w:t>
      </w:r>
      <w:r w:rsidR="00390C08">
        <w:t>must</w:t>
      </w:r>
      <w:r>
        <w:t xml:space="preserve"> accept returning customers on ‘equivalent terms’ following ‘Cooling Off’ after a completed Switch event </w:t>
      </w:r>
      <w:r w:rsidR="00390C08">
        <w:t>if requested to do so by the consumer</w:t>
      </w:r>
      <w:r>
        <w:t>.</w:t>
      </w:r>
    </w:p>
    <w:p w14:paraId="19F05B31" w14:textId="590DD761" w:rsidR="004706C9" w:rsidRDefault="004706C9" w:rsidP="00737F3E">
      <w:pPr>
        <w:pStyle w:val="ListBullet"/>
      </w:pPr>
      <w:r>
        <w:t xml:space="preserve">Initial Registrations can be </w:t>
      </w:r>
      <w:r w:rsidR="005F2894">
        <w:t xml:space="preserve">submitted by </w:t>
      </w:r>
      <w:r w:rsidR="00A82A06">
        <w:t>either a</w:t>
      </w:r>
      <w:r w:rsidR="00EB0FDD">
        <w:t xml:space="preserve"> gaining</w:t>
      </w:r>
      <w:r w:rsidR="00A82A06">
        <w:t xml:space="preserve"> </w:t>
      </w:r>
      <w:r w:rsidR="0018600D">
        <w:t>Energy supplier or an Enforcing Energy Supplier.</w:t>
      </w:r>
    </w:p>
    <w:p w14:paraId="4FC1081F" w14:textId="2DEAACC1" w:rsidR="001325D6" w:rsidRDefault="001325D6" w:rsidP="001325D6">
      <w:pPr>
        <w:pStyle w:val="Paragrapgh"/>
      </w:pPr>
      <w:r>
        <w:t>N</w:t>
      </w:r>
      <w:r w:rsidRPr="009E579C">
        <w:t>ew interface</w:t>
      </w:r>
      <w:r>
        <w:t>s</w:t>
      </w:r>
      <w:r w:rsidRPr="009E579C">
        <w:t xml:space="preserve"> between </w:t>
      </w:r>
      <w:r>
        <w:t>Supplier data services</w:t>
      </w:r>
      <w:r w:rsidRPr="009E579C">
        <w:t xml:space="preserve"> and CSS </w:t>
      </w:r>
      <w:r>
        <w:t xml:space="preserve">are required </w:t>
      </w:r>
      <w:r w:rsidRPr="009E579C">
        <w:t xml:space="preserve">to </w:t>
      </w:r>
      <w:r>
        <w:t>submit Switch Requests</w:t>
      </w:r>
      <w:r w:rsidRPr="009E579C">
        <w:t>.</w:t>
      </w:r>
      <w:r>
        <w:t xml:space="preserve"> </w:t>
      </w:r>
      <w:r w:rsidRPr="009E579C">
        <w:t xml:space="preserve">CSS will have the capability to process </w:t>
      </w:r>
      <w:r>
        <w:t xml:space="preserve">both inbound and outbound requests as defined in the </w:t>
      </w:r>
      <w:hyperlink w:anchor="_Interfaces" w:history="1">
        <w:r w:rsidRPr="0013487F">
          <w:rPr>
            <w:rStyle w:val="Hyperlink"/>
            <w:sz w:val="20"/>
          </w:rPr>
          <w:t>Interfaces</w:t>
        </w:r>
      </w:hyperlink>
      <w:r w:rsidRPr="0013487F">
        <w:rPr>
          <w:rStyle w:val="Hyperlink"/>
          <w:sz w:val="20"/>
        </w:rPr>
        <w:t xml:space="preserve"> </w:t>
      </w:r>
      <w:r>
        <w:t xml:space="preserve">section of this document. </w:t>
      </w:r>
    </w:p>
    <w:p w14:paraId="3B617556" w14:textId="5DDA6E93" w:rsidR="001325D6" w:rsidRDefault="001325D6" w:rsidP="001325D6">
      <w:pPr>
        <w:pStyle w:val="Paragrapgh"/>
      </w:pPr>
      <w:r>
        <w:t>The InvitationToIntervene service interface will provide Losing Suppliers with the option of raising an Objection or Annulment in response to a specified Sw</w:t>
      </w:r>
      <w:r w:rsidR="00FC1537">
        <w:t>itch Request.</w:t>
      </w:r>
      <w:r>
        <w:t xml:space="preserve"> Correspondingly, Suppliers will implement the new SwitchIntervention interface to submit their request to Object or Annul a Switch Request (in response to InvitationToIntervene), to CSS. </w:t>
      </w:r>
      <w:r w:rsidRPr="009E579C">
        <w:t xml:space="preserve">Suppliers have the option of responding at any point </w:t>
      </w:r>
      <w:r>
        <w:t>with</w:t>
      </w:r>
      <w:r w:rsidRPr="009E579C">
        <w:t xml:space="preserve">in the </w:t>
      </w:r>
      <w:r>
        <w:t xml:space="preserve">defined </w:t>
      </w:r>
      <w:r w:rsidRPr="009E579C">
        <w:t>objections window</w:t>
      </w:r>
      <w:r>
        <w:t xml:space="preserve"> (which closes as a response is made).</w:t>
      </w:r>
    </w:p>
    <w:p w14:paraId="24DF498C" w14:textId="794F38A3" w:rsidR="001325D6" w:rsidRPr="009E579C" w:rsidRDefault="001325D6" w:rsidP="001325D6">
      <w:pPr>
        <w:pStyle w:val="Paragrapgh"/>
      </w:pPr>
      <w:r>
        <w:t>T</w:t>
      </w:r>
      <w:r w:rsidRPr="00261B6B">
        <w:t>he RegMgmtRequestSubmission interface</w:t>
      </w:r>
      <w:r w:rsidRPr="00261B6B" w:rsidDel="00B156FF">
        <w:t xml:space="preserve"> </w:t>
      </w:r>
      <w:r>
        <w:t xml:space="preserve">will </w:t>
      </w:r>
      <w:r w:rsidRPr="00261B6B">
        <w:t>provide Gaining Suppliers with the option to Withdraw a Switch Request. This will be permissible once C</w:t>
      </w:r>
      <w:r>
        <w:t>SS has set a Switch Request to V</w:t>
      </w:r>
      <w:r w:rsidRPr="00261B6B">
        <w:t>alidated and the Gaining Supplier is notified of the Switch Request Validated status via the RegMgmtRequestNotification interface. Gaining Suppliers have the option of raising this request at any point prior to a Switch Request being set to Secured.</w:t>
      </w:r>
    </w:p>
    <w:p w14:paraId="25154984" w14:textId="77777777" w:rsidR="001325D6" w:rsidRDefault="001325D6" w:rsidP="001325D6">
      <w:pPr>
        <w:pStyle w:val="Paragrapgh"/>
      </w:pPr>
      <w:r>
        <w:t>New industry business processes for Gaining and Losing suppliers, and interaction sequence diagrams describing their involvement in these processes, are defined in the Switching Design Repository (ABACUS).</w:t>
      </w:r>
    </w:p>
    <w:p w14:paraId="3CB215A2" w14:textId="6AE09C6C" w:rsidR="001325D6" w:rsidRDefault="001325D6" w:rsidP="001325D6">
      <w:pPr>
        <w:pStyle w:val="Paragrapgh"/>
      </w:pPr>
      <w:r>
        <w:t>Note: Information about the meter reading processes associated with a switch under CSS is given in</w:t>
      </w:r>
      <w:r w:rsidRPr="006D6FDB">
        <w:t xml:space="preserve"> </w:t>
      </w:r>
      <w:r>
        <w:t>D-4.1.6 E2E Operational Choreography</w:t>
      </w:r>
      <w:r w:rsidRPr="00B302CB">
        <w:rPr>
          <w:vertAlign w:val="superscript"/>
        </w:rPr>
        <w:fldChar w:fldCharType="begin"/>
      </w:r>
      <w:r w:rsidRPr="00B302CB">
        <w:rPr>
          <w:vertAlign w:val="superscript"/>
        </w:rPr>
        <w:instrText xml:space="preserve"> REF D_4_1_6 \h </w:instrText>
      </w:r>
      <w:r>
        <w:rPr>
          <w:vertAlign w:val="superscript"/>
        </w:rPr>
        <w:instrText xml:space="preserve"> \* MERGEFORMAT </w:instrText>
      </w:r>
      <w:r w:rsidRPr="00B302CB">
        <w:rPr>
          <w:vertAlign w:val="superscript"/>
        </w:rPr>
      </w:r>
      <w:r w:rsidRPr="00B302CB">
        <w:rPr>
          <w:vertAlign w:val="superscript"/>
        </w:rPr>
        <w:fldChar w:fldCharType="separate"/>
      </w:r>
      <w:r w:rsidR="005D4843" w:rsidRPr="005D4843">
        <w:rPr>
          <w:vertAlign w:val="superscript"/>
        </w:rPr>
        <w:t>[4]</w:t>
      </w:r>
      <w:r w:rsidRPr="00B302CB">
        <w:rPr>
          <w:vertAlign w:val="superscript"/>
        </w:rPr>
        <w:fldChar w:fldCharType="end"/>
      </w:r>
      <w:r>
        <w:t>.</w:t>
      </w:r>
    </w:p>
    <w:p w14:paraId="16F4C909" w14:textId="77777777" w:rsidR="001325D6" w:rsidRPr="00890F09" w:rsidRDefault="001325D6" w:rsidP="001325D6">
      <w:pPr>
        <w:pStyle w:val="Heading4"/>
        <w:keepNext/>
      </w:pPr>
      <w:r>
        <w:t>Impact Summary</w:t>
      </w:r>
    </w:p>
    <w:p w14:paraId="47D1284C" w14:textId="77777777" w:rsidR="001325D6" w:rsidRPr="0035188E" w:rsidRDefault="001325D6" w:rsidP="001325D6">
      <w:pPr>
        <w:pStyle w:val="Paragrapgh"/>
      </w:pPr>
      <w:r w:rsidRPr="0035188E">
        <w:t xml:space="preserve">The following </w:t>
      </w:r>
      <w:r>
        <w:t xml:space="preserve">table provides a summary of the </w:t>
      </w:r>
      <w:r w:rsidRPr="0035188E">
        <w:t xml:space="preserve">new </w:t>
      </w:r>
      <w:r>
        <w:t xml:space="preserve">CSS (including </w:t>
      </w:r>
      <w:r w:rsidRPr="0038075D">
        <w:t>Switching Domain Data Service</w:t>
      </w:r>
      <w:r>
        <w:t xml:space="preserve">) </w:t>
      </w:r>
      <w:r w:rsidRPr="0035188E">
        <w:t xml:space="preserve">interfaces </w:t>
      </w:r>
      <w:r>
        <w:t xml:space="preserve">that </w:t>
      </w:r>
      <w:r w:rsidRPr="0035188E">
        <w:t xml:space="preserve">are specified for </w:t>
      </w:r>
      <w:r>
        <w:t>the Supplier Data Service</w:t>
      </w:r>
      <w:r w:rsidRPr="0035188E">
        <w:t xml:space="preserve"> in ABACUS:</w:t>
      </w:r>
    </w:p>
    <w:tbl>
      <w:tblPr>
        <w:tblStyle w:val="TableGrid"/>
        <w:tblW w:w="0" w:type="auto"/>
        <w:tblLook w:val="04A0" w:firstRow="1" w:lastRow="0" w:firstColumn="1" w:lastColumn="0" w:noHBand="0" w:noVBand="1"/>
      </w:tblPr>
      <w:tblGrid>
        <w:gridCol w:w="3031"/>
        <w:gridCol w:w="2521"/>
        <w:gridCol w:w="2089"/>
        <w:gridCol w:w="2089"/>
      </w:tblGrid>
      <w:tr w:rsidR="001325D6" w:rsidRPr="00F26F35" w14:paraId="120051AC" w14:textId="77777777" w:rsidTr="00D0240C">
        <w:tc>
          <w:tcPr>
            <w:tcW w:w="3031" w:type="dxa"/>
            <w:shd w:val="clear" w:color="auto" w:fill="A6A6A6" w:themeFill="background1" w:themeFillShade="A6"/>
          </w:tcPr>
          <w:p w14:paraId="3E03D722" w14:textId="77777777" w:rsidR="001325D6" w:rsidRPr="00FC5269" w:rsidRDefault="001325D6" w:rsidP="00D0240C">
            <w:pPr>
              <w:pStyle w:val="TableHeadings"/>
            </w:pPr>
            <w:r w:rsidRPr="00FC5269">
              <w:t>Interface Name</w:t>
            </w:r>
          </w:p>
        </w:tc>
        <w:tc>
          <w:tcPr>
            <w:tcW w:w="2521" w:type="dxa"/>
            <w:shd w:val="clear" w:color="auto" w:fill="A6A6A6" w:themeFill="background1" w:themeFillShade="A6"/>
          </w:tcPr>
          <w:p w14:paraId="3460FFEE" w14:textId="77777777" w:rsidR="001325D6" w:rsidRPr="00FC5269" w:rsidRDefault="001325D6" w:rsidP="00D0240C">
            <w:pPr>
              <w:pStyle w:val="TableHeadings"/>
            </w:pPr>
            <w:r w:rsidRPr="00FC5269">
              <w:t>Directionality</w:t>
            </w:r>
          </w:p>
        </w:tc>
        <w:tc>
          <w:tcPr>
            <w:tcW w:w="2089" w:type="dxa"/>
            <w:shd w:val="clear" w:color="auto" w:fill="A6A6A6" w:themeFill="background1" w:themeFillShade="A6"/>
          </w:tcPr>
          <w:p w14:paraId="0847195E" w14:textId="77777777" w:rsidR="001325D6" w:rsidRPr="00F26F35" w:rsidRDefault="001325D6" w:rsidP="00D0240C">
            <w:pPr>
              <w:pStyle w:val="TableHeadings"/>
              <w:jc w:val="center"/>
            </w:pPr>
            <w:r>
              <w:t>Sending Data Service</w:t>
            </w:r>
          </w:p>
        </w:tc>
        <w:tc>
          <w:tcPr>
            <w:tcW w:w="2089" w:type="dxa"/>
            <w:shd w:val="clear" w:color="auto" w:fill="A6A6A6" w:themeFill="background1" w:themeFillShade="A6"/>
          </w:tcPr>
          <w:p w14:paraId="2AA4DEB3" w14:textId="77777777" w:rsidR="001325D6" w:rsidRPr="00FC5269" w:rsidRDefault="001325D6" w:rsidP="00D0240C">
            <w:pPr>
              <w:pStyle w:val="TableHeadings"/>
              <w:jc w:val="center"/>
            </w:pPr>
            <w:r>
              <w:t>Receiving Data Service</w:t>
            </w:r>
          </w:p>
        </w:tc>
      </w:tr>
      <w:tr w:rsidR="001325D6" w:rsidRPr="002C57DA" w14:paraId="6F038619" w14:textId="77777777" w:rsidTr="00D0240C">
        <w:tc>
          <w:tcPr>
            <w:tcW w:w="3031" w:type="dxa"/>
          </w:tcPr>
          <w:p w14:paraId="3149E264" w14:textId="77777777" w:rsidR="001325D6" w:rsidRPr="002C57DA" w:rsidRDefault="001325D6" w:rsidP="00D0240C">
            <w:pPr>
              <w:pStyle w:val="TableText-Left"/>
            </w:pPr>
            <w:r>
              <w:t>RegMgmtRequestNotification</w:t>
            </w:r>
            <w:r w:rsidRPr="002C57DA">
              <w:t xml:space="preserve"> </w:t>
            </w:r>
          </w:p>
        </w:tc>
        <w:tc>
          <w:tcPr>
            <w:tcW w:w="2521" w:type="dxa"/>
          </w:tcPr>
          <w:p w14:paraId="7A7EE4ED" w14:textId="77777777" w:rsidR="001325D6" w:rsidRPr="002C57DA" w:rsidRDefault="001325D6" w:rsidP="00D0240C">
            <w:pPr>
              <w:pStyle w:val="TableText-Left"/>
            </w:pPr>
            <w:r w:rsidRPr="002C57DA">
              <w:t>Inbound</w:t>
            </w:r>
          </w:p>
        </w:tc>
        <w:tc>
          <w:tcPr>
            <w:tcW w:w="2089" w:type="dxa"/>
          </w:tcPr>
          <w:p w14:paraId="712146B0" w14:textId="77777777" w:rsidR="001325D6" w:rsidRPr="002C57DA" w:rsidRDefault="001325D6" w:rsidP="00D0240C">
            <w:pPr>
              <w:pStyle w:val="TableText-Left"/>
              <w:jc w:val="center"/>
            </w:pPr>
            <w:r>
              <w:t>CSS</w:t>
            </w:r>
          </w:p>
        </w:tc>
        <w:tc>
          <w:tcPr>
            <w:tcW w:w="2089" w:type="dxa"/>
          </w:tcPr>
          <w:p w14:paraId="24A1D20A" w14:textId="77777777" w:rsidR="001325D6" w:rsidRDefault="001325D6" w:rsidP="00D0240C">
            <w:pPr>
              <w:pStyle w:val="TableText-Left"/>
              <w:jc w:val="center"/>
            </w:pPr>
            <w:r>
              <w:t>Supplier</w:t>
            </w:r>
          </w:p>
        </w:tc>
      </w:tr>
      <w:tr w:rsidR="001325D6" w:rsidRPr="002C57DA" w14:paraId="3D4DBEFF" w14:textId="77777777" w:rsidTr="00D0240C">
        <w:tc>
          <w:tcPr>
            <w:tcW w:w="3031" w:type="dxa"/>
          </w:tcPr>
          <w:p w14:paraId="753C5D52" w14:textId="77777777" w:rsidR="001325D6" w:rsidRPr="002C57DA" w:rsidRDefault="001325D6" w:rsidP="00D0240C">
            <w:pPr>
              <w:pStyle w:val="TableText-Left"/>
            </w:pPr>
            <w:r>
              <w:t>SwitchIntervention</w:t>
            </w:r>
          </w:p>
        </w:tc>
        <w:tc>
          <w:tcPr>
            <w:tcW w:w="2521" w:type="dxa"/>
          </w:tcPr>
          <w:p w14:paraId="27D516E4" w14:textId="77777777" w:rsidR="001325D6" w:rsidRPr="002C57DA" w:rsidRDefault="001325D6" w:rsidP="00D0240C">
            <w:pPr>
              <w:pStyle w:val="TableText-Left"/>
            </w:pPr>
            <w:r>
              <w:t>Outbound</w:t>
            </w:r>
          </w:p>
        </w:tc>
        <w:tc>
          <w:tcPr>
            <w:tcW w:w="2089" w:type="dxa"/>
          </w:tcPr>
          <w:p w14:paraId="34DBE54C" w14:textId="77777777" w:rsidR="001325D6" w:rsidRPr="002C57DA" w:rsidRDefault="001325D6" w:rsidP="00D0240C">
            <w:pPr>
              <w:pStyle w:val="TableText-Left"/>
              <w:jc w:val="center"/>
            </w:pPr>
            <w:r>
              <w:t>Supplier</w:t>
            </w:r>
          </w:p>
        </w:tc>
        <w:tc>
          <w:tcPr>
            <w:tcW w:w="2089" w:type="dxa"/>
          </w:tcPr>
          <w:p w14:paraId="72F85E7C" w14:textId="77777777" w:rsidR="001325D6" w:rsidRDefault="001325D6" w:rsidP="00D0240C">
            <w:pPr>
              <w:pStyle w:val="TableText-Left"/>
              <w:jc w:val="center"/>
            </w:pPr>
            <w:r>
              <w:t>CSS</w:t>
            </w:r>
          </w:p>
        </w:tc>
      </w:tr>
      <w:tr w:rsidR="001325D6" w:rsidRPr="002C57DA" w14:paraId="63EF37F2" w14:textId="77777777" w:rsidTr="00D0240C">
        <w:tc>
          <w:tcPr>
            <w:tcW w:w="3031" w:type="dxa"/>
          </w:tcPr>
          <w:p w14:paraId="6AA51187" w14:textId="77777777" w:rsidR="001325D6" w:rsidRPr="00294C85" w:rsidRDefault="001325D6" w:rsidP="00D0240C">
            <w:pPr>
              <w:pStyle w:val="TableText-Left"/>
            </w:pPr>
            <w:r w:rsidRPr="00294C85">
              <w:t>InvitationToIntervene</w:t>
            </w:r>
          </w:p>
        </w:tc>
        <w:tc>
          <w:tcPr>
            <w:tcW w:w="2521" w:type="dxa"/>
          </w:tcPr>
          <w:p w14:paraId="599E6087" w14:textId="77777777" w:rsidR="001325D6" w:rsidRPr="00294C85" w:rsidRDefault="001325D6" w:rsidP="00D0240C">
            <w:pPr>
              <w:pStyle w:val="TableText-Left"/>
            </w:pPr>
            <w:r w:rsidRPr="00294C85">
              <w:t>Inbound</w:t>
            </w:r>
          </w:p>
        </w:tc>
        <w:tc>
          <w:tcPr>
            <w:tcW w:w="2089" w:type="dxa"/>
          </w:tcPr>
          <w:p w14:paraId="2BE9F7E1" w14:textId="77777777" w:rsidR="001325D6" w:rsidRPr="002C57DA" w:rsidRDefault="001325D6" w:rsidP="00D0240C">
            <w:pPr>
              <w:pStyle w:val="TableText-Left"/>
              <w:jc w:val="center"/>
            </w:pPr>
            <w:r w:rsidRPr="00294C85">
              <w:t>CSS</w:t>
            </w:r>
          </w:p>
        </w:tc>
        <w:tc>
          <w:tcPr>
            <w:tcW w:w="2089" w:type="dxa"/>
          </w:tcPr>
          <w:p w14:paraId="49D74E9A" w14:textId="77777777" w:rsidR="001325D6" w:rsidRPr="00294C85" w:rsidRDefault="001325D6" w:rsidP="00D0240C">
            <w:pPr>
              <w:pStyle w:val="TableText-Left"/>
              <w:jc w:val="center"/>
            </w:pPr>
            <w:r>
              <w:t>Supplier</w:t>
            </w:r>
          </w:p>
        </w:tc>
      </w:tr>
      <w:tr w:rsidR="001325D6" w:rsidRPr="002C57DA" w14:paraId="726C70E8" w14:textId="77777777" w:rsidTr="00D0240C">
        <w:tc>
          <w:tcPr>
            <w:tcW w:w="3031" w:type="dxa"/>
          </w:tcPr>
          <w:p w14:paraId="6B421C1F" w14:textId="77777777" w:rsidR="001325D6" w:rsidRPr="002C57DA" w:rsidRDefault="001325D6" w:rsidP="00D0240C">
            <w:pPr>
              <w:pStyle w:val="TableText-Left"/>
            </w:pPr>
            <w:r>
              <w:t>RegMgmtRequestSubmission</w:t>
            </w:r>
          </w:p>
        </w:tc>
        <w:tc>
          <w:tcPr>
            <w:tcW w:w="2521" w:type="dxa"/>
          </w:tcPr>
          <w:p w14:paraId="623DCFF7" w14:textId="77777777" w:rsidR="001325D6" w:rsidRPr="002C57DA" w:rsidRDefault="001325D6" w:rsidP="00D0240C">
            <w:pPr>
              <w:pStyle w:val="TableText-Left"/>
            </w:pPr>
            <w:r w:rsidRPr="002C57DA">
              <w:t>Outbound</w:t>
            </w:r>
          </w:p>
        </w:tc>
        <w:tc>
          <w:tcPr>
            <w:tcW w:w="2089" w:type="dxa"/>
          </w:tcPr>
          <w:p w14:paraId="78601690" w14:textId="77777777" w:rsidR="001325D6" w:rsidRPr="002C57DA" w:rsidRDefault="001325D6" w:rsidP="00D0240C">
            <w:pPr>
              <w:pStyle w:val="TableText-Left"/>
              <w:jc w:val="center"/>
            </w:pPr>
            <w:r>
              <w:t>Supplier</w:t>
            </w:r>
          </w:p>
        </w:tc>
        <w:tc>
          <w:tcPr>
            <w:tcW w:w="2089" w:type="dxa"/>
          </w:tcPr>
          <w:p w14:paraId="194E785E" w14:textId="77777777" w:rsidR="001325D6" w:rsidRDefault="001325D6" w:rsidP="00D0240C">
            <w:pPr>
              <w:pStyle w:val="TableText-Left"/>
              <w:jc w:val="center"/>
            </w:pPr>
            <w:r>
              <w:t>CSS</w:t>
            </w:r>
          </w:p>
        </w:tc>
      </w:tr>
      <w:tr w:rsidR="001325D6" w:rsidRPr="002C57DA" w14:paraId="1639C774" w14:textId="77777777" w:rsidTr="00D0240C">
        <w:tc>
          <w:tcPr>
            <w:tcW w:w="3031" w:type="dxa"/>
          </w:tcPr>
          <w:p w14:paraId="45346E6A" w14:textId="30432AF6" w:rsidR="001325D6" w:rsidRDefault="001325D6" w:rsidP="00D0240C">
            <w:pPr>
              <w:pStyle w:val="TableText-Left"/>
            </w:pPr>
            <w:r>
              <w:t>SwitchingDomainData</w:t>
            </w:r>
            <w:r w:rsidR="00554FBF">
              <w:rPr>
                <w:rStyle w:val="FootnoteReference"/>
              </w:rPr>
              <w:footnoteReference w:id="11"/>
            </w:r>
          </w:p>
        </w:tc>
        <w:tc>
          <w:tcPr>
            <w:tcW w:w="2521" w:type="dxa"/>
          </w:tcPr>
          <w:p w14:paraId="077CB559" w14:textId="77777777" w:rsidR="001325D6" w:rsidRPr="002C57DA" w:rsidRDefault="001325D6" w:rsidP="00D0240C">
            <w:pPr>
              <w:pStyle w:val="TableText-Left"/>
            </w:pPr>
            <w:r>
              <w:t>Inbound</w:t>
            </w:r>
          </w:p>
        </w:tc>
        <w:tc>
          <w:tcPr>
            <w:tcW w:w="2089" w:type="dxa"/>
          </w:tcPr>
          <w:p w14:paraId="5645CCD4" w14:textId="77777777" w:rsidR="001325D6" w:rsidRDefault="001325D6" w:rsidP="00D0240C">
            <w:pPr>
              <w:pStyle w:val="TableText-Left"/>
              <w:jc w:val="center"/>
            </w:pPr>
            <w:r>
              <w:t>Switching Domain Data Service</w:t>
            </w:r>
          </w:p>
        </w:tc>
        <w:tc>
          <w:tcPr>
            <w:tcW w:w="2089" w:type="dxa"/>
          </w:tcPr>
          <w:p w14:paraId="4ECFD561" w14:textId="77777777" w:rsidR="001325D6" w:rsidRDefault="001325D6" w:rsidP="00D0240C">
            <w:pPr>
              <w:pStyle w:val="TableText-Left"/>
              <w:jc w:val="center"/>
            </w:pPr>
            <w:r>
              <w:t>Supplier</w:t>
            </w:r>
          </w:p>
        </w:tc>
      </w:tr>
    </w:tbl>
    <w:p w14:paraId="41A55F1E" w14:textId="77777777" w:rsidR="001325D6" w:rsidRDefault="001325D6" w:rsidP="001325D6">
      <w:pPr>
        <w:pStyle w:val="Paragrapgh"/>
      </w:pPr>
      <w:r>
        <w:t>These interfaces are shown in the next diagram:</w:t>
      </w:r>
    </w:p>
    <w:p w14:paraId="003EE1A9" w14:textId="77777777" w:rsidR="001325D6" w:rsidRDefault="001325D6" w:rsidP="001325D6">
      <w:pPr>
        <w:pStyle w:val="BodyTextNormal"/>
        <w:jc w:val="center"/>
      </w:pPr>
      <w:r>
        <w:rPr>
          <w:noProof/>
          <w:lang w:eastAsia="en-GB"/>
        </w:rPr>
        <w:drawing>
          <wp:inline distT="0" distB="0" distL="0" distR="0" wp14:anchorId="1A274AA3" wp14:editId="7066FCAF">
            <wp:extent cx="6184900" cy="6427470"/>
            <wp:effectExtent l="0" t="0" r="635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E2E SA - CSS to Suppliers - Figure 3.gif"/>
                    <pic:cNvPicPr/>
                  </pic:nvPicPr>
                  <pic:blipFill>
                    <a:blip r:embed="rId27">
                      <a:extLst>
                        <a:ext uri="{28A0092B-C50C-407E-A947-70E740481C1C}">
                          <a14:useLocalDpi xmlns:a14="http://schemas.microsoft.com/office/drawing/2010/main" val="0"/>
                        </a:ext>
                      </a:extLst>
                    </a:blip>
                    <a:stretch>
                      <a:fillRect/>
                    </a:stretch>
                  </pic:blipFill>
                  <pic:spPr>
                    <a:xfrm>
                      <a:off x="0" y="0"/>
                      <a:ext cx="6184900" cy="6427470"/>
                    </a:xfrm>
                    <a:prstGeom prst="rect">
                      <a:avLst/>
                    </a:prstGeom>
                  </pic:spPr>
                </pic:pic>
              </a:graphicData>
            </a:graphic>
          </wp:inline>
        </w:drawing>
      </w:r>
    </w:p>
    <w:p w14:paraId="0763C91E" w14:textId="153486FA" w:rsidR="001325D6" w:rsidRPr="00A72CB6" w:rsidRDefault="001325D6" w:rsidP="001325D6">
      <w:pPr>
        <w:pStyle w:val="Caption"/>
      </w:pPr>
      <w:r w:rsidRPr="00A72CB6">
        <w:t xml:space="preserve">Figure </w:t>
      </w:r>
      <w:r w:rsidR="00112F53">
        <w:rPr>
          <w:noProof/>
        </w:rPr>
        <w:fldChar w:fldCharType="begin"/>
      </w:r>
      <w:r w:rsidR="00112F53">
        <w:rPr>
          <w:noProof/>
        </w:rPr>
        <w:instrText xml:space="preserve"> SEQ Figure \* ARABIC </w:instrText>
      </w:r>
      <w:r w:rsidR="00112F53">
        <w:rPr>
          <w:noProof/>
        </w:rPr>
        <w:fldChar w:fldCharType="separate"/>
      </w:r>
      <w:r w:rsidR="005D4843">
        <w:rPr>
          <w:noProof/>
        </w:rPr>
        <w:t>8</w:t>
      </w:r>
      <w:r w:rsidR="00112F53">
        <w:rPr>
          <w:noProof/>
        </w:rPr>
        <w:fldChar w:fldCharType="end"/>
      </w:r>
      <w:r w:rsidRPr="00A72CB6">
        <w:t xml:space="preserve"> </w:t>
      </w:r>
      <w:r>
        <w:t xml:space="preserve">– New/Changed </w:t>
      </w:r>
      <w:r w:rsidRPr="00A72CB6">
        <w:t xml:space="preserve">Interface between Supplier and </w:t>
      </w:r>
      <w:r>
        <w:t>CSS</w:t>
      </w:r>
    </w:p>
    <w:p w14:paraId="771C085B" w14:textId="713162E5" w:rsidR="001325D6" w:rsidRDefault="001325D6" w:rsidP="00F73DBE">
      <w:pPr>
        <w:pStyle w:val="Heading3"/>
      </w:pPr>
      <w:bookmarkStart w:id="88" w:name="_Toc494379471"/>
      <w:bookmarkStart w:id="89" w:name="_Toc505257231"/>
      <w:bookmarkStart w:id="90" w:name="_Toc505689959"/>
      <w:bookmarkStart w:id="91" w:name="_Toc9934745"/>
      <w:bookmarkEnd w:id="87"/>
      <w:r w:rsidRPr="00890F09">
        <w:t>Shipper</w:t>
      </w:r>
      <w:r w:rsidR="00F933FE">
        <w:t xml:space="preserve"> Data Service</w:t>
      </w:r>
      <w:bookmarkEnd w:id="88"/>
      <w:bookmarkEnd w:id="89"/>
      <w:bookmarkEnd w:id="90"/>
      <w:bookmarkEnd w:id="91"/>
    </w:p>
    <w:p w14:paraId="09798BA4" w14:textId="77777777" w:rsidR="001325D6" w:rsidRDefault="001325D6" w:rsidP="001325D6">
      <w:pPr>
        <w:pStyle w:val="Paragrapgh"/>
      </w:pPr>
      <w:r>
        <w:t>Under the As-Is Switching Arrangements, responsibility for the Gas switching process is led by Shippers. However, harmonisation of Switching Arrangements across Gas and Electricity means that this will be a Supplier led process under the arrangements. There will be changes to the process by which Shippers get transportation quotes from Xoserve.</w:t>
      </w:r>
    </w:p>
    <w:p w14:paraId="16EEBA5E" w14:textId="3EA5FE59" w:rsidR="001325D6" w:rsidRDefault="001325D6" w:rsidP="001325D6">
      <w:pPr>
        <w:pStyle w:val="Paragrapgh"/>
      </w:pPr>
      <w:r>
        <w:t xml:space="preserve">Consequently, in the new </w:t>
      </w:r>
      <w:r w:rsidR="00FC1537">
        <w:t>Switching</w:t>
      </w:r>
      <w:r>
        <w:t xml:space="preserve"> </w:t>
      </w:r>
      <w:r w:rsidR="00FC1537">
        <w:t>A</w:t>
      </w:r>
      <w:r>
        <w:t>rrangements, Shippers will only receive notifications from CSS relating to the changing status of Switch Requests</w:t>
      </w:r>
      <w:r w:rsidRPr="0076041E">
        <w:t xml:space="preserve"> </w:t>
      </w:r>
      <w:r>
        <w:t xml:space="preserve">submitted by Suppliers. Please refer to the </w:t>
      </w:r>
      <w:hyperlink w:anchor="_Interfaces" w:history="1">
        <w:r w:rsidRPr="00B57B39">
          <w:rPr>
            <w:rStyle w:val="Hyperlink"/>
            <w:sz w:val="20"/>
          </w:rPr>
          <w:t>Interfaces</w:t>
        </w:r>
      </w:hyperlink>
      <w:r>
        <w:t xml:space="preserve"> section for a list of Notification types issued by CSS.</w:t>
      </w:r>
    </w:p>
    <w:p w14:paraId="5F706CEE" w14:textId="77777777" w:rsidR="001325D6" w:rsidRDefault="001325D6" w:rsidP="001325D6">
      <w:pPr>
        <w:pStyle w:val="Paragrapgh"/>
      </w:pPr>
      <w:r>
        <w:t>The new industry business processes for Shippers, and interaction sequence diagrams describing their involvement in these processes, are defined in the Switching Design Repository (ABACUS).</w:t>
      </w:r>
    </w:p>
    <w:p w14:paraId="770FDCEB" w14:textId="77777777" w:rsidR="001325D6" w:rsidRDefault="001325D6" w:rsidP="001325D6">
      <w:pPr>
        <w:pStyle w:val="Heading4"/>
      </w:pPr>
      <w:r>
        <w:t xml:space="preserve">Impact </w:t>
      </w:r>
      <w:r w:rsidRPr="00890F09">
        <w:t>Summary</w:t>
      </w:r>
    </w:p>
    <w:p w14:paraId="369B2A3E" w14:textId="77777777" w:rsidR="001325D6" w:rsidRPr="0035188E" w:rsidRDefault="001325D6" w:rsidP="001325D6">
      <w:pPr>
        <w:pStyle w:val="Paragrapgh"/>
      </w:pPr>
      <w:bookmarkStart w:id="92" w:name="_Hlk496860241"/>
      <w:r w:rsidRPr="0035188E">
        <w:t xml:space="preserve">The following </w:t>
      </w:r>
      <w:r>
        <w:t xml:space="preserve">table provides a summary of the </w:t>
      </w:r>
      <w:r w:rsidRPr="0035188E">
        <w:t>new</w:t>
      </w:r>
      <w:r>
        <w:t xml:space="preserve"> CSS</w:t>
      </w:r>
      <w:r w:rsidRPr="0035188E">
        <w:t xml:space="preserve"> </w:t>
      </w:r>
      <w:r>
        <w:t xml:space="preserve">(including Switching Domain Data Service) </w:t>
      </w:r>
      <w:r w:rsidRPr="0035188E">
        <w:t>interface</w:t>
      </w:r>
      <w:r>
        <w:t>s that are</w:t>
      </w:r>
      <w:r w:rsidRPr="0035188E">
        <w:t xml:space="preserve"> specified for </w:t>
      </w:r>
      <w:r>
        <w:t>the Shipper</w:t>
      </w:r>
      <w:r w:rsidRPr="0035188E">
        <w:t xml:space="preserve"> Data Service in ABACUS:</w:t>
      </w:r>
    </w:p>
    <w:tbl>
      <w:tblPr>
        <w:tblStyle w:val="TableGrid"/>
        <w:tblW w:w="0" w:type="auto"/>
        <w:tblLook w:val="04A0" w:firstRow="1" w:lastRow="0" w:firstColumn="1" w:lastColumn="0" w:noHBand="0" w:noVBand="1"/>
      </w:tblPr>
      <w:tblGrid>
        <w:gridCol w:w="2976"/>
        <w:gridCol w:w="2510"/>
        <w:gridCol w:w="2122"/>
        <w:gridCol w:w="2122"/>
      </w:tblGrid>
      <w:tr w:rsidR="001325D6" w:rsidRPr="00F26F35" w14:paraId="6222CE7E" w14:textId="77777777" w:rsidTr="00D0240C">
        <w:tc>
          <w:tcPr>
            <w:tcW w:w="2976" w:type="dxa"/>
            <w:shd w:val="clear" w:color="auto" w:fill="A6A6A6" w:themeFill="background1" w:themeFillShade="A6"/>
          </w:tcPr>
          <w:p w14:paraId="79B06490" w14:textId="77777777" w:rsidR="001325D6" w:rsidRPr="00F26F35" w:rsidRDefault="001325D6" w:rsidP="00D0240C">
            <w:pPr>
              <w:pStyle w:val="TableHeadings"/>
            </w:pPr>
            <w:bookmarkStart w:id="93" w:name="_Hlk496859541"/>
            <w:bookmarkEnd w:id="92"/>
            <w:r w:rsidRPr="00F26F35">
              <w:t>Interface</w:t>
            </w:r>
            <w:r>
              <w:t xml:space="preserve"> Name</w:t>
            </w:r>
          </w:p>
        </w:tc>
        <w:tc>
          <w:tcPr>
            <w:tcW w:w="2510" w:type="dxa"/>
            <w:shd w:val="clear" w:color="auto" w:fill="A6A6A6" w:themeFill="background1" w:themeFillShade="A6"/>
          </w:tcPr>
          <w:p w14:paraId="7F0ED28F" w14:textId="77777777" w:rsidR="001325D6" w:rsidRPr="00F26F35" w:rsidRDefault="001325D6" w:rsidP="00D0240C">
            <w:pPr>
              <w:pStyle w:val="TableHeadings"/>
            </w:pPr>
            <w:r>
              <w:t>Directionality</w:t>
            </w:r>
          </w:p>
        </w:tc>
        <w:tc>
          <w:tcPr>
            <w:tcW w:w="2122" w:type="dxa"/>
            <w:shd w:val="clear" w:color="auto" w:fill="A6A6A6" w:themeFill="background1" w:themeFillShade="A6"/>
          </w:tcPr>
          <w:p w14:paraId="76B0A7AA" w14:textId="77777777" w:rsidR="001325D6" w:rsidRPr="00F26F35" w:rsidRDefault="001325D6" w:rsidP="00D0240C">
            <w:pPr>
              <w:pStyle w:val="TableHeadings"/>
              <w:jc w:val="center"/>
            </w:pPr>
            <w:r>
              <w:t>Sending Data Service</w:t>
            </w:r>
          </w:p>
        </w:tc>
        <w:tc>
          <w:tcPr>
            <w:tcW w:w="2122" w:type="dxa"/>
            <w:shd w:val="clear" w:color="auto" w:fill="A6A6A6" w:themeFill="background1" w:themeFillShade="A6"/>
          </w:tcPr>
          <w:p w14:paraId="721D1E5D" w14:textId="77777777" w:rsidR="001325D6" w:rsidRPr="00FC5269" w:rsidRDefault="001325D6" w:rsidP="00D0240C">
            <w:pPr>
              <w:pStyle w:val="TableHeadings"/>
              <w:jc w:val="center"/>
            </w:pPr>
            <w:r>
              <w:t>Receiving Data Service</w:t>
            </w:r>
          </w:p>
        </w:tc>
      </w:tr>
      <w:bookmarkEnd w:id="93"/>
      <w:tr w:rsidR="001325D6" w:rsidRPr="002C57DA" w14:paraId="16F364BD" w14:textId="77777777" w:rsidTr="00D0240C">
        <w:tc>
          <w:tcPr>
            <w:tcW w:w="2976" w:type="dxa"/>
          </w:tcPr>
          <w:p w14:paraId="6C58A996" w14:textId="77777777" w:rsidR="001325D6" w:rsidRPr="002C57DA" w:rsidRDefault="001325D6" w:rsidP="00D0240C">
            <w:pPr>
              <w:pStyle w:val="TableText-Left"/>
            </w:pPr>
            <w:r>
              <w:t>RegMgmtRequestNotification</w:t>
            </w:r>
            <w:r w:rsidRPr="002C57DA">
              <w:t xml:space="preserve"> </w:t>
            </w:r>
          </w:p>
        </w:tc>
        <w:tc>
          <w:tcPr>
            <w:tcW w:w="2510" w:type="dxa"/>
          </w:tcPr>
          <w:p w14:paraId="206EDC53" w14:textId="77777777" w:rsidR="001325D6" w:rsidRPr="002C57DA" w:rsidRDefault="001325D6" w:rsidP="00D0240C">
            <w:pPr>
              <w:pStyle w:val="TableText-Left"/>
            </w:pPr>
            <w:r w:rsidRPr="002C57DA">
              <w:t>Inbound</w:t>
            </w:r>
          </w:p>
        </w:tc>
        <w:tc>
          <w:tcPr>
            <w:tcW w:w="2122" w:type="dxa"/>
          </w:tcPr>
          <w:p w14:paraId="5807274E" w14:textId="77777777" w:rsidR="001325D6" w:rsidRPr="002C57DA" w:rsidRDefault="001325D6" w:rsidP="00D0240C">
            <w:pPr>
              <w:pStyle w:val="TableText-Left"/>
              <w:jc w:val="center"/>
            </w:pPr>
            <w:r>
              <w:t>CSS</w:t>
            </w:r>
          </w:p>
        </w:tc>
        <w:tc>
          <w:tcPr>
            <w:tcW w:w="2122" w:type="dxa"/>
          </w:tcPr>
          <w:p w14:paraId="257BBC4C" w14:textId="77777777" w:rsidR="001325D6" w:rsidRDefault="001325D6" w:rsidP="00D0240C">
            <w:pPr>
              <w:pStyle w:val="TableText-Left"/>
              <w:jc w:val="center"/>
            </w:pPr>
            <w:r>
              <w:t>Shipper</w:t>
            </w:r>
          </w:p>
        </w:tc>
      </w:tr>
      <w:tr w:rsidR="001325D6" w:rsidRPr="002C57DA" w14:paraId="01309851" w14:textId="77777777" w:rsidTr="00D0240C">
        <w:tc>
          <w:tcPr>
            <w:tcW w:w="2976" w:type="dxa"/>
          </w:tcPr>
          <w:p w14:paraId="126C51D2" w14:textId="3DAEC2DD" w:rsidR="001325D6" w:rsidRDefault="001325D6" w:rsidP="00D0240C">
            <w:pPr>
              <w:pStyle w:val="TableText-Left"/>
            </w:pPr>
            <w:r>
              <w:t>SwitchingDomainData</w:t>
            </w:r>
            <w:r w:rsidR="00554FBF">
              <w:rPr>
                <w:rStyle w:val="FootnoteReference"/>
              </w:rPr>
              <w:footnoteReference w:id="12"/>
            </w:r>
          </w:p>
        </w:tc>
        <w:tc>
          <w:tcPr>
            <w:tcW w:w="2510" w:type="dxa"/>
          </w:tcPr>
          <w:p w14:paraId="608BB0BD" w14:textId="77777777" w:rsidR="001325D6" w:rsidRPr="002C57DA" w:rsidRDefault="001325D6" w:rsidP="00D0240C">
            <w:pPr>
              <w:pStyle w:val="TableText-Left"/>
            </w:pPr>
            <w:r>
              <w:t>Inbound</w:t>
            </w:r>
          </w:p>
        </w:tc>
        <w:tc>
          <w:tcPr>
            <w:tcW w:w="2122" w:type="dxa"/>
          </w:tcPr>
          <w:p w14:paraId="6A083F7D" w14:textId="77777777" w:rsidR="001325D6" w:rsidRDefault="001325D6" w:rsidP="00D0240C">
            <w:pPr>
              <w:pStyle w:val="TableText-Left"/>
              <w:jc w:val="center"/>
            </w:pPr>
            <w:r>
              <w:t>Switching Domain Data Service</w:t>
            </w:r>
          </w:p>
        </w:tc>
        <w:tc>
          <w:tcPr>
            <w:tcW w:w="2122" w:type="dxa"/>
          </w:tcPr>
          <w:p w14:paraId="59788FC7" w14:textId="77777777" w:rsidR="001325D6" w:rsidRDefault="001325D6" w:rsidP="00D0240C">
            <w:pPr>
              <w:pStyle w:val="TableText-Left"/>
              <w:jc w:val="center"/>
            </w:pPr>
            <w:r>
              <w:t>Shipper</w:t>
            </w:r>
          </w:p>
        </w:tc>
      </w:tr>
    </w:tbl>
    <w:p w14:paraId="405018CB" w14:textId="77777777" w:rsidR="001325D6" w:rsidRDefault="001325D6" w:rsidP="001325D6">
      <w:pPr>
        <w:pStyle w:val="Paragrapgh"/>
      </w:pPr>
      <w:r>
        <w:t>These interfaces are shown in the next diagram:</w:t>
      </w:r>
    </w:p>
    <w:p w14:paraId="5BD3F485" w14:textId="77777777" w:rsidR="001325D6" w:rsidRDefault="001325D6" w:rsidP="001325D6">
      <w:pPr>
        <w:pStyle w:val="BodyTextNormal"/>
      </w:pPr>
      <w:r>
        <w:rPr>
          <w:noProof/>
          <w:lang w:eastAsia="en-GB"/>
        </w:rPr>
        <w:drawing>
          <wp:inline distT="0" distB="0" distL="0" distR="0" wp14:anchorId="74D82516" wp14:editId="2313C058">
            <wp:extent cx="6184900" cy="5121910"/>
            <wp:effectExtent l="0" t="0" r="6350" b="254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E2E SA - CSS to Shippers - Figure 4.gif"/>
                    <pic:cNvPicPr/>
                  </pic:nvPicPr>
                  <pic:blipFill>
                    <a:blip r:embed="rId28">
                      <a:extLst>
                        <a:ext uri="{28A0092B-C50C-407E-A947-70E740481C1C}">
                          <a14:useLocalDpi xmlns:a14="http://schemas.microsoft.com/office/drawing/2010/main" val="0"/>
                        </a:ext>
                      </a:extLst>
                    </a:blip>
                    <a:stretch>
                      <a:fillRect/>
                    </a:stretch>
                  </pic:blipFill>
                  <pic:spPr>
                    <a:xfrm>
                      <a:off x="0" y="0"/>
                      <a:ext cx="6184900" cy="5121910"/>
                    </a:xfrm>
                    <a:prstGeom prst="rect">
                      <a:avLst/>
                    </a:prstGeom>
                  </pic:spPr>
                </pic:pic>
              </a:graphicData>
            </a:graphic>
          </wp:inline>
        </w:drawing>
      </w:r>
    </w:p>
    <w:p w14:paraId="23A4C451" w14:textId="16EDD678" w:rsidR="001325D6" w:rsidRPr="001325D6" w:rsidRDefault="001325D6" w:rsidP="0065787F">
      <w:pPr>
        <w:pStyle w:val="Caption"/>
      </w:pPr>
      <w:r w:rsidRPr="00A72CB6">
        <w:t xml:space="preserve">Figure </w:t>
      </w:r>
      <w:r w:rsidR="00112F53">
        <w:rPr>
          <w:noProof/>
        </w:rPr>
        <w:fldChar w:fldCharType="begin"/>
      </w:r>
      <w:r w:rsidR="00112F53">
        <w:rPr>
          <w:noProof/>
        </w:rPr>
        <w:instrText xml:space="preserve"> SEQ Figure \* ARABIC </w:instrText>
      </w:r>
      <w:r w:rsidR="00112F53">
        <w:rPr>
          <w:noProof/>
        </w:rPr>
        <w:fldChar w:fldCharType="separate"/>
      </w:r>
      <w:r w:rsidR="005D4843">
        <w:rPr>
          <w:noProof/>
        </w:rPr>
        <w:t>9</w:t>
      </w:r>
      <w:r w:rsidR="00112F53">
        <w:rPr>
          <w:noProof/>
        </w:rPr>
        <w:fldChar w:fldCharType="end"/>
      </w:r>
      <w:r w:rsidRPr="00A72CB6">
        <w:t xml:space="preserve"> </w:t>
      </w:r>
      <w:r>
        <w:t xml:space="preserve">– New/Changed </w:t>
      </w:r>
      <w:r w:rsidRPr="00A72CB6">
        <w:t xml:space="preserve">Interface between Shippers and </w:t>
      </w:r>
      <w:r>
        <w:t>CSS</w:t>
      </w:r>
    </w:p>
    <w:p w14:paraId="78BCC544" w14:textId="038B88EB" w:rsidR="001325D6" w:rsidRDefault="001325D6" w:rsidP="00F73DBE">
      <w:pPr>
        <w:pStyle w:val="Heading2"/>
      </w:pPr>
      <w:bookmarkStart w:id="94" w:name="_Toc9934746"/>
      <w:r>
        <w:t>Agents</w:t>
      </w:r>
      <w:bookmarkEnd w:id="94"/>
    </w:p>
    <w:p w14:paraId="3E6E992C" w14:textId="358BA4BB" w:rsidR="001325D6" w:rsidRDefault="00393B97" w:rsidP="00F73DBE">
      <w:pPr>
        <w:pStyle w:val="Heading3"/>
      </w:pPr>
      <w:bookmarkStart w:id="95" w:name="_Toc494379479"/>
      <w:bookmarkStart w:id="96" w:name="_Toc505257239"/>
      <w:bookmarkStart w:id="97" w:name="_Toc505689967"/>
      <w:bookmarkStart w:id="98" w:name="_Toc9934747"/>
      <w:r>
        <w:t>Data Collectors</w:t>
      </w:r>
      <w:r w:rsidR="001325D6">
        <w:t xml:space="preserve"> (DC)</w:t>
      </w:r>
      <w:bookmarkEnd w:id="95"/>
      <w:bookmarkEnd w:id="96"/>
      <w:bookmarkEnd w:id="97"/>
      <w:bookmarkEnd w:id="98"/>
    </w:p>
    <w:p w14:paraId="33F6FB2C" w14:textId="77777777" w:rsidR="001325D6" w:rsidRDefault="001325D6" w:rsidP="001325D6">
      <w:pPr>
        <w:pStyle w:val="Paragrapgh"/>
      </w:pPr>
      <w:r>
        <w:t>The Data Collection Service (DC) will require changes related to receiving new notifications related to switched registrations (i.e. switched electricity supplier). This new notification will be transferred through a new interface from CSS to DC services.</w:t>
      </w:r>
    </w:p>
    <w:p w14:paraId="250EA266" w14:textId="77777777" w:rsidR="001325D6" w:rsidRDefault="001325D6" w:rsidP="001325D6">
      <w:pPr>
        <w:pStyle w:val="Paragrapgh"/>
      </w:pPr>
      <w:r>
        <w:t>The new interface will provide the DC with Notifications from CSS related to changed registrations.</w:t>
      </w:r>
    </w:p>
    <w:p w14:paraId="3D78ED9C" w14:textId="77777777" w:rsidR="001325D6" w:rsidRDefault="001325D6" w:rsidP="001325D6">
      <w:pPr>
        <w:pStyle w:val="Paragrapgh"/>
      </w:pPr>
      <w:r>
        <w:t xml:space="preserve">The new industry business processes and interaction sequence diagrams describing the role of DC in these processes, are defined in the Switching Design Repository (ABACUS). </w:t>
      </w:r>
    </w:p>
    <w:p w14:paraId="6340493E" w14:textId="77777777" w:rsidR="001325D6" w:rsidRDefault="001325D6" w:rsidP="001325D6">
      <w:pPr>
        <w:pStyle w:val="Heading4"/>
      </w:pPr>
      <w:r>
        <w:t xml:space="preserve">Impact </w:t>
      </w:r>
      <w:r w:rsidRPr="00735003">
        <w:t>Summary</w:t>
      </w:r>
    </w:p>
    <w:p w14:paraId="3446CBFB" w14:textId="77777777" w:rsidR="001325D6" w:rsidRDefault="001325D6" w:rsidP="001325D6">
      <w:pPr>
        <w:pStyle w:val="Paragrapgh"/>
      </w:pPr>
      <w:r w:rsidRPr="0035188E">
        <w:t xml:space="preserve">The following </w:t>
      </w:r>
      <w:r>
        <w:t xml:space="preserve">table provides a summary of the </w:t>
      </w:r>
      <w:r w:rsidRPr="0035188E">
        <w:t xml:space="preserve">new </w:t>
      </w:r>
      <w:r>
        <w:t>CSS</w:t>
      </w:r>
      <w:r w:rsidRPr="0035188E">
        <w:t xml:space="preserve"> </w:t>
      </w:r>
      <w:r>
        <w:t xml:space="preserve">(including Switching Domain Data Service) </w:t>
      </w:r>
      <w:r w:rsidRPr="0035188E">
        <w:t>interface</w:t>
      </w:r>
      <w:r>
        <w:t>s that are</w:t>
      </w:r>
      <w:r w:rsidRPr="0035188E">
        <w:t xml:space="preserve"> specified for </w:t>
      </w:r>
      <w:r>
        <w:t>the Data Collection Service</w:t>
      </w:r>
      <w:r w:rsidRPr="0035188E">
        <w:t xml:space="preserve"> in ABACUS</w:t>
      </w:r>
      <w:r>
        <w:t>:</w:t>
      </w:r>
    </w:p>
    <w:tbl>
      <w:tblPr>
        <w:tblStyle w:val="TableGrid"/>
        <w:tblW w:w="0" w:type="auto"/>
        <w:tblLook w:val="04A0" w:firstRow="1" w:lastRow="0" w:firstColumn="1" w:lastColumn="0" w:noHBand="0" w:noVBand="1"/>
      </w:tblPr>
      <w:tblGrid>
        <w:gridCol w:w="2976"/>
        <w:gridCol w:w="2510"/>
        <w:gridCol w:w="2122"/>
        <w:gridCol w:w="2122"/>
      </w:tblGrid>
      <w:tr w:rsidR="001325D6" w:rsidRPr="00F26F35" w14:paraId="09E9CAF5" w14:textId="77777777" w:rsidTr="00D0240C">
        <w:tc>
          <w:tcPr>
            <w:tcW w:w="2976" w:type="dxa"/>
            <w:shd w:val="clear" w:color="auto" w:fill="A6A6A6" w:themeFill="background1" w:themeFillShade="A6"/>
          </w:tcPr>
          <w:p w14:paraId="1B0C2AB6" w14:textId="77777777" w:rsidR="001325D6" w:rsidRPr="00F26F35" w:rsidRDefault="001325D6" w:rsidP="00D0240C">
            <w:pPr>
              <w:pStyle w:val="TableHeadings"/>
            </w:pPr>
            <w:r w:rsidRPr="00F26F35">
              <w:t>Interface</w:t>
            </w:r>
            <w:r>
              <w:t xml:space="preserve"> Name</w:t>
            </w:r>
          </w:p>
        </w:tc>
        <w:tc>
          <w:tcPr>
            <w:tcW w:w="2510" w:type="dxa"/>
            <w:shd w:val="clear" w:color="auto" w:fill="A6A6A6" w:themeFill="background1" w:themeFillShade="A6"/>
          </w:tcPr>
          <w:p w14:paraId="3CCF4961" w14:textId="77777777" w:rsidR="001325D6" w:rsidRPr="00F26F35" w:rsidRDefault="001325D6" w:rsidP="00D0240C">
            <w:pPr>
              <w:pStyle w:val="TableHeadings"/>
            </w:pPr>
            <w:r>
              <w:t>Directionality</w:t>
            </w:r>
          </w:p>
        </w:tc>
        <w:tc>
          <w:tcPr>
            <w:tcW w:w="2122" w:type="dxa"/>
            <w:shd w:val="clear" w:color="auto" w:fill="A6A6A6" w:themeFill="background1" w:themeFillShade="A6"/>
          </w:tcPr>
          <w:p w14:paraId="773EF017" w14:textId="77777777" w:rsidR="001325D6" w:rsidRPr="00F26F35" w:rsidRDefault="001325D6" w:rsidP="00D0240C">
            <w:pPr>
              <w:pStyle w:val="TableHeadings"/>
              <w:jc w:val="center"/>
            </w:pPr>
            <w:r>
              <w:t>Sending Data Service</w:t>
            </w:r>
          </w:p>
        </w:tc>
        <w:tc>
          <w:tcPr>
            <w:tcW w:w="2122" w:type="dxa"/>
            <w:shd w:val="clear" w:color="auto" w:fill="A6A6A6" w:themeFill="background1" w:themeFillShade="A6"/>
          </w:tcPr>
          <w:p w14:paraId="448DAB1A" w14:textId="77777777" w:rsidR="001325D6" w:rsidRPr="00FC5269" w:rsidRDefault="001325D6" w:rsidP="00D0240C">
            <w:pPr>
              <w:pStyle w:val="TableHeadings"/>
              <w:jc w:val="center"/>
            </w:pPr>
            <w:r>
              <w:t>Receiving Data Service</w:t>
            </w:r>
          </w:p>
        </w:tc>
      </w:tr>
      <w:tr w:rsidR="001325D6" w:rsidRPr="002C57DA" w14:paraId="71AAECB9" w14:textId="77777777" w:rsidTr="00D0240C">
        <w:tc>
          <w:tcPr>
            <w:tcW w:w="2976" w:type="dxa"/>
          </w:tcPr>
          <w:p w14:paraId="691BC98E" w14:textId="77777777" w:rsidR="001325D6" w:rsidRPr="002C57DA" w:rsidRDefault="001325D6" w:rsidP="00D0240C">
            <w:pPr>
              <w:pStyle w:val="TableText-Left"/>
            </w:pPr>
            <w:r>
              <w:t>RegMgmtRequestNotification</w:t>
            </w:r>
            <w:r w:rsidRPr="002C57DA">
              <w:t xml:space="preserve"> </w:t>
            </w:r>
          </w:p>
        </w:tc>
        <w:tc>
          <w:tcPr>
            <w:tcW w:w="2510" w:type="dxa"/>
          </w:tcPr>
          <w:p w14:paraId="6A104166" w14:textId="77777777" w:rsidR="001325D6" w:rsidRPr="002C57DA" w:rsidRDefault="001325D6" w:rsidP="00D0240C">
            <w:pPr>
              <w:pStyle w:val="TableText-Left"/>
            </w:pPr>
            <w:r w:rsidRPr="002C57DA">
              <w:t>Inbound</w:t>
            </w:r>
          </w:p>
        </w:tc>
        <w:tc>
          <w:tcPr>
            <w:tcW w:w="2122" w:type="dxa"/>
          </w:tcPr>
          <w:p w14:paraId="0CA9C6B7" w14:textId="77777777" w:rsidR="001325D6" w:rsidRPr="002C57DA" w:rsidRDefault="001325D6" w:rsidP="00D0240C">
            <w:pPr>
              <w:pStyle w:val="TableText-Left"/>
              <w:jc w:val="center"/>
            </w:pPr>
            <w:r>
              <w:t>CSS</w:t>
            </w:r>
          </w:p>
        </w:tc>
        <w:tc>
          <w:tcPr>
            <w:tcW w:w="2122" w:type="dxa"/>
          </w:tcPr>
          <w:p w14:paraId="68391A18" w14:textId="77777777" w:rsidR="001325D6" w:rsidRDefault="001325D6" w:rsidP="00D0240C">
            <w:pPr>
              <w:pStyle w:val="TableText-Left"/>
              <w:jc w:val="center"/>
            </w:pPr>
            <w:r>
              <w:t>Data Collection Service</w:t>
            </w:r>
          </w:p>
        </w:tc>
      </w:tr>
      <w:tr w:rsidR="001325D6" w:rsidRPr="002C57DA" w14:paraId="17735E66" w14:textId="77777777" w:rsidTr="00D0240C">
        <w:tc>
          <w:tcPr>
            <w:tcW w:w="2976" w:type="dxa"/>
          </w:tcPr>
          <w:p w14:paraId="45486586" w14:textId="60E2AF1B" w:rsidR="001325D6" w:rsidRDefault="001325D6" w:rsidP="00D0240C">
            <w:pPr>
              <w:pStyle w:val="TableText-Left"/>
            </w:pPr>
            <w:r>
              <w:t>SwitchingDomainData</w:t>
            </w:r>
            <w:r w:rsidR="00210749">
              <w:rPr>
                <w:rStyle w:val="FootnoteReference"/>
              </w:rPr>
              <w:footnoteReference w:id="13"/>
            </w:r>
          </w:p>
        </w:tc>
        <w:tc>
          <w:tcPr>
            <w:tcW w:w="2510" w:type="dxa"/>
          </w:tcPr>
          <w:p w14:paraId="056BAA50" w14:textId="77777777" w:rsidR="001325D6" w:rsidRPr="002C57DA" w:rsidRDefault="001325D6" w:rsidP="00D0240C">
            <w:pPr>
              <w:pStyle w:val="TableText-Left"/>
            </w:pPr>
            <w:r>
              <w:t>Inbound</w:t>
            </w:r>
          </w:p>
        </w:tc>
        <w:tc>
          <w:tcPr>
            <w:tcW w:w="2122" w:type="dxa"/>
          </w:tcPr>
          <w:p w14:paraId="0E71705E" w14:textId="77777777" w:rsidR="001325D6" w:rsidRDefault="001325D6" w:rsidP="00D0240C">
            <w:pPr>
              <w:pStyle w:val="TableText-Left"/>
              <w:jc w:val="center"/>
            </w:pPr>
            <w:r>
              <w:t>Switching Domain Data Service</w:t>
            </w:r>
          </w:p>
        </w:tc>
        <w:tc>
          <w:tcPr>
            <w:tcW w:w="2122" w:type="dxa"/>
          </w:tcPr>
          <w:p w14:paraId="30F08D8E" w14:textId="77777777" w:rsidR="001325D6" w:rsidRDefault="001325D6" w:rsidP="00D0240C">
            <w:pPr>
              <w:pStyle w:val="TableText-Left"/>
              <w:jc w:val="center"/>
            </w:pPr>
            <w:r>
              <w:t>Data Collection Service</w:t>
            </w:r>
          </w:p>
        </w:tc>
      </w:tr>
    </w:tbl>
    <w:p w14:paraId="3FF9326A" w14:textId="77777777" w:rsidR="001325D6" w:rsidRDefault="001325D6" w:rsidP="001325D6">
      <w:pPr>
        <w:pStyle w:val="Paragrapgh"/>
      </w:pPr>
      <w:r>
        <w:t>These interfaces are shown in the next diagram:</w:t>
      </w:r>
    </w:p>
    <w:p w14:paraId="560FF1A9" w14:textId="77777777" w:rsidR="001325D6" w:rsidRDefault="001325D6" w:rsidP="001325D6">
      <w:pPr>
        <w:pStyle w:val="BodyTextNormal"/>
        <w:jc w:val="center"/>
      </w:pPr>
      <w:r>
        <w:rPr>
          <w:noProof/>
          <w:lang w:eastAsia="en-GB"/>
        </w:rPr>
        <w:drawing>
          <wp:inline distT="0" distB="0" distL="0" distR="0" wp14:anchorId="568D7156" wp14:editId="0B41C1C5">
            <wp:extent cx="6184900" cy="5407025"/>
            <wp:effectExtent l="0" t="0" r="635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E2E SA - CSS to DC Interface - Figure  12.gif"/>
                    <pic:cNvPicPr/>
                  </pic:nvPicPr>
                  <pic:blipFill>
                    <a:blip r:embed="rId29">
                      <a:extLst>
                        <a:ext uri="{28A0092B-C50C-407E-A947-70E740481C1C}">
                          <a14:useLocalDpi xmlns:a14="http://schemas.microsoft.com/office/drawing/2010/main" val="0"/>
                        </a:ext>
                      </a:extLst>
                    </a:blip>
                    <a:stretch>
                      <a:fillRect/>
                    </a:stretch>
                  </pic:blipFill>
                  <pic:spPr>
                    <a:xfrm>
                      <a:off x="0" y="0"/>
                      <a:ext cx="6184900" cy="5407025"/>
                    </a:xfrm>
                    <a:prstGeom prst="rect">
                      <a:avLst/>
                    </a:prstGeom>
                  </pic:spPr>
                </pic:pic>
              </a:graphicData>
            </a:graphic>
          </wp:inline>
        </w:drawing>
      </w:r>
    </w:p>
    <w:p w14:paraId="3CB6C27A" w14:textId="232B9567" w:rsidR="001325D6" w:rsidRPr="00A72CB6" w:rsidRDefault="001325D6" w:rsidP="001325D6">
      <w:pPr>
        <w:pStyle w:val="Caption"/>
      </w:pPr>
      <w:r w:rsidRPr="00A72CB6">
        <w:t xml:space="preserve">Figure </w:t>
      </w:r>
      <w:r w:rsidR="00112F53">
        <w:rPr>
          <w:noProof/>
        </w:rPr>
        <w:fldChar w:fldCharType="begin"/>
      </w:r>
      <w:r w:rsidR="00112F53">
        <w:rPr>
          <w:noProof/>
        </w:rPr>
        <w:instrText xml:space="preserve"> SEQ Figure \* ARABIC </w:instrText>
      </w:r>
      <w:r w:rsidR="00112F53">
        <w:rPr>
          <w:noProof/>
        </w:rPr>
        <w:fldChar w:fldCharType="separate"/>
      </w:r>
      <w:r w:rsidR="005D4843">
        <w:rPr>
          <w:noProof/>
        </w:rPr>
        <w:t>10</w:t>
      </w:r>
      <w:r w:rsidR="00112F53">
        <w:rPr>
          <w:noProof/>
        </w:rPr>
        <w:fldChar w:fldCharType="end"/>
      </w:r>
      <w:r w:rsidRPr="00A72CB6">
        <w:t xml:space="preserve"> </w:t>
      </w:r>
      <w:r>
        <w:t xml:space="preserve">– New/Changed </w:t>
      </w:r>
      <w:r w:rsidRPr="00A72CB6">
        <w:t xml:space="preserve">Interface </w:t>
      </w:r>
      <w:r>
        <w:t xml:space="preserve">for the </w:t>
      </w:r>
      <w:r w:rsidRPr="00A72CB6">
        <w:t>D</w:t>
      </w:r>
      <w:r w:rsidR="00EE5C06">
        <w:t>ata</w:t>
      </w:r>
      <w:r w:rsidRPr="00A72CB6">
        <w:t xml:space="preserve"> </w:t>
      </w:r>
      <w:r>
        <w:t>Collection Service</w:t>
      </w:r>
    </w:p>
    <w:p w14:paraId="4A4F933E" w14:textId="0D7CAF6F" w:rsidR="001325D6" w:rsidRDefault="001325D6" w:rsidP="00F73DBE">
      <w:pPr>
        <w:pStyle w:val="Heading3"/>
      </w:pPr>
      <w:bookmarkStart w:id="99" w:name="_Toc491332318"/>
      <w:bookmarkStart w:id="100" w:name="_Toc491332414"/>
      <w:bookmarkStart w:id="101" w:name="_Toc494379480"/>
      <w:bookmarkStart w:id="102" w:name="_Toc505257240"/>
      <w:bookmarkStart w:id="103" w:name="_Toc505689968"/>
      <w:bookmarkStart w:id="104" w:name="_Toc9934748"/>
      <w:bookmarkStart w:id="105" w:name="_Hlk493233574"/>
      <w:r>
        <w:t>Data A</w:t>
      </w:r>
      <w:bookmarkEnd w:id="99"/>
      <w:bookmarkEnd w:id="100"/>
      <w:r>
        <w:t>ggregat</w:t>
      </w:r>
      <w:bookmarkEnd w:id="101"/>
      <w:bookmarkEnd w:id="102"/>
      <w:bookmarkEnd w:id="103"/>
      <w:r w:rsidR="00393B97">
        <w:t>ors</w:t>
      </w:r>
      <w:bookmarkEnd w:id="104"/>
    </w:p>
    <w:p w14:paraId="69D091F4" w14:textId="77777777" w:rsidR="001325D6" w:rsidRDefault="001325D6" w:rsidP="001325D6">
      <w:pPr>
        <w:pStyle w:val="Paragrapgh"/>
      </w:pPr>
      <w:r>
        <w:t>Data Aggregators (DAs) may choose to implement changes to their systems related to receiving new switched registration notifications (i.e. switched electricity supplier). This new notification will be transferred through a new interface from CSS to the Data Aggregation Service.</w:t>
      </w:r>
    </w:p>
    <w:p w14:paraId="017C3515" w14:textId="77777777" w:rsidR="001325D6" w:rsidRDefault="001325D6" w:rsidP="001325D6">
      <w:pPr>
        <w:pStyle w:val="Paragrapgh"/>
      </w:pPr>
      <w:r>
        <w:t>The new interface using the ‘Data Aggregation Service’ will provide DAs with Notifications from CSS related to switched registrations.</w:t>
      </w:r>
    </w:p>
    <w:p w14:paraId="150D0846" w14:textId="77777777" w:rsidR="001325D6" w:rsidRDefault="001325D6" w:rsidP="001325D6">
      <w:pPr>
        <w:pStyle w:val="Paragrapgh"/>
      </w:pPr>
      <w:r>
        <w:t xml:space="preserve">The new industry business processes and interaction sequence diagrams describing the role of DAs in these processes, are defined in the Switching Design Repository (ABACUS). </w:t>
      </w:r>
    </w:p>
    <w:p w14:paraId="30032E43" w14:textId="77777777" w:rsidR="001325D6" w:rsidRDefault="001325D6" w:rsidP="001325D6">
      <w:pPr>
        <w:pStyle w:val="Heading4"/>
      </w:pPr>
      <w:r>
        <w:t xml:space="preserve">Impact </w:t>
      </w:r>
      <w:r w:rsidRPr="00735003">
        <w:t>Summary</w:t>
      </w:r>
    </w:p>
    <w:p w14:paraId="0512949A" w14:textId="77777777" w:rsidR="001325D6" w:rsidRDefault="001325D6" w:rsidP="001325D6">
      <w:pPr>
        <w:pStyle w:val="Paragrapgh"/>
        <w:keepNext/>
      </w:pPr>
      <w:r w:rsidRPr="0035188E">
        <w:t xml:space="preserve">The following </w:t>
      </w:r>
      <w:r>
        <w:t xml:space="preserve">table provides a summary of the </w:t>
      </w:r>
      <w:r w:rsidRPr="0035188E">
        <w:t xml:space="preserve">new </w:t>
      </w:r>
      <w:r>
        <w:t xml:space="preserve">CSS (including Switching Domain Data Service) </w:t>
      </w:r>
      <w:r w:rsidRPr="0035188E">
        <w:t>interface</w:t>
      </w:r>
      <w:r>
        <w:t>s that are</w:t>
      </w:r>
      <w:r w:rsidRPr="0035188E">
        <w:t xml:space="preserve"> specified for </w:t>
      </w:r>
      <w:r>
        <w:t>the Data Aggregation Service</w:t>
      </w:r>
      <w:r w:rsidRPr="0035188E">
        <w:t xml:space="preserve"> in ABACUS</w:t>
      </w:r>
      <w:r>
        <w:t>:</w:t>
      </w:r>
    </w:p>
    <w:tbl>
      <w:tblPr>
        <w:tblStyle w:val="TableGrid"/>
        <w:tblW w:w="0" w:type="auto"/>
        <w:tblLook w:val="04A0" w:firstRow="1" w:lastRow="0" w:firstColumn="1" w:lastColumn="0" w:noHBand="0" w:noVBand="1"/>
      </w:tblPr>
      <w:tblGrid>
        <w:gridCol w:w="2976"/>
        <w:gridCol w:w="2510"/>
        <w:gridCol w:w="2122"/>
        <w:gridCol w:w="2122"/>
      </w:tblGrid>
      <w:tr w:rsidR="001325D6" w:rsidRPr="00F26F35" w14:paraId="204E9121" w14:textId="77777777" w:rsidTr="00D0240C">
        <w:trPr>
          <w:tblHeader/>
        </w:trPr>
        <w:tc>
          <w:tcPr>
            <w:tcW w:w="2976" w:type="dxa"/>
            <w:shd w:val="clear" w:color="auto" w:fill="A6A6A6" w:themeFill="background1" w:themeFillShade="A6"/>
          </w:tcPr>
          <w:p w14:paraId="34DB8205" w14:textId="77777777" w:rsidR="001325D6" w:rsidRPr="00F26F35" w:rsidRDefault="001325D6" w:rsidP="00D0240C">
            <w:pPr>
              <w:pStyle w:val="TableHeadings"/>
            </w:pPr>
            <w:r w:rsidRPr="00F26F35">
              <w:t>Interface</w:t>
            </w:r>
            <w:r>
              <w:t xml:space="preserve"> Name</w:t>
            </w:r>
          </w:p>
        </w:tc>
        <w:tc>
          <w:tcPr>
            <w:tcW w:w="2510" w:type="dxa"/>
            <w:shd w:val="clear" w:color="auto" w:fill="A6A6A6" w:themeFill="background1" w:themeFillShade="A6"/>
          </w:tcPr>
          <w:p w14:paraId="6417C022" w14:textId="77777777" w:rsidR="001325D6" w:rsidRPr="00F26F35" w:rsidRDefault="001325D6" w:rsidP="00D0240C">
            <w:pPr>
              <w:pStyle w:val="TableHeadings"/>
            </w:pPr>
            <w:r>
              <w:t>Directionality</w:t>
            </w:r>
          </w:p>
        </w:tc>
        <w:tc>
          <w:tcPr>
            <w:tcW w:w="2122" w:type="dxa"/>
            <w:shd w:val="clear" w:color="auto" w:fill="A6A6A6" w:themeFill="background1" w:themeFillShade="A6"/>
          </w:tcPr>
          <w:p w14:paraId="7E32D764" w14:textId="77777777" w:rsidR="001325D6" w:rsidRPr="00F26F35" w:rsidRDefault="001325D6" w:rsidP="00D0240C">
            <w:pPr>
              <w:pStyle w:val="TableHeadings"/>
              <w:jc w:val="center"/>
            </w:pPr>
            <w:r>
              <w:t>Sending Data Service</w:t>
            </w:r>
          </w:p>
        </w:tc>
        <w:tc>
          <w:tcPr>
            <w:tcW w:w="2122" w:type="dxa"/>
            <w:shd w:val="clear" w:color="auto" w:fill="A6A6A6" w:themeFill="background1" w:themeFillShade="A6"/>
          </w:tcPr>
          <w:p w14:paraId="7F7E0339" w14:textId="77777777" w:rsidR="001325D6" w:rsidRPr="00FC5269" w:rsidRDefault="001325D6" w:rsidP="00D0240C">
            <w:pPr>
              <w:pStyle w:val="TableHeadings"/>
              <w:jc w:val="center"/>
            </w:pPr>
            <w:r>
              <w:t>Receiving Data Service</w:t>
            </w:r>
          </w:p>
        </w:tc>
      </w:tr>
      <w:tr w:rsidR="001325D6" w:rsidRPr="002C57DA" w14:paraId="694C7E26" w14:textId="77777777" w:rsidTr="00D0240C">
        <w:tc>
          <w:tcPr>
            <w:tcW w:w="2976" w:type="dxa"/>
          </w:tcPr>
          <w:p w14:paraId="0122565D" w14:textId="77777777" w:rsidR="001325D6" w:rsidRPr="002C57DA" w:rsidRDefault="001325D6" w:rsidP="00D0240C">
            <w:pPr>
              <w:pStyle w:val="TableText-Left"/>
            </w:pPr>
            <w:r>
              <w:t>RegMgmtRequestNotification</w:t>
            </w:r>
            <w:r w:rsidRPr="002C57DA">
              <w:t xml:space="preserve"> </w:t>
            </w:r>
          </w:p>
        </w:tc>
        <w:tc>
          <w:tcPr>
            <w:tcW w:w="2510" w:type="dxa"/>
          </w:tcPr>
          <w:p w14:paraId="1D57EA2E" w14:textId="77777777" w:rsidR="001325D6" w:rsidRPr="002C57DA" w:rsidRDefault="001325D6" w:rsidP="00D0240C">
            <w:pPr>
              <w:pStyle w:val="TableText-Left"/>
            </w:pPr>
            <w:r w:rsidRPr="002C57DA">
              <w:t>Inbound</w:t>
            </w:r>
          </w:p>
        </w:tc>
        <w:tc>
          <w:tcPr>
            <w:tcW w:w="2122" w:type="dxa"/>
          </w:tcPr>
          <w:p w14:paraId="50BFA99F" w14:textId="77777777" w:rsidR="001325D6" w:rsidRPr="002C57DA" w:rsidRDefault="001325D6" w:rsidP="00D0240C">
            <w:pPr>
              <w:pStyle w:val="TableText-Left"/>
              <w:jc w:val="center"/>
            </w:pPr>
            <w:r>
              <w:t>CSS</w:t>
            </w:r>
          </w:p>
        </w:tc>
        <w:tc>
          <w:tcPr>
            <w:tcW w:w="2122" w:type="dxa"/>
          </w:tcPr>
          <w:p w14:paraId="63DB25F8" w14:textId="77777777" w:rsidR="001325D6" w:rsidRDefault="001325D6" w:rsidP="00D0240C">
            <w:pPr>
              <w:pStyle w:val="TableText-Left"/>
              <w:jc w:val="center"/>
            </w:pPr>
            <w:r>
              <w:t>Data Aggregation Service</w:t>
            </w:r>
          </w:p>
        </w:tc>
      </w:tr>
      <w:tr w:rsidR="001325D6" w:rsidRPr="002C57DA" w14:paraId="7197DFC2" w14:textId="77777777" w:rsidTr="00D0240C">
        <w:tc>
          <w:tcPr>
            <w:tcW w:w="2976" w:type="dxa"/>
          </w:tcPr>
          <w:p w14:paraId="36905697" w14:textId="0D971F95" w:rsidR="001325D6" w:rsidRDefault="001325D6" w:rsidP="00D0240C">
            <w:pPr>
              <w:pStyle w:val="TableText-Left"/>
            </w:pPr>
            <w:r>
              <w:t>SwitchingDomainData</w:t>
            </w:r>
            <w:r w:rsidR="00210749">
              <w:rPr>
                <w:rStyle w:val="FootnoteReference"/>
              </w:rPr>
              <w:footnoteReference w:id="14"/>
            </w:r>
          </w:p>
        </w:tc>
        <w:tc>
          <w:tcPr>
            <w:tcW w:w="2510" w:type="dxa"/>
          </w:tcPr>
          <w:p w14:paraId="5A56B014" w14:textId="77777777" w:rsidR="001325D6" w:rsidRPr="002C57DA" w:rsidRDefault="001325D6" w:rsidP="00D0240C">
            <w:pPr>
              <w:pStyle w:val="TableText-Left"/>
            </w:pPr>
            <w:r>
              <w:t>Inbound</w:t>
            </w:r>
          </w:p>
        </w:tc>
        <w:tc>
          <w:tcPr>
            <w:tcW w:w="2122" w:type="dxa"/>
          </w:tcPr>
          <w:p w14:paraId="4AADC535" w14:textId="77777777" w:rsidR="001325D6" w:rsidRDefault="001325D6" w:rsidP="00D0240C">
            <w:pPr>
              <w:pStyle w:val="TableText-Left"/>
              <w:jc w:val="center"/>
            </w:pPr>
            <w:r>
              <w:t>Switching Domain Data Service</w:t>
            </w:r>
          </w:p>
        </w:tc>
        <w:tc>
          <w:tcPr>
            <w:tcW w:w="2122" w:type="dxa"/>
          </w:tcPr>
          <w:p w14:paraId="07736936" w14:textId="77777777" w:rsidR="001325D6" w:rsidRDefault="001325D6" w:rsidP="00D0240C">
            <w:pPr>
              <w:pStyle w:val="TableText-Left"/>
              <w:jc w:val="center"/>
            </w:pPr>
            <w:r>
              <w:t>Data Aggregation Service</w:t>
            </w:r>
          </w:p>
        </w:tc>
      </w:tr>
    </w:tbl>
    <w:p w14:paraId="6A6FF695" w14:textId="77777777" w:rsidR="001325D6" w:rsidRDefault="001325D6" w:rsidP="001325D6">
      <w:pPr>
        <w:pStyle w:val="Paragrapgh"/>
      </w:pPr>
      <w:r>
        <w:t>The new interfaces for the Data Aggregation Service are shown in the next diagram:</w:t>
      </w:r>
    </w:p>
    <w:p w14:paraId="64539B8D" w14:textId="77777777" w:rsidR="001325D6" w:rsidRDefault="001325D6" w:rsidP="001325D6">
      <w:pPr>
        <w:pStyle w:val="BodyTextNormal"/>
      </w:pPr>
      <w:r>
        <w:rPr>
          <w:noProof/>
          <w:lang w:eastAsia="en-GB"/>
        </w:rPr>
        <w:drawing>
          <wp:inline distT="0" distB="0" distL="0" distR="0" wp14:anchorId="74B35EA8" wp14:editId="204346CC">
            <wp:extent cx="6184900" cy="4895215"/>
            <wp:effectExtent l="0" t="0" r="6350"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E2E SA - CSS to DA Interface - Figure  13.gif"/>
                    <pic:cNvPicPr/>
                  </pic:nvPicPr>
                  <pic:blipFill>
                    <a:blip r:embed="rId30">
                      <a:extLst>
                        <a:ext uri="{28A0092B-C50C-407E-A947-70E740481C1C}">
                          <a14:useLocalDpi xmlns:a14="http://schemas.microsoft.com/office/drawing/2010/main" val="0"/>
                        </a:ext>
                      </a:extLst>
                    </a:blip>
                    <a:stretch>
                      <a:fillRect/>
                    </a:stretch>
                  </pic:blipFill>
                  <pic:spPr>
                    <a:xfrm>
                      <a:off x="0" y="0"/>
                      <a:ext cx="6184900" cy="4895215"/>
                    </a:xfrm>
                    <a:prstGeom prst="rect">
                      <a:avLst/>
                    </a:prstGeom>
                  </pic:spPr>
                </pic:pic>
              </a:graphicData>
            </a:graphic>
          </wp:inline>
        </w:drawing>
      </w:r>
    </w:p>
    <w:p w14:paraId="76835FDD" w14:textId="5158B417" w:rsidR="001325D6" w:rsidRPr="00A72CB6" w:rsidRDefault="001325D6" w:rsidP="001325D6">
      <w:pPr>
        <w:pStyle w:val="Caption"/>
      </w:pPr>
      <w:r w:rsidRPr="00A72CB6">
        <w:t xml:space="preserve">Figure </w:t>
      </w:r>
      <w:r w:rsidR="00112F53">
        <w:rPr>
          <w:noProof/>
        </w:rPr>
        <w:fldChar w:fldCharType="begin"/>
      </w:r>
      <w:r w:rsidR="00112F53">
        <w:rPr>
          <w:noProof/>
        </w:rPr>
        <w:instrText xml:space="preserve"> SEQ Figure \* ARABIC </w:instrText>
      </w:r>
      <w:r w:rsidR="00112F53">
        <w:rPr>
          <w:noProof/>
        </w:rPr>
        <w:fldChar w:fldCharType="separate"/>
      </w:r>
      <w:r w:rsidR="005D4843">
        <w:rPr>
          <w:noProof/>
        </w:rPr>
        <w:t>11</w:t>
      </w:r>
      <w:r w:rsidR="00112F53">
        <w:rPr>
          <w:noProof/>
        </w:rPr>
        <w:fldChar w:fldCharType="end"/>
      </w:r>
      <w:r w:rsidRPr="00A72CB6">
        <w:t xml:space="preserve"> </w:t>
      </w:r>
      <w:r>
        <w:t xml:space="preserve">– New/ </w:t>
      </w:r>
      <w:r w:rsidRPr="00A72CB6">
        <w:t>Interface</w:t>
      </w:r>
      <w:r>
        <w:t>s</w:t>
      </w:r>
      <w:r w:rsidRPr="00A72CB6">
        <w:t xml:space="preserve"> </w:t>
      </w:r>
      <w:r>
        <w:t>for the</w:t>
      </w:r>
      <w:r w:rsidRPr="00A72CB6">
        <w:t xml:space="preserve"> D</w:t>
      </w:r>
      <w:r>
        <w:t xml:space="preserve">ata </w:t>
      </w:r>
      <w:r w:rsidRPr="00A72CB6">
        <w:t>A</w:t>
      </w:r>
      <w:r>
        <w:t>ggregation Service</w:t>
      </w:r>
    </w:p>
    <w:p w14:paraId="290193DA" w14:textId="1F99701D" w:rsidR="001325D6" w:rsidRDefault="001325D6" w:rsidP="001325D6">
      <w:pPr>
        <w:pStyle w:val="Heading3"/>
      </w:pPr>
      <w:bookmarkStart w:id="106" w:name="_Toc491332319"/>
      <w:bookmarkStart w:id="107" w:name="_Toc491332415"/>
      <w:bookmarkStart w:id="108" w:name="_Toc494379481"/>
      <w:bookmarkStart w:id="109" w:name="_Toc505257241"/>
      <w:bookmarkStart w:id="110" w:name="_Toc505689969"/>
      <w:bookmarkStart w:id="111" w:name="_Toc9934749"/>
      <w:bookmarkEnd w:id="105"/>
      <w:r>
        <w:t>MEM</w:t>
      </w:r>
      <w:r w:rsidR="00393B97">
        <w:t>s</w:t>
      </w:r>
      <w:bookmarkEnd w:id="106"/>
      <w:bookmarkEnd w:id="107"/>
      <w:bookmarkEnd w:id="108"/>
      <w:bookmarkEnd w:id="109"/>
      <w:bookmarkEnd w:id="110"/>
      <w:bookmarkEnd w:id="111"/>
    </w:p>
    <w:p w14:paraId="3C91E1B2" w14:textId="77777777" w:rsidR="001325D6" w:rsidRDefault="001325D6" w:rsidP="001325D6">
      <w:pPr>
        <w:pStyle w:val="Paragrapgh"/>
      </w:pPr>
      <w:r>
        <w:t>The MAM and MOP parties that exist within the As-Is arrangements will be consolidated into the new Metering Equipment Manager (MEM) party within the Switching Arrangements.</w:t>
      </w:r>
    </w:p>
    <w:p w14:paraId="438C38CA" w14:textId="77777777" w:rsidR="001325D6" w:rsidRDefault="001325D6" w:rsidP="001325D6">
      <w:pPr>
        <w:pStyle w:val="Paragrapgh"/>
      </w:pPr>
      <w:r>
        <w:t>MEMs will implement changes to the MEM Data Service if they choose to receive new notifications related to switched registrations (i.e. switched electricity supplier). This notification will be transferred through a new interface from CSS to MEM Data Services.</w:t>
      </w:r>
    </w:p>
    <w:p w14:paraId="756B7007" w14:textId="77777777" w:rsidR="001325D6" w:rsidRDefault="001325D6" w:rsidP="001325D6">
      <w:pPr>
        <w:pStyle w:val="Paragrapgh"/>
      </w:pPr>
      <w:r>
        <w:t>The new interface will provide MEMs with Notifications from CSS related to switched registrations.</w:t>
      </w:r>
    </w:p>
    <w:p w14:paraId="796D917D" w14:textId="72CF7621" w:rsidR="006F180D" w:rsidRDefault="006F180D" w:rsidP="001325D6">
      <w:pPr>
        <w:pStyle w:val="Paragrapgh"/>
      </w:pPr>
      <w:r>
        <w:t xml:space="preserve">Meter asset data (including MAP identity) will be provided to UK Link and MPAS by means of existing interfaces, which may be achieved </w:t>
      </w:r>
      <w:r w:rsidR="00323F52">
        <w:t>by an indirect route</w:t>
      </w:r>
      <w:r>
        <w:t xml:space="preserve"> via the existing Supplier/Shipper interfaces or otherwise.  </w:t>
      </w:r>
    </w:p>
    <w:p w14:paraId="35B5A3CC" w14:textId="77777777" w:rsidR="001325D6" w:rsidRDefault="001325D6" w:rsidP="001325D6">
      <w:pPr>
        <w:pStyle w:val="Paragrapgh"/>
      </w:pPr>
      <w:r>
        <w:t xml:space="preserve">The new industry business processes and interaction sequence diagrams describing the role of the MEM in these processes, are defined in the Switching Design Repository (ABACUS). </w:t>
      </w:r>
    </w:p>
    <w:p w14:paraId="14598847" w14:textId="77777777" w:rsidR="001325D6" w:rsidRDefault="001325D6" w:rsidP="001325D6">
      <w:pPr>
        <w:pStyle w:val="Heading4"/>
      </w:pPr>
      <w:r>
        <w:t xml:space="preserve">Impact </w:t>
      </w:r>
      <w:r w:rsidRPr="00735003">
        <w:t>Summary</w:t>
      </w:r>
    </w:p>
    <w:p w14:paraId="49CDC3FD" w14:textId="77777777" w:rsidR="001325D6" w:rsidRDefault="001325D6" w:rsidP="001325D6">
      <w:pPr>
        <w:pStyle w:val="Paragrapgh"/>
      </w:pPr>
      <w:r w:rsidRPr="0035188E">
        <w:t xml:space="preserve">The following </w:t>
      </w:r>
      <w:r>
        <w:t xml:space="preserve">table provides a summary of the </w:t>
      </w:r>
      <w:r w:rsidRPr="0035188E">
        <w:t>new</w:t>
      </w:r>
      <w:r>
        <w:t xml:space="preserve"> CSS</w:t>
      </w:r>
      <w:r w:rsidRPr="0035188E">
        <w:t xml:space="preserve"> </w:t>
      </w:r>
      <w:r>
        <w:t xml:space="preserve">(including Switching Domain Data Service) </w:t>
      </w:r>
      <w:r w:rsidRPr="0035188E">
        <w:t>interface</w:t>
      </w:r>
      <w:r>
        <w:t>s that are</w:t>
      </w:r>
      <w:r w:rsidRPr="0035188E">
        <w:t xml:space="preserve"> specified for </w:t>
      </w:r>
      <w:r>
        <w:t>the MEM Data Service</w:t>
      </w:r>
      <w:r w:rsidRPr="0035188E">
        <w:t xml:space="preserve"> in ABACUS</w:t>
      </w:r>
      <w:r>
        <w:t>:</w:t>
      </w:r>
    </w:p>
    <w:tbl>
      <w:tblPr>
        <w:tblStyle w:val="TableGrid"/>
        <w:tblW w:w="0" w:type="auto"/>
        <w:tblLook w:val="04A0" w:firstRow="1" w:lastRow="0" w:firstColumn="1" w:lastColumn="0" w:noHBand="0" w:noVBand="1"/>
      </w:tblPr>
      <w:tblGrid>
        <w:gridCol w:w="2976"/>
        <w:gridCol w:w="2510"/>
        <w:gridCol w:w="2122"/>
        <w:gridCol w:w="2122"/>
      </w:tblGrid>
      <w:tr w:rsidR="001325D6" w:rsidRPr="00F26F35" w14:paraId="205D2AFE" w14:textId="77777777" w:rsidTr="00D0240C">
        <w:tc>
          <w:tcPr>
            <w:tcW w:w="2976" w:type="dxa"/>
            <w:shd w:val="clear" w:color="auto" w:fill="A6A6A6" w:themeFill="background1" w:themeFillShade="A6"/>
          </w:tcPr>
          <w:p w14:paraId="75E4A396" w14:textId="77777777" w:rsidR="001325D6" w:rsidRPr="00F26F35" w:rsidRDefault="001325D6" w:rsidP="00D0240C">
            <w:pPr>
              <w:pStyle w:val="TableHeadings"/>
            </w:pPr>
            <w:r w:rsidRPr="00F26F35">
              <w:t>Interface</w:t>
            </w:r>
            <w:r>
              <w:t xml:space="preserve"> Name</w:t>
            </w:r>
          </w:p>
        </w:tc>
        <w:tc>
          <w:tcPr>
            <w:tcW w:w="2510" w:type="dxa"/>
            <w:shd w:val="clear" w:color="auto" w:fill="A6A6A6" w:themeFill="background1" w:themeFillShade="A6"/>
          </w:tcPr>
          <w:p w14:paraId="5F64BA29" w14:textId="77777777" w:rsidR="001325D6" w:rsidRPr="00F26F35" w:rsidRDefault="001325D6" w:rsidP="00D0240C">
            <w:pPr>
              <w:pStyle w:val="TableHeadings"/>
            </w:pPr>
            <w:r>
              <w:t>Directionality</w:t>
            </w:r>
          </w:p>
        </w:tc>
        <w:tc>
          <w:tcPr>
            <w:tcW w:w="2122" w:type="dxa"/>
            <w:shd w:val="clear" w:color="auto" w:fill="A6A6A6" w:themeFill="background1" w:themeFillShade="A6"/>
          </w:tcPr>
          <w:p w14:paraId="36469CB9" w14:textId="77777777" w:rsidR="001325D6" w:rsidRPr="00F26F35" w:rsidRDefault="001325D6" w:rsidP="00D0240C">
            <w:pPr>
              <w:pStyle w:val="TableHeadings"/>
              <w:jc w:val="center"/>
            </w:pPr>
            <w:r>
              <w:t>Sending Data Service</w:t>
            </w:r>
          </w:p>
        </w:tc>
        <w:tc>
          <w:tcPr>
            <w:tcW w:w="2122" w:type="dxa"/>
            <w:shd w:val="clear" w:color="auto" w:fill="A6A6A6" w:themeFill="background1" w:themeFillShade="A6"/>
          </w:tcPr>
          <w:p w14:paraId="4DF73947" w14:textId="77777777" w:rsidR="001325D6" w:rsidRPr="00FC5269" w:rsidRDefault="001325D6" w:rsidP="00D0240C">
            <w:pPr>
              <w:pStyle w:val="TableHeadings"/>
              <w:jc w:val="center"/>
            </w:pPr>
            <w:r>
              <w:t>Receiving Data Service</w:t>
            </w:r>
          </w:p>
        </w:tc>
      </w:tr>
      <w:tr w:rsidR="001325D6" w:rsidRPr="002C57DA" w14:paraId="78302485" w14:textId="77777777" w:rsidTr="00D0240C">
        <w:tc>
          <w:tcPr>
            <w:tcW w:w="2976" w:type="dxa"/>
          </w:tcPr>
          <w:p w14:paraId="31470FB7" w14:textId="77777777" w:rsidR="001325D6" w:rsidRPr="002C57DA" w:rsidRDefault="001325D6" w:rsidP="00D0240C">
            <w:pPr>
              <w:pStyle w:val="TableText-Left"/>
            </w:pPr>
            <w:r>
              <w:t>RegMgmtRequestNotification</w:t>
            </w:r>
            <w:r w:rsidRPr="002C57DA">
              <w:t xml:space="preserve"> </w:t>
            </w:r>
          </w:p>
        </w:tc>
        <w:tc>
          <w:tcPr>
            <w:tcW w:w="2510" w:type="dxa"/>
          </w:tcPr>
          <w:p w14:paraId="0E32B73A" w14:textId="77777777" w:rsidR="001325D6" w:rsidRPr="002C57DA" w:rsidRDefault="001325D6" w:rsidP="00D0240C">
            <w:pPr>
              <w:pStyle w:val="TableText-Left"/>
            </w:pPr>
            <w:r w:rsidRPr="002C57DA">
              <w:t>Inbound</w:t>
            </w:r>
          </w:p>
        </w:tc>
        <w:tc>
          <w:tcPr>
            <w:tcW w:w="2122" w:type="dxa"/>
          </w:tcPr>
          <w:p w14:paraId="4AABD415" w14:textId="77777777" w:rsidR="001325D6" w:rsidRPr="002C57DA" w:rsidRDefault="001325D6" w:rsidP="00D0240C">
            <w:pPr>
              <w:pStyle w:val="TableText-Left"/>
              <w:jc w:val="center"/>
            </w:pPr>
            <w:r>
              <w:t>CSS</w:t>
            </w:r>
          </w:p>
        </w:tc>
        <w:tc>
          <w:tcPr>
            <w:tcW w:w="2122" w:type="dxa"/>
          </w:tcPr>
          <w:p w14:paraId="3CF40352" w14:textId="77777777" w:rsidR="001325D6" w:rsidRDefault="001325D6" w:rsidP="00D0240C">
            <w:pPr>
              <w:pStyle w:val="TableText-Left"/>
              <w:jc w:val="center"/>
            </w:pPr>
            <w:r>
              <w:t>MEM Data Service</w:t>
            </w:r>
          </w:p>
        </w:tc>
      </w:tr>
      <w:tr w:rsidR="001325D6" w:rsidRPr="002C57DA" w14:paraId="5CF3AEEF" w14:textId="77777777" w:rsidTr="00D0240C">
        <w:tc>
          <w:tcPr>
            <w:tcW w:w="2976" w:type="dxa"/>
          </w:tcPr>
          <w:p w14:paraId="69F60A4F" w14:textId="652CD942" w:rsidR="001325D6" w:rsidRDefault="001325D6" w:rsidP="00D0240C">
            <w:pPr>
              <w:pStyle w:val="TableText-Left"/>
            </w:pPr>
            <w:r>
              <w:t>SwitchingDomainData</w:t>
            </w:r>
            <w:r w:rsidR="00210749">
              <w:rPr>
                <w:rStyle w:val="FootnoteReference"/>
              </w:rPr>
              <w:footnoteReference w:id="15"/>
            </w:r>
          </w:p>
        </w:tc>
        <w:tc>
          <w:tcPr>
            <w:tcW w:w="2510" w:type="dxa"/>
          </w:tcPr>
          <w:p w14:paraId="1EF66C9E" w14:textId="77777777" w:rsidR="001325D6" w:rsidRPr="002C57DA" w:rsidRDefault="001325D6" w:rsidP="00D0240C">
            <w:pPr>
              <w:pStyle w:val="TableText-Left"/>
            </w:pPr>
            <w:r>
              <w:t>Inbound</w:t>
            </w:r>
          </w:p>
        </w:tc>
        <w:tc>
          <w:tcPr>
            <w:tcW w:w="2122" w:type="dxa"/>
          </w:tcPr>
          <w:p w14:paraId="6EB19CCC" w14:textId="77777777" w:rsidR="001325D6" w:rsidRDefault="001325D6" w:rsidP="00D0240C">
            <w:pPr>
              <w:pStyle w:val="TableText-Left"/>
              <w:jc w:val="center"/>
            </w:pPr>
            <w:r>
              <w:t>Switching Domain Data Service</w:t>
            </w:r>
          </w:p>
        </w:tc>
        <w:tc>
          <w:tcPr>
            <w:tcW w:w="2122" w:type="dxa"/>
          </w:tcPr>
          <w:p w14:paraId="2ED92F2D" w14:textId="77777777" w:rsidR="001325D6" w:rsidRDefault="001325D6" w:rsidP="00D0240C">
            <w:pPr>
              <w:pStyle w:val="TableText-Left"/>
              <w:jc w:val="center"/>
            </w:pPr>
            <w:r>
              <w:t>MEM Data Service</w:t>
            </w:r>
          </w:p>
        </w:tc>
      </w:tr>
    </w:tbl>
    <w:p w14:paraId="0B8ADBA6" w14:textId="77777777" w:rsidR="001325D6" w:rsidRDefault="001325D6" w:rsidP="001325D6">
      <w:pPr>
        <w:pStyle w:val="Paragrapgh"/>
      </w:pPr>
      <w:r>
        <w:t>These interfaces to are shown in the next diagram:</w:t>
      </w:r>
    </w:p>
    <w:p w14:paraId="69191418" w14:textId="77777777" w:rsidR="001325D6" w:rsidRDefault="001325D6" w:rsidP="001325D6">
      <w:pPr>
        <w:pStyle w:val="BodyTextNormal"/>
        <w:jc w:val="center"/>
      </w:pPr>
      <w:r>
        <w:rPr>
          <w:noProof/>
          <w:lang w:eastAsia="en-GB"/>
        </w:rPr>
        <w:drawing>
          <wp:inline distT="0" distB="0" distL="0" distR="0" wp14:anchorId="4FFFCC03" wp14:editId="23426902">
            <wp:extent cx="6184900" cy="4273550"/>
            <wp:effectExtent l="0" t="0" r="635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E2E SA - CSS to MEM - Figure  14.gif"/>
                    <pic:cNvPicPr/>
                  </pic:nvPicPr>
                  <pic:blipFill>
                    <a:blip r:embed="rId31">
                      <a:extLst>
                        <a:ext uri="{28A0092B-C50C-407E-A947-70E740481C1C}">
                          <a14:useLocalDpi xmlns:a14="http://schemas.microsoft.com/office/drawing/2010/main" val="0"/>
                        </a:ext>
                      </a:extLst>
                    </a:blip>
                    <a:stretch>
                      <a:fillRect/>
                    </a:stretch>
                  </pic:blipFill>
                  <pic:spPr>
                    <a:xfrm>
                      <a:off x="0" y="0"/>
                      <a:ext cx="6184900" cy="4273550"/>
                    </a:xfrm>
                    <a:prstGeom prst="rect">
                      <a:avLst/>
                    </a:prstGeom>
                  </pic:spPr>
                </pic:pic>
              </a:graphicData>
            </a:graphic>
          </wp:inline>
        </w:drawing>
      </w:r>
    </w:p>
    <w:p w14:paraId="144F39F1" w14:textId="5E0B2513" w:rsidR="001325D6" w:rsidRPr="001325D6" w:rsidRDefault="001325D6" w:rsidP="0065787F">
      <w:pPr>
        <w:pStyle w:val="Caption"/>
      </w:pPr>
      <w:r w:rsidRPr="00A72CB6">
        <w:t xml:space="preserve">Figure </w:t>
      </w:r>
      <w:r w:rsidR="00112F53">
        <w:rPr>
          <w:noProof/>
        </w:rPr>
        <w:fldChar w:fldCharType="begin"/>
      </w:r>
      <w:r w:rsidR="00112F53">
        <w:rPr>
          <w:noProof/>
        </w:rPr>
        <w:instrText xml:space="preserve"> SEQ Figure \* ARABIC </w:instrText>
      </w:r>
      <w:r w:rsidR="00112F53">
        <w:rPr>
          <w:noProof/>
        </w:rPr>
        <w:fldChar w:fldCharType="separate"/>
      </w:r>
      <w:r w:rsidR="005D4843">
        <w:rPr>
          <w:noProof/>
        </w:rPr>
        <w:t>12</w:t>
      </w:r>
      <w:r w:rsidR="00112F53">
        <w:rPr>
          <w:noProof/>
        </w:rPr>
        <w:fldChar w:fldCharType="end"/>
      </w:r>
      <w:r w:rsidRPr="00A72CB6">
        <w:t xml:space="preserve"> </w:t>
      </w:r>
      <w:r>
        <w:t xml:space="preserve">– New/Changed </w:t>
      </w:r>
      <w:r w:rsidRPr="00A72CB6">
        <w:t xml:space="preserve">Interface </w:t>
      </w:r>
      <w:r>
        <w:t>with the</w:t>
      </w:r>
      <w:r w:rsidRPr="00A72CB6">
        <w:t xml:space="preserve"> </w:t>
      </w:r>
      <w:r>
        <w:t>MEM</w:t>
      </w:r>
      <w:r w:rsidRPr="00A72CB6">
        <w:t xml:space="preserve"> </w:t>
      </w:r>
      <w:r>
        <w:t>Data Services</w:t>
      </w:r>
    </w:p>
    <w:p w14:paraId="1B105493" w14:textId="180A51BE" w:rsidR="001325D6" w:rsidRDefault="001325D6" w:rsidP="00F73DBE">
      <w:pPr>
        <w:pStyle w:val="Heading2"/>
      </w:pPr>
      <w:bookmarkStart w:id="112" w:name="_Toc9934750"/>
      <w:r>
        <w:t>Other Participants</w:t>
      </w:r>
      <w:bookmarkEnd w:id="112"/>
    </w:p>
    <w:p w14:paraId="20BF38F3" w14:textId="07984B39" w:rsidR="008A5C04" w:rsidRDefault="008A5C04" w:rsidP="00F73DBE">
      <w:pPr>
        <w:pStyle w:val="Heading3"/>
      </w:pPr>
      <w:bookmarkStart w:id="113" w:name="_Toc491332315"/>
      <w:bookmarkStart w:id="114" w:name="_Toc491332411"/>
      <w:bookmarkStart w:id="115" w:name="_Toc494379477"/>
      <w:bookmarkStart w:id="116" w:name="_Toc505257237"/>
      <w:bookmarkStart w:id="117" w:name="_Toc505689965"/>
      <w:bookmarkStart w:id="118" w:name="_Toc9934751"/>
      <w:bookmarkStart w:id="119" w:name="_Hlk496095420"/>
      <w:bookmarkEnd w:id="52"/>
      <w:bookmarkEnd w:id="53"/>
      <w:bookmarkEnd w:id="54"/>
      <w:bookmarkEnd w:id="55"/>
      <w:bookmarkEnd w:id="56"/>
      <w:bookmarkEnd w:id="57"/>
      <w:bookmarkEnd w:id="58"/>
      <w:r>
        <w:t>DNO</w:t>
      </w:r>
      <w:r w:rsidR="00393B97">
        <w:t>s</w:t>
      </w:r>
      <w:bookmarkEnd w:id="113"/>
      <w:bookmarkEnd w:id="114"/>
      <w:bookmarkEnd w:id="115"/>
      <w:bookmarkEnd w:id="116"/>
      <w:bookmarkEnd w:id="117"/>
      <w:bookmarkEnd w:id="118"/>
    </w:p>
    <w:p w14:paraId="62F88F01" w14:textId="170EA66F" w:rsidR="00867FB2" w:rsidRDefault="008A5C04" w:rsidP="00AF766B">
      <w:pPr>
        <w:pStyle w:val="Paragrapgh"/>
      </w:pPr>
      <w:r w:rsidRPr="00974FB0">
        <w:t xml:space="preserve">DNOs will </w:t>
      </w:r>
      <w:r w:rsidR="00C559D3">
        <w:t xml:space="preserve">implement </w:t>
      </w:r>
      <w:r w:rsidR="00CF3FA4">
        <w:t>changes to existing</w:t>
      </w:r>
      <w:r w:rsidR="00C559D3">
        <w:t xml:space="preserve"> interface</w:t>
      </w:r>
      <w:r w:rsidR="00CF3FA4">
        <w:t>s</w:t>
      </w:r>
      <w:r w:rsidR="00C559D3">
        <w:t xml:space="preserve"> </w:t>
      </w:r>
      <w:r w:rsidR="00CF3FA4">
        <w:t>in order to</w:t>
      </w:r>
      <w:r w:rsidR="00C559D3">
        <w:t xml:space="preserve"> provide updated meter point status information</w:t>
      </w:r>
      <w:r w:rsidR="00CF3FA4">
        <w:t xml:space="preserve"> to </w:t>
      </w:r>
      <w:r w:rsidR="00DB63D0">
        <w:t>MPAS</w:t>
      </w:r>
      <w:r w:rsidR="00C559D3">
        <w:t>.</w:t>
      </w:r>
      <w:r w:rsidR="008B2338">
        <w:t xml:space="preserve"> </w:t>
      </w:r>
    </w:p>
    <w:p w14:paraId="7492F333" w14:textId="77777777" w:rsidR="00AF766B" w:rsidRDefault="00AF766B" w:rsidP="00AF766B">
      <w:pPr>
        <w:pStyle w:val="Paragrapgh"/>
      </w:pPr>
      <w:r>
        <w:t>The new industry business processes for DNOs, and interaction sequence diagrams describing their involvement in these processes, are defined in the Switching Design Repository (</w:t>
      </w:r>
      <w:r w:rsidR="008D424D">
        <w:t>ABACUS</w:t>
      </w:r>
      <w:r>
        <w:t xml:space="preserve">). </w:t>
      </w:r>
    </w:p>
    <w:bookmarkEnd w:id="119"/>
    <w:p w14:paraId="4488E390" w14:textId="77777777" w:rsidR="008A5C04" w:rsidRDefault="008A5C04" w:rsidP="00305FF2">
      <w:pPr>
        <w:pStyle w:val="Heading4"/>
      </w:pPr>
      <w:r>
        <w:t xml:space="preserve">Impact </w:t>
      </w:r>
      <w:r w:rsidRPr="00890F09">
        <w:t>Summary</w:t>
      </w:r>
    </w:p>
    <w:p w14:paraId="528EE4DA" w14:textId="385CB56F" w:rsidR="008A5C04" w:rsidRDefault="00CF3FA4" w:rsidP="00CF3FA4">
      <w:pPr>
        <w:pStyle w:val="Paragrapgh"/>
      </w:pPr>
      <w:r w:rsidRPr="0035188E">
        <w:t xml:space="preserve">The following </w:t>
      </w:r>
      <w:r w:rsidR="009C47D5">
        <w:t xml:space="preserve">table provides a summary of the </w:t>
      </w:r>
      <w:r w:rsidR="000C210B">
        <w:t>interfac</w:t>
      </w:r>
      <w:r w:rsidR="00BB6E59">
        <w:t>e</w:t>
      </w:r>
      <w:r w:rsidR="00FC2E5E">
        <w:t xml:space="preserve"> not</w:t>
      </w:r>
      <w:r w:rsidRPr="0035188E">
        <w:t xml:space="preserve"> in ABACUS</w:t>
      </w:r>
      <w:r w:rsidR="00FC2E5E">
        <w:t xml:space="preserve">, but </w:t>
      </w:r>
      <w:r w:rsidR="00BB6E59">
        <w:t>is</w:t>
      </w:r>
      <w:r w:rsidR="00FC2E5E">
        <w:t xml:space="preserve"> </w:t>
      </w:r>
      <w:r w:rsidR="00BB6E59">
        <w:t>referenced</w:t>
      </w:r>
      <w:r w:rsidR="00FC2E5E">
        <w:t xml:space="preserve"> for completeness</w:t>
      </w:r>
      <w:r w:rsidRPr="0035188E">
        <w:t>:</w:t>
      </w:r>
    </w:p>
    <w:tbl>
      <w:tblPr>
        <w:tblStyle w:val="TableGrid"/>
        <w:tblW w:w="0" w:type="auto"/>
        <w:tblLook w:val="04A0" w:firstRow="1" w:lastRow="0" w:firstColumn="1" w:lastColumn="0" w:noHBand="0" w:noVBand="1"/>
      </w:tblPr>
      <w:tblGrid>
        <w:gridCol w:w="2718"/>
        <w:gridCol w:w="2569"/>
        <w:gridCol w:w="2221"/>
        <w:gridCol w:w="2222"/>
      </w:tblGrid>
      <w:tr w:rsidR="00CF3FA4" w:rsidRPr="00F26F35" w14:paraId="41D7B27C" w14:textId="77777777" w:rsidTr="00681F0E">
        <w:tc>
          <w:tcPr>
            <w:tcW w:w="2718" w:type="dxa"/>
            <w:shd w:val="clear" w:color="auto" w:fill="A6A6A6" w:themeFill="background1" w:themeFillShade="A6"/>
          </w:tcPr>
          <w:p w14:paraId="4EEE5B5B" w14:textId="77777777" w:rsidR="00CF3FA4" w:rsidRPr="00F26F35" w:rsidRDefault="00CF3FA4" w:rsidP="00CF3FA4">
            <w:pPr>
              <w:pStyle w:val="TableHeadings"/>
            </w:pPr>
            <w:r w:rsidRPr="00F26F35">
              <w:t>Interface</w:t>
            </w:r>
            <w:r>
              <w:t xml:space="preserve"> Name</w:t>
            </w:r>
          </w:p>
        </w:tc>
        <w:tc>
          <w:tcPr>
            <w:tcW w:w="2569" w:type="dxa"/>
            <w:shd w:val="clear" w:color="auto" w:fill="A6A6A6" w:themeFill="background1" w:themeFillShade="A6"/>
          </w:tcPr>
          <w:p w14:paraId="29339BEF" w14:textId="77777777" w:rsidR="00CF3FA4" w:rsidRPr="00F26F35" w:rsidRDefault="00CF3FA4" w:rsidP="00CF3FA4">
            <w:pPr>
              <w:pStyle w:val="TableHeadings"/>
            </w:pPr>
            <w:r>
              <w:t>Directionality</w:t>
            </w:r>
          </w:p>
        </w:tc>
        <w:tc>
          <w:tcPr>
            <w:tcW w:w="2221" w:type="dxa"/>
            <w:shd w:val="clear" w:color="auto" w:fill="A6A6A6" w:themeFill="background1" w:themeFillShade="A6"/>
          </w:tcPr>
          <w:p w14:paraId="3BF1EC8D" w14:textId="77777777" w:rsidR="00CF3FA4" w:rsidRPr="00F26F35" w:rsidRDefault="00CF3FA4" w:rsidP="00CF3FA4">
            <w:pPr>
              <w:pStyle w:val="TableHeadings"/>
              <w:jc w:val="center"/>
            </w:pPr>
            <w:r>
              <w:t>Sending Data Service</w:t>
            </w:r>
          </w:p>
        </w:tc>
        <w:tc>
          <w:tcPr>
            <w:tcW w:w="2222" w:type="dxa"/>
            <w:shd w:val="clear" w:color="auto" w:fill="A6A6A6" w:themeFill="background1" w:themeFillShade="A6"/>
          </w:tcPr>
          <w:p w14:paraId="4B0CB710" w14:textId="77777777" w:rsidR="00CF3FA4" w:rsidRPr="00FC5269" w:rsidRDefault="00CF3FA4" w:rsidP="00CF3FA4">
            <w:pPr>
              <w:pStyle w:val="TableHeadings"/>
              <w:jc w:val="center"/>
            </w:pPr>
            <w:r>
              <w:t>Receiving Data Service</w:t>
            </w:r>
          </w:p>
        </w:tc>
      </w:tr>
      <w:tr w:rsidR="00681F0E" w:rsidRPr="002C57DA" w14:paraId="301DE8F6" w14:textId="77777777" w:rsidTr="00681F0E">
        <w:tc>
          <w:tcPr>
            <w:tcW w:w="2718" w:type="dxa"/>
          </w:tcPr>
          <w:p w14:paraId="0AE71871" w14:textId="77777777" w:rsidR="00681F0E" w:rsidRPr="002C57DA" w:rsidRDefault="00681F0E" w:rsidP="008A5C04">
            <w:pPr>
              <w:pStyle w:val="TableText-Left"/>
            </w:pPr>
            <w:r>
              <w:t>MeteringPointStatus</w:t>
            </w:r>
            <w:r w:rsidRPr="002C57DA">
              <w:t xml:space="preserve"> </w:t>
            </w:r>
          </w:p>
        </w:tc>
        <w:tc>
          <w:tcPr>
            <w:tcW w:w="2569" w:type="dxa"/>
          </w:tcPr>
          <w:p w14:paraId="5EA14EE9" w14:textId="77777777" w:rsidR="00681F0E" w:rsidRPr="002C57DA" w:rsidRDefault="00681F0E" w:rsidP="008A5C04">
            <w:pPr>
              <w:pStyle w:val="TableText-Left"/>
            </w:pPr>
            <w:r>
              <w:t>Outbound</w:t>
            </w:r>
          </w:p>
        </w:tc>
        <w:tc>
          <w:tcPr>
            <w:tcW w:w="2221" w:type="dxa"/>
          </w:tcPr>
          <w:p w14:paraId="6D5D32C2" w14:textId="4818805E" w:rsidR="00681F0E" w:rsidRPr="002C57DA" w:rsidRDefault="0060288E" w:rsidP="00CF3FA4">
            <w:pPr>
              <w:pStyle w:val="TableText-Left"/>
              <w:jc w:val="center"/>
            </w:pPr>
            <w:r>
              <w:t>DNO Data Service</w:t>
            </w:r>
          </w:p>
        </w:tc>
        <w:tc>
          <w:tcPr>
            <w:tcW w:w="2222" w:type="dxa"/>
          </w:tcPr>
          <w:p w14:paraId="2B712ED2" w14:textId="1742E155" w:rsidR="00681F0E" w:rsidRDefault="00DB63D0" w:rsidP="00CF3FA4">
            <w:pPr>
              <w:pStyle w:val="TableText-Left"/>
              <w:jc w:val="center"/>
            </w:pPr>
            <w:r>
              <w:t>MPAS</w:t>
            </w:r>
          </w:p>
        </w:tc>
      </w:tr>
      <w:tr w:rsidR="004D0BFE" w:rsidRPr="002C57DA" w14:paraId="64E3D754" w14:textId="77777777" w:rsidTr="00681F0E">
        <w:tc>
          <w:tcPr>
            <w:tcW w:w="2718" w:type="dxa"/>
          </w:tcPr>
          <w:p w14:paraId="28E94820" w14:textId="0C812FDD" w:rsidR="004D0BFE" w:rsidRDefault="004D0BFE" w:rsidP="008A5C04">
            <w:pPr>
              <w:pStyle w:val="TableText-Left"/>
            </w:pPr>
            <w:r>
              <w:t>MeteringPointStatus</w:t>
            </w:r>
          </w:p>
        </w:tc>
        <w:tc>
          <w:tcPr>
            <w:tcW w:w="2569" w:type="dxa"/>
          </w:tcPr>
          <w:p w14:paraId="1880CD9E" w14:textId="526361D7" w:rsidR="004D0BFE" w:rsidRDefault="004D0BFE" w:rsidP="008A5C04">
            <w:pPr>
              <w:pStyle w:val="TableText-Left"/>
            </w:pPr>
            <w:r>
              <w:t>Inbound</w:t>
            </w:r>
          </w:p>
        </w:tc>
        <w:tc>
          <w:tcPr>
            <w:tcW w:w="2221" w:type="dxa"/>
          </w:tcPr>
          <w:p w14:paraId="205CDFA5" w14:textId="49AD5E3B" w:rsidR="004D0BFE" w:rsidRDefault="004D0BFE" w:rsidP="00CF3FA4">
            <w:pPr>
              <w:pStyle w:val="TableText-Left"/>
              <w:jc w:val="center"/>
            </w:pPr>
            <w:r>
              <w:t>MPAS</w:t>
            </w:r>
          </w:p>
        </w:tc>
        <w:tc>
          <w:tcPr>
            <w:tcW w:w="2222" w:type="dxa"/>
          </w:tcPr>
          <w:p w14:paraId="25FC8E17" w14:textId="1B04D135" w:rsidR="004D0BFE" w:rsidRDefault="004D0BFE" w:rsidP="00CF3FA4">
            <w:pPr>
              <w:pStyle w:val="TableText-Left"/>
              <w:jc w:val="center"/>
            </w:pPr>
            <w:r>
              <w:t>DNO Data Service</w:t>
            </w:r>
          </w:p>
        </w:tc>
      </w:tr>
    </w:tbl>
    <w:p w14:paraId="067EE177" w14:textId="568B5EF7" w:rsidR="00CE04AC" w:rsidRPr="00501F07" w:rsidRDefault="008A5C04" w:rsidP="00CE04AC">
      <w:pPr>
        <w:pStyle w:val="Paragrapgh"/>
      </w:pPr>
      <w:r w:rsidRPr="00FC4335">
        <w:t>Note:</w:t>
      </w:r>
      <w:r w:rsidRPr="00CE04AC">
        <w:rPr>
          <w:b/>
          <w:u w:val="single"/>
        </w:rPr>
        <w:t xml:space="preserve"> </w:t>
      </w:r>
      <w:r>
        <w:t>MeteringPointStat</w:t>
      </w:r>
      <w:r w:rsidR="002159EE">
        <w:t>u</w:t>
      </w:r>
      <w:r>
        <w:t>s</w:t>
      </w:r>
      <w:r w:rsidRPr="00501F07">
        <w:t xml:space="preserve"> </w:t>
      </w:r>
      <w:r w:rsidR="00CF3FA4">
        <w:t>represents</w:t>
      </w:r>
      <w:r w:rsidRPr="00501F07">
        <w:t xml:space="preserve"> a</w:t>
      </w:r>
      <w:r w:rsidR="00CF3FA4">
        <w:t>n existing</w:t>
      </w:r>
      <w:r w:rsidRPr="00501F07">
        <w:t xml:space="preserve"> interface between</w:t>
      </w:r>
      <w:r w:rsidR="0060288E">
        <w:t xml:space="preserve"> </w:t>
      </w:r>
      <w:r w:rsidR="00DB63D0">
        <w:t>MPAS</w:t>
      </w:r>
      <w:r>
        <w:t xml:space="preserve"> and </w:t>
      </w:r>
      <w:r w:rsidR="0060288E">
        <w:t>DNO Data Service</w:t>
      </w:r>
      <w:r w:rsidR="00CF3FA4">
        <w:t xml:space="preserve"> which may require changes under the </w:t>
      </w:r>
      <w:r w:rsidR="00A41210">
        <w:t>new</w:t>
      </w:r>
      <w:r w:rsidR="00CF3FA4">
        <w:t xml:space="preserve"> arrangements</w:t>
      </w:r>
      <w:r w:rsidRPr="00501F07">
        <w:t>.</w:t>
      </w:r>
      <w:r>
        <w:t xml:space="preserve"> I</w:t>
      </w:r>
      <w:r w:rsidRPr="00501F07">
        <w:t>t is included here for completeness</w:t>
      </w:r>
      <w:r w:rsidR="00EC68EF">
        <w:t>. A</w:t>
      </w:r>
      <w:r w:rsidR="008A453C">
        <w:t>ny changes necessary as a result of the new Switching Arrangements</w:t>
      </w:r>
      <w:r w:rsidR="00CE04AC" w:rsidRPr="00501F07">
        <w:t xml:space="preserve"> </w:t>
      </w:r>
      <w:r w:rsidR="00CE04AC">
        <w:t xml:space="preserve">will need to be agreed directly between the respective </w:t>
      </w:r>
      <w:r w:rsidR="003D3FDC">
        <w:t>Service</w:t>
      </w:r>
      <w:r w:rsidR="00CE04AC">
        <w:t xml:space="preserve"> Owners</w:t>
      </w:r>
      <w:r w:rsidR="00CE04AC" w:rsidRPr="00501F07">
        <w:t>.</w:t>
      </w:r>
    </w:p>
    <w:p w14:paraId="4C9C3945" w14:textId="74EE60BE" w:rsidR="008A5C04" w:rsidRDefault="0060288E" w:rsidP="00CE04AC">
      <w:pPr>
        <w:pStyle w:val="Paragrapgh"/>
      </w:pPr>
      <w:r>
        <w:t>The</w:t>
      </w:r>
      <w:r w:rsidR="008A5C04">
        <w:t xml:space="preserve"> interface</w:t>
      </w:r>
      <w:r w:rsidR="00FC1537">
        <w:t>s</w:t>
      </w:r>
      <w:r w:rsidR="008A5C04">
        <w:t xml:space="preserve"> </w:t>
      </w:r>
      <w:r>
        <w:t>are</w:t>
      </w:r>
      <w:r w:rsidR="008A5C04">
        <w:t xml:space="preserve"> shown in the next diagram:</w:t>
      </w:r>
    </w:p>
    <w:p w14:paraId="204DD7E5" w14:textId="078E9A98" w:rsidR="008A5C04" w:rsidRPr="007B34C8" w:rsidRDefault="00343F6B" w:rsidP="003C4FDE">
      <w:pPr>
        <w:pStyle w:val="BodyTextNormal"/>
        <w:jc w:val="center"/>
        <w:rPr>
          <w:color w:val="FF0000"/>
          <w:highlight w:val="yellow"/>
        </w:rPr>
      </w:pPr>
      <w:r>
        <w:rPr>
          <w:noProof/>
          <w:color w:val="FF0000"/>
          <w:lang w:eastAsia="en-GB"/>
        </w:rPr>
        <w:drawing>
          <wp:inline distT="0" distB="0" distL="0" distR="0" wp14:anchorId="5D96CA1F" wp14:editId="04278648">
            <wp:extent cx="4742960" cy="326078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2E SA -DNO - Figure 13.gif"/>
                    <pic:cNvPicPr/>
                  </pic:nvPicPr>
                  <pic:blipFill>
                    <a:blip r:embed="rId32">
                      <a:extLst>
                        <a:ext uri="{28A0092B-C50C-407E-A947-70E740481C1C}">
                          <a14:useLocalDpi xmlns:a14="http://schemas.microsoft.com/office/drawing/2010/main" val="0"/>
                        </a:ext>
                      </a:extLst>
                    </a:blip>
                    <a:stretch>
                      <a:fillRect/>
                    </a:stretch>
                  </pic:blipFill>
                  <pic:spPr>
                    <a:xfrm>
                      <a:off x="0" y="0"/>
                      <a:ext cx="4746924" cy="3263510"/>
                    </a:xfrm>
                    <a:prstGeom prst="rect">
                      <a:avLst/>
                    </a:prstGeom>
                  </pic:spPr>
                </pic:pic>
              </a:graphicData>
            </a:graphic>
          </wp:inline>
        </w:drawing>
      </w:r>
    </w:p>
    <w:p w14:paraId="65603F23" w14:textId="64B33FAD" w:rsidR="008A5C04" w:rsidRPr="00A72CB6" w:rsidRDefault="008A5C04" w:rsidP="008A5C04">
      <w:pPr>
        <w:pStyle w:val="Caption"/>
      </w:pPr>
      <w:r w:rsidRPr="00A72CB6">
        <w:t xml:space="preserve">Figure </w:t>
      </w:r>
      <w:r w:rsidR="00112F53">
        <w:rPr>
          <w:noProof/>
        </w:rPr>
        <w:fldChar w:fldCharType="begin"/>
      </w:r>
      <w:r w:rsidR="00112F53">
        <w:rPr>
          <w:noProof/>
        </w:rPr>
        <w:instrText xml:space="preserve"> SEQ Figure \* ARABIC </w:instrText>
      </w:r>
      <w:r w:rsidR="00112F53">
        <w:rPr>
          <w:noProof/>
        </w:rPr>
        <w:fldChar w:fldCharType="separate"/>
      </w:r>
      <w:r w:rsidR="005D4843">
        <w:rPr>
          <w:noProof/>
        </w:rPr>
        <w:t>13</w:t>
      </w:r>
      <w:r w:rsidR="00112F53">
        <w:rPr>
          <w:noProof/>
        </w:rPr>
        <w:fldChar w:fldCharType="end"/>
      </w:r>
      <w:r w:rsidRPr="00A72CB6">
        <w:t xml:space="preserve"> </w:t>
      </w:r>
      <w:r w:rsidR="00CF3FA4">
        <w:t xml:space="preserve">– New/Changed </w:t>
      </w:r>
      <w:r w:rsidRPr="00A72CB6">
        <w:t xml:space="preserve">Interfaces </w:t>
      </w:r>
      <w:r w:rsidR="00035A86">
        <w:t>for</w:t>
      </w:r>
      <w:r w:rsidRPr="00A72CB6">
        <w:t xml:space="preserve"> DNOs</w:t>
      </w:r>
    </w:p>
    <w:p w14:paraId="68178381" w14:textId="2479C4EB" w:rsidR="008A5C04" w:rsidRDefault="008A5C04" w:rsidP="00F73DBE">
      <w:pPr>
        <w:pStyle w:val="Heading3"/>
      </w:pPr>
      <w:bookmarkStart w:id="120" w:name="_Toc491332316"/>
      <w:bookmarkStart w:id="121" w:name="_Toc491332412"/>
      <w:bookmarkStart w:id="122" w:name="_Toc494379478"/>
      <w:bookmarkStart w:id="123" w:name="_Toc505257238"/>
      <w:bookmarkStart w:id="124" w:name="_Toc505689966"/>
      <w:bookmarkStart w:id="125" w:name="_Toc9934752"/>
      <w:r>
        <w:t>Gas Transporter</w:t>
      </w:r>
      <w:r w:rsidR="003C6070">
        <w:t xml:space="preserve"> Data Service</w:t>
      </w:r>
      <w:bookmarkEnd w:id="120"/>
      <w:bookmarkEnd w:id="121"/>
      <w:bookmarkEnd w:id="122"/>
      <w:bookmarkEnd w:id="123"/>
      <w:bookmarkEnd w:id="124"/>
      <w:bookmarkEnd w:id="125"/>
    </w:p>
    <w:p w14:paraId="691CCC4B" w14:textId="1EBF059A" w:rsidR="00C559D3" w:rsidRDefault="009C47D5" w:rsidP="00C559D3">
      <w:pPr>
        <w:pStyle w:val="Paragrapgh"/>
      </w:pPr>
      <w:bookmarkStart w:id="126" w:name="_Toc491332317"/>
      <w:bookmarkStart w:id="127" w:name="_Toc491332413"/>
      <w:r>
        <w:t>Gas Transporters (</w:t>
      </w:r>
      <w:r w:rsidR="00C559D3">
        <w:t>GTs</w:t>
      </w:r>
      <w:r>
        <w:t>)</w:t>
      </w:r>
      <w:r w:rsidR="00C559D3" w:rsidRPr="00974FB0">
        <w:t xml:space="preserve"> will </w:t>
      </w:r>
      <w:r w:rsidR="00C559D3">
        <w:t>require</w:t>
      </w:r>
      <w:r w:rsidR="00C559D3" w:rsidRPr="00974FB0">
        <w:t xml:space="preserve"> changes </w:t>
      </w:r>
      <w:r w:rsidR="00C559D3">
        <w:t xml:space="preserve">to </w:t>
      </w:r>
      <w:r w:rsidR="00310689">
        <w:t xml:space="preserve">their existing </w:t>
      </w:r>
      <w:r w:rsidR="00C559D3">
        <w:t>interface</w:t>
      </w:r>
      <w:r w:rsidR="00310689">
        <w:t>(s)</w:t>
      </w:r>
      <w:r w:rsidR="00C559D3">
        <w:t xml:space="preserve"> to </w:t>
      </w:r>
      <w:r w:rsidR="00A1661D">
        <w:t>UK Link</w:t>
      </w:r>
      <w:r w:rsidR="00C559D3">
        <w:t xml:space="preserve">, </w:t>
      </w:r>
      <w:r w:rsidR="00035A86">
        <w:t xml:space="preserve">to </w:t>
      </w:r>
      <w:r w:rsidR="00C559D3">
        <w:t>provide updated supply meter point status information.</w:t>
      </w:r>
      <w:r w:rsidR="008B2338">
        <w:t xml:space="preserve"> </w:t>
      </w:r>
    </w:p>
    <w:p w14:paraId="10D650AF" w14:textId="77777777" w:rsidR="008A5C04" w:rsidRDefault="008A5C04" w:rsidP="00A12885">
      <w:pPr>
        <w:pStyle w:val="Paragrapgh"/>
      </w:pPr>
      <w:r>
        <w:t>The new industry business processes for GTs, and interaction sequence diagrams describing their involvement in these processes, are defined in the Switching Design Repository (</w:t>
      </w:r>
      <w:r w:rsidR="008D424D">
        <w:t>ABACUS</w:t>
      </w:r>
      <w:r>
        <w:t xml:space="preserve">). </w:t>
      </w:r>
    </w:p>
    <w:p w14:paraId="08E21196" w14:textId="77777777" w:rsidR="008A5C04" w:rsidRDefault="008A5C04" w:rsidP="00A80026">
      <w:pPr>
        <w:pStyle w:val="Heading4"/>
        <w:keepNext/>
      </w:pPr>
      <w:r>
        <w:t xml:space="preserve">Impact </w:t>
      </w:r>
      <w:r w:rsidRPr="00890F09">
        <w:t>Summary</w:t>
      </w:r>
    </w:p>
    <w:p w14:paraId="63C949F5" w14:textId="37D5B89E" w:rsidR="008A5C04" w:rsidRDefault="00C6173E" w:rsidP="00A80026">
      <w:pPr>
        <w:pStyle w:val="Paragrapgh"/>
        <w:keepNext/>
      </w:pPr>
      <w:r w:rsidRPr="0035188E">
        <w:t xml:space="preserve">The following </w:t>
      </w:r>
      <w:r w:rsidR="009C47D5">
        <w:t xml:space="preserve">table provides a summary of the </w:t>
      </w:r>
      <w:r w:rsidR="00BB6E59">
        <w:t xml:space="preserve">CSS </w:t>
      </w:r>
      <w:r w:rsidRPr="0035188E">
        <w:t>interface</w:t>
      </w:r>
      <w:r>
        <w:t xml:space="preserve">s </w:t>
      </w:r>
      <w:r w:rsidR="009C47D5">
        <w:t xml:space="preserve">that </w:t>
      </w:r>
      <w:r>
        <w:t>are</w:t>
      </w:r>
      <w:r w:rsidRPr="0035188E">
        <w:t xml:space="preserve"> specified for </w:t>
      </w:r>
      <w:r>
        <w:t>the GT Data Service</w:t>
      </w:r>
      <w:r w:rsidR="00BB6E59">
        <w:t>:</w:t>
      </w:r>
    </w:p>
    <w:tbl>
      <w:tblPr>
        <w:tblStyle w:val="TableGrid"/>
        <w:tblW w:w="0" w:type="auto"/>
        <w:tblLook w:val="04A0" w:firstRow="1" w:lastRow="0" w:firstColumn="1" w:lastColumn="0" w:noHBand="0" w:noVBand="1"/>
      </w:tblPr>
      <w:tblGrid>
        <w:gridCol w:w="2822"/>
        <w:gridCol w:w="2545"/>
        <w:gridCol w:w="2181"/>
        <w:gridCol w:w="2182"/>
      </w:tblGrid>
      <w:tr w:rsidR="00677CCE" w:rsidRPr="00F26F35" w14:paraId="3775F8D6" w14:textId="77777777" w:rsidTr="00681F0E">
        <w:tc>
          <w:tcPr>
            <w:tcW w:w="2822" w:type="dxa"/>
            <w:shd w:val="clear" w:color="auto" w:fill="A6A6A6" w:themeFill="background1" w:themeFillShade="A6"/>
          </w:tcPr>
          <w:p w14:paraId="3C272B20" w14:textId="77777777" w:rsidR="00677CCE" w:rsidRPr="00F26F35" w:rsidRDefault="00677CCE" w:rsidP="00677CCE">
            <w:pPr>
              <w:pStyle w:val="TableHeadings"/>
            </w:pPr>
            <w:r w:rsidRPr="00F26F35">
              <w:t>Interface</w:t>
            </w:r>
            <w:r>
              <w:t xml:space="preserve"> Name</w:t>
            </w:r>
          </w:p>
        </w:tc>
        <w:tc>
          <w:tcPr>
            <w:tcW w:w="2545" w:type="dxa"/>
            <w:shd w:val="clear" w:color="auto" w:fill="A6A6A6" w:themeFill="background1" w:themeFillShade="A6"/>
          </w:tcPr>
          <w:p w14:paraId="45AE2C69" w14:textId="77777777" w:rsidR="00677CCE" w:rsidRPr="00F26F35" w:rsidRDefault="00677CCE" w:rsidP="00677CCE">
            <w:pPr>
              <w:pStyle w:val="TableHeadings"/>
            </w:pPr>
            <w:r>
              <w:t>Directionality</w:t>
            </w:r>
          </w:p>
        </w:tc>
        <w:tc>
          <w:tcPr>
            <w:tcW w:w="2181" w:type="dxa"/>
            <w:shd w:val="clear" w:color="auto" w:fill="A6A6A6" w:themeFill="background1" w:themeFillShade="A6"/>
          </w:tcPr>
          <w:p w14:paraId="45EAA46A" w14:textId="77777777" w:rsidR="00677CCE" w:rsidRPr="00F26F35" w:rsidRDefault="00677CCE" w:rsidP="00677CCE">
            <w:pPr>
              <w:pStyle w:val="TableHeadings"/>
              <w:jc w:val="center"/>
            </w:pPr>
            <w:r>
              <w:t>Sending Data Service</w:t>
            </w:r>
          </w:p>
        </w:tc>
        <w:tc>
          <w:tcPr>
            <w:tcW w:w="2182" w:type="dxa"/>
            <w:shd w:val="clear" w:color="auto" w:fill="A6A6A6" w:themeFill="background1" w:themeFillShade="A6"/>
          </w:tcPr>
          <w:p w14:paraId="55B26267" w14:textId="77777777" w:rsidR="00677CCE" w:rsidRPr="00FC5269" w:rsidRDefault="00677CCE" w:rsidP="00677CCE">
            <w:pPr>
              <w:pStyle w:val="TableHeadings"/>
              <w:jc w:val="center"/>
            </w:pPr>
            <w:r>
              <w:t>Receiving Data Service</w:t>
            </w:r>
          </w:p>
        </w:tc>
      </w:tr>
      <w:tr w:rsidR="00681F0E" w:rsidRPr="002C57DA" w14:paraId="744B1629" w14:textId="77777777" w:rsidTr="00681F0E">
        <w:tc>
          <w:tcPr>
            <w:tcW w:w="2822" w:type="dxa"/>
          </w:tcPr>
          <w:p w14:paraId="43D80767" w14:textId="77777777" w:rsidR="00681F0E" w:rsidRPr="002C57DA" w:rsidRDefault="00681F0E" w:rsidP="008A5C04">
            <w:pPr>
              <w:pStyle w:val="TableText-Left"/>
            </w:pPr>
            <w:r>
              <w:t>SupplyMeterPointStatus</w:t>
            </w:r>
            <w:r w:rsidRPr="002C57DA">
              <w:t xml:space="preserve"> </w:t>
            </w:r>
          </w:p>
        </w:tc>
        <w:tc>
          <w:tcPr>
            <w:tcW w:w="2545" w:type="dxa"/>
          </w:tcPr>
          <w:p w14:paraId="51A0D634" w14:textId="77777777" w:rsidR="00681F0E" w:rsidRPr="002C57DA" w:rsidRDefault="00681F0E" w:rsidP="008A5C04">
            <w:pPr>
              <w:pStyle w:val="TableText-Left"/>
            </w:pPr>
            <w:r>
              <w:t>Outbound</w:t>
            </w:r>
          </w:p>
        </w:tc>
        <w:tc>
          <w:tcPr>
            <w:tcW w:w="2181" w:type="dxa"/>
          </w:tcPr>
          <w:p w14:paraId="2246764A" w14:textId="3A8E1E62" w:rsidR="00681F0E" w:rsidRPr="002C57DA" w:rsidRDefault="00681F0E" w:rsidP="00681F0E">
            <w:pPr>
              <w:pStyle w:val="TableText-Left"/>
              <w:jc w:val="center"/>
            </w:pPr>
            <w:r>
              <w:t>Gas Transporter</w:t>
            </w:r>
            <w:r w:rsidR="00C6173E">
              <w:t xml:space="preserve"> Data Service</w:t>
            </w:r>
          </w:p>
        </w:tc>
        <w:tc>
          <w:tcPr>
            <w:tcW w:w="2182" w:type="dxa"/>
          </w:tcPr>
          <w:p w14:paraId="0434AFDB" w14:textId="5D945063" w:rsidR="00681F0E" w:rsidRDefault="00A1661D" w:rsidP="00681F0E">
            <w:pPr>
              <w:pStyle w:val="TableText-Left"/>
              <w:jc w:val="center"/>
            </w:pPr>
            <w:r>
              <w:t>UK Link</w:t>
            </w:r>
          </w:p>
        </w:tc>
      </w:tr>
    </w:tbl>
    <w:p w14:paraId="7F9E062C" w14:textId="22D286C9" w:rsidR="00CE04AC" w:rsidRPr="00501F07" w:rsidRDefault="008A5C04" w:rsidP="00CE04AC">
      <w:pPr>
        <w:pStyle w:val="Paragrapgh"/>
      </w:pPr>
      <w:r w:rsidRPr="00AB3CA0">
        <w:t>NOTE</w:t>
      </w:r>
      <w:r w:rsidR="00AB3CA0">
        <w:t>:</w:t>
      </w:r>
      <w:r w:rsidR="00FC1537">
        <w:t xml:space="preserve"> </w:t>
      </w:r>
      <w:r>
        <w:t>SupplyMeterPointStatus</w:t>
      </w:r>
      <w:r w:rsidRPr="00501F07">
        <w:t xml:space="preserve"> is a</w:t>
      </w:r>
      <w:r w:rsidR="005549FE">
        <w:t xml:space="preserve">n existing </w:t>
      </w:r>
      <w:r w:rsidRPr="00501F07">
        <w:t xml:space="preserve">interface between </w:t>
      </w:r>
      <w:r>
        <w:t>GT</w:t>
      </w:r>
      <w:r w:rsidR="00AB3CA0">
        <w:t xml:space="preserve"> Data Service</w:t>
      </w:r>
      <w:r>
        <w:t xml:space="preserve"> and </w:t>
      </w:r>
      <w:r w:rsidR="00A1661D">
        <w:t>UK Link</w:t>
      </w:r>
      <w:r w:rsidRPr="00501F07">
        <w:t>.</w:t>
      </w:r>
      <w:r>
        <w:t xml:space="preserve"> I</w:t>
      </w:r>
      <w:r w:rsidRPr="00501F07">
        <w:t>t is included here for completeness</w:t>
      </w:r>
      <w:r w:rsidR="00EC68EF">
        <w:t>. A</w:t>
      </w:r>
      <w:r w:rsidR="008A453C">
        <w:t>ny changes necessary as a result of the new Switching Arrangements</w:t>
      </w:r>
      <w:r w:rsidR="00CE04AC" w:rsidRPr="00501F07">
        <w:t xml:space="preserve"> </w:t>
      </w:r>
      <w:r w:rsidR="00CE04AC">
        <w:t xml:space="preserve">will need to be agreed directly between the respective </w:t>
      </w:r>
      <w:r w:rsidR="003D3FDC">
        <w:t>Service</w:t>
      </w:r>
      <w:r w:rsidR="00CE04AC">
        <w:t xml:space="preserve"> Owners</w:t>
      </w:r>
      <w:r w:rsidR="00CE04AC" w:rsidRPr="00501F07">
        <w:t>.</w:t>
      </w:r>
    </w:p>
    <w:p w14:paraId="6C5FB9BF" w14:textId="30D49A44" w:rsidR="008A5C04" w:rsidRDefault="00241622" w:rsidP="00CE04AC">
      <w:pPr>
        <w:pStyle w:val="Paragrapgh"/>
      </w:pPr>
      <w:r>
        <w:t>The</w:t>
      </w:r>
      <w:r w:rsidR="008A5C04">
        <w:t xml:space="preserve"> interface</w:t>
      </w:r>
      <w:r>
        <w:t>s are</w:t>
      </w:r>
      <w:r w:rsidR="008A5C04">
        <w:t xml:space="preserve"> shown in the next diagram:</w:t>
      </w:r>
    </w:p>
    <w:p w14:paraId="2F65C6A7" w14:textId="04CD5CE4" w:rsidR="008A5C04" w:rsidRPr="007B34C8" w:rsidRDefault="00FF5360" w:rsidP="008A5C04">
      <w:pPr>
        <w:pStyle w:val="BodyTextNormal"/>
        <w:jc w:val="center"/>
        <w:rPr>
          <w:color w:val="FF0000"/>
          <w:highlight w:val="yellow"/>
        </w:rPr>
      </w:pPr>
      <w:r>
        <w:rPr>
          <w:noProof/>
          <w:color w:val="FF0000"/>
          <w:lang w:eastAsia="en-GB"/>
        </w:rPr>
        <w:drawing>
          <wp:inline distT="0" distB="0" distL="0" distR="0" wp14:anchorId="45C2B8AB" wp14:editId="15C35CFD">
            <wp:extent cx="4389120" cy="194536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2E SA -GT - Figure 14.gif"/>
                    <pic:cNvPicPr/>
                  </pic:nvPicPr>
                  <pic:blipFill>
                    <a:blip r:embed="rId33">
                      <a:extLst>
                        <a:ext uri="{28A0092B-C50C-407E-A947-70E740481C1C}">
                          <a14:useLocalDpi xmlns:a14="http://schemas.microsoft.com/office/drawing/2010/main" val="0"/>
                        </a:ext>
                      </a:extLst>
                    </a:blip>
                    <a:stretch>
                      <a:fillRect/>
                    </a:stretch>
                  </pic:blipFill>
                  <pic:spPr>
                    <a:xfrm>
                      <a:off x="0" y="0"/>
                      <a:ext cx="4415561" cy="1957080"/>
                    </a:xfrm>
                    <a:prstGeom prst="rect">
                      <a:avLst/>
                    </a:prstGeom>
                  </pic:spPr>
                </pic:pic>
              </a:graphicData>
            </a:graphic>
          </wp:inline>
        </w:drawing>
      </w:r>
    </w:p>
    <w:p w14:paraId="6E82CEA8" w14:textId="3D48FEDF" w:rsidR="008A5C04" w:rsidRPr="00A72CB6" w:rsidRDefault="008A5C04" w:rsidP="008A5C04">
      <w:pPr>
        <w:pStyle w:val="Caption"/>
      </w:pPr>
      <w:r w:rsidRPr="00A72CB6">
        <w:t xml:space="preserve">Figure </w:t>
      </w:r>
      <w:r w:rsidR="00112F53">
        <w:rPr>
          <w:noProof/>
        </w:rPr>
        <w:fldChar w:fldCharType="begin"/>
      </w:r>
      <w:r w:rsidR="00112F53">
        <w:rPr>
          <w:noProof/>
        </w:rPr>
        <w:instrText xml:space="preserve"> SEQ Figure \* ARABIC </w:instrText>
      </w:r>
      <w:r w:rsidR="00112F53">
        <w:rPr>
          <w:noProof/>
        </w:rPr>
        <w:fldChar w:fldCharType="separate"/>
      </w:r>
      <w:r w:rsidR="005D4843">
        <w:rPr>
          <w:noProof/>
        </w:rPr>
        <w:t>14</w:t>
      </w:r>
      <w:r w:rsidR="00112F53">
        <w:rPr>
          <w:noProof/>
        </w:rPr>
        <w:fldChar w:fldCharType="end"/>
      </w:r>
      <w:r w:rsidRPr="00A72CB6">
        <w:t xml:space="preserve"> </w:t>
      </w:r>
      <w:r w:rsidR="00CF3FA4">
        <w:t xml:space="preserve">–Changed </w:t>
      </w:r>
      <w:r w:rsidRPr="00A72CB6">
        <w:t>Interface between GT</w:t>
      </w:r>
      <w:r w:rsidR="000C210B">
        <w:t xml:space="preserve"> Data Service</w:t>
      </w:r>
      <w:r w:rsidRPr="00A72CB6">
        <w:t xml:space="preserve"> </w:t>
      </w:r>
      <w:r w:rsidR="000C210B">
        <w:t xml:space="preserve">and </w:t>
      </w:r>
      <w:r w:rsidR="00A1661D">
        <w:t>UK Link</w:t>
      </w:r>
    </w:p>
    <w:p w14:paraId="5F46D62C" w14:textId="7CAFAA2C" w:rsidR="008A5C04" w:rsidRPr="00735003" w:rsidRDefault="00241622" w:rsidP="00F73DBE">
      <w:pPr>
        <w:pStyle w:val="Heading3"/>
      </w:pPr>
      <w:bookmarkStart w:id="128" w:name="_Toc494379482"/>
      <w:bookmarkStart w:id="129" w:name="_Toc505257242"/>
      <w:bookmarkStart w:id="130" w:name="_Toc505689970"/>
      <w:bookmarkStart w:id="131" w:name="_Toc9934753"/>
      <w:bookmarkEnd w:id="126"/>
      <w:bookmarkEnd w:id="127"/>
      <w:bookmarkEnd w:id="128"/>
      <w:r>
        <w:t>MAP</w:t>
      </w:r>
      <w:r w:rsidR="00393B97">
        <w:t>s</w:t>
      </w:r>
      <w:bookmarkEnd w:id="129"/>
      <w:bookmarkEnd w:id="130"/>
      <w:bookmarkEnd w:id="131"/>
    </w:p>
    <w:p w14:paraId="0AE0DB3F" w14:textId="4A157DC5" w:rsidR="00241622" w:rsidRDefault="008A5C04" w:rsidP="00735003">
      <w:pPr>
        <w:pStyle w:val="Paragrapgh"/>
      </w:pPr>
      <w:r>
        <w:t xml:space="preserve">MAPs will </w:t>
      </w:r>
      <w:r w:rsidR="00241622">
        <w:t>implement</w:t>
      </w:r>
      <w:r>
        <w:t xml:space="preserve"> changes to the</w:t>
      </w:r>
      <w:r w:rsidR="00241622">
        <w:t xml:space="preserve">ir </w:t>
      </w:r>
      <w:r w:rsidR="002B3FE2">
        <w:t>d</w:t>
      </w:r>
      <w:r w:rsidR="00241622">
        <w:t xml:space="preserve">ata </w:t>
      </w:r>
      <w:r w:rsidR="002B3FE2">
        <w:t>s</w:t>
      </w:r>
      <w:r w:rsidR="00241622">
        <w:t>ervices</w:t>
      </w:r>
      <w:r>
        <w:t xml:space="preserve"> </w:t>
      </w:r>
      <w:r w:rsidR="00241622">
        <w:t xml:space="preserve">to </w:t>
      </w:r>
      <w:r w:rsidR="00A80026">
        <w:t xml:space="preserve">receive </w:t>
      </w:r>
      <w:r w:rsidR="00241622">
        <w:t>new N</w:t>
      </w:r>
      <w:r>
        <w:t xml:space="preserve">otifications </w:t>
      </w:r>
      <w:r w:rsidR="00241622">
        <w:t xml:space="preserve">from CSS </w:t>
      </w:r>
      <w:r>
        <w:t xml:space="preserve">related to switched registrations. </w:t>
      </w:r>
    </w:p>
    <w:p w14:paraId="3B935164" w14:textId="037AF301" w:rsidR="008A5C04" w:rsidRDefault="008A5C04" w:rsidP="00735003">
      <w:pPr>
        <w:pStyle w:val="Paragrapgh"/>
      </w:pPr>
      <w:r>
        <w:t xml:space="preserve">This data </w:t>
      </w:r>
      <w:r w:rsidR="00241622">
        <w:t xml:space="preserve">will be </w:t>
      </w:r>
      <w:r>
        <w:t>transferred through new interface</w:t>
      </w:r>
      <w:r w:rsidR="00286141">
        <w:t xml:space="preserve">s between </w:t>
      </w:r>
      <w:r w:rsidR="0037213F">
        <w:t>CSS</w:t>
      </w:r>
      <w:r>
        <w:t xml:space="preserve"> </w:t>
      </w:r>
      <w:r w:rsidR="00241622">
        <w:t>and</w:t>
      </w:r>
      <w:r>
        <w:t xml:space="preserve"> MAP </w:t>
      </w:r>
      <w:r w:rsidR="00241622">
        <w:t>Data Services</w:t>
      </w:r>
      <w:r>
        <w:t>.</w:t>
      </w:r>
    </w:p>
    <w:p w14:paraId="51C0BCF1" w14:textId="326DE427" w:rsidR="00393B97" w:rsidRDefault="00393B97" w:rsidP="00735003">
      <w:pPr>
        <w:pStyle w:val="Paragrapgh"/>
      </w:pPr>
      <w:r>
        <w:t>The MAP ID of the primary asset related to an RMP will be maintained in MPAS and UK Link.</w:t>
      </w:r>
    </w:p>
    <w:p w14:paraId="1DA64963" w14:textId="77777777" w:rsidR="008A5C04" w:rsidRDefault="008A5C04" w:rsidP="00735003">
      <w:pPr>
        <w:pStyle w:val="Paragrapgh"/>
      </w:pPr>
      <w:r>
        <w:t>The new industry business processes and interaction sequence diagrams describing the role of the MAP in these processes, are defined in the Switch</w:t>
      </w:r>
      <w:r w:rsidR="00B37E23">
        <w:t>ing Design Repository (</w:t>
      </w:r>
      <w:r w:rsidR="008D424D">
        <w:t>ABACUS</w:t>
      </w:r>
      <w:r w:rsidR="00B37E23">
        <w:t>).</w:t>
      </w:r>
    </w:p>
    <w:p w14:paraId="0F5A2F90" w14:textId="77777777" w:rsidR="008A5C04" w:rsidRDefault="008A5C04" w:rsidP="00735003">
      <w:pPr>
        <w:pStyle w:val="Heading4"/>
      </w:pPr>
      <w:r>
        <w:t xml:space="preserve">Impact </w:t>
      </w:r>
      <w:r w:rsidRPr="00735003">
        <w:t>Summary</w:t>
      </w:r>
    </w:p>
    <w:p w14:paraId="11DF5D90" w14:textId="49119990" w:rsidR="008A5C04" w:rsidRDefault="00677CCE" w:rsidP="00677CCE">
      <w:pPr>
        <w:pStyle w:val="Paragrapgh"/>
      </w:pPr>
      <w:r w:rsidRPr="0035188E">
        <w:t xml:space="preserve">The following </w:t>
      </w:r>
      <w:r w:rsidR="002C59D3">
        <w:t xml:space="preserve">table provides a summary of the </w:t>
      </w:r>
      <w:r w:rsidR="002C59D3" w:rsidRPr="0035188E">
        <w:t>new</w:t>
      </w:r>
      <w:r w:rsidR="002C59D3">
        <w:t xml:space="preserve"> CSS</w:t>
      </w:r>
      <w:r w:rsidR="002C59D3" w:rsidRPr="0035188E">
        <w:t xml:space="preserve"> </w:t>
      </w:r>
      <w:r w:rsidR="00AE39DA">
        <w:t xml:space="preserve">(including </w:t>
      </w:r>
      <w:r w:rsidR="001F04FD">
        <w:t>Switching Domain</w:t>
      </w:r>
      <w:r w:rsidR="00AE39DA">
        <w:t xml:space="preserve"> Data Service) </w:t>
      </w:r>
      <w:r w:rsidRPr="0035188E">
        <w:t>interface</w:t>
      </w:r>
      <w:r>
        <w:t xml:space="preserve">s </w:t>
      </w:r>
      <w:r w:rsidR="002C59D3">
        <w:t xml:space="preserve">that </w:t>
      </w:r>
      <w:r>
        <w:t>are</w:t>
      </w:r>
      <w:r w:rsidRPr="0035188E">
        <w:t xml:space="preserve"> specified for </w:t>
      </w:r>
      <w:r>
        <w:t>the MAP Data Service</w:t>
      </w:r>
      <w:r w:rsidRPr="0035188E">
        <w:t xml:space="preserve"> in ABACUS</w:t>
      </w:r>
      <w:r>
        <w:t>:</w:t>
      </w:r>
    </w:p>
    <w:tbl>
      <w:tblPr>
        <w:tblStyle w:val="TableGrid"/>
        <w:tblW w:w="0" w:type="auto"/>
        <w:tblLook w:val="04A0" w:firstRow="1" w:lastRow="0" w:firstColumn="1" w:lastColumn="0" w:noHBand="0" w:noVBand="1"/>
      </w:tblPr>
      <w:tblGrid>
        <w:gridCol w:w="2976"/>
        <w:gridCol w:w="2510"/>
        <w:gridCol w:w="2122"/>
        <w:gridCol w:w="2122"/>
      </w:tblGrid>
      <w:tr w:rsidR="00677CCE" w:rsidRPr="00F26F35" w14:paraId="65E3058C" w14:textId="77777777" w:rsidTr="00681F0E">
        <w:tc>
          <w:tcPr>
            <w:tcW w:w="2976" w:type="dxa"/>
            <w:shd w:val="clear" w:color="auto" w:fill="A6A6A6" w:themeFill="background1" w:themeFillShade="A6"/>
          </w:tcPr>
          <w:p w14:paraId="41152445" w14:textId="77777777" w:rsidR="00677CCE" w:rsidRPr="00F26F35" w:rsidRDefault="00677CCE" w:rsidP="00677CCE">
            <w:pPr>
              <w:pStyle w:val="TableHeadings"/>
            </w:pPr>
            <w:r w:rsidRPr="00F26F35">
              <w:t>Interface</w:t>
            </w:r>
            <w:r>
              <w:t xml:space="preserve"> Name</w:t>
            </w:r>
          </w:p>
        </w:tc>
        <w:tc>
          <w:tcPr>
            <w:tcW w:w="2510" w:type="dxa"/>
            <w:shd w:val="clear" w:color="auto" w:fill="A6A6A6" w:themeFill="background1" w:themeFillShade="A6"/>
          </w:tcPr>
          <w:p w14:paraId="631D456E" w14:textId="77777777" w:rsidR="00677CCE" w:rsidRPr="00F26F35" w:rsidRDefault="00677CCE" w:rsidP="00677CCE">
            <w:pPr>
              <w:pStyle w:val="TableHeadings"/>
            </w:pPr>
            <w:r>
              <w:t>Directionality</w:t>
            </w:r>
          </w:p>
        </w:tc>
        <w:tc>
          <w:tcPr>
            <w:tcW w:w="2122" w:type="dxa"/>
            <w:shd w:val="clear" w:color="auto" w:fill="A6A6A6" w:themeFill="background1" w:themeFillShade="A6"/>
          </w:tcPr>
          <w:p w14:paraId="74FD690B" w14:textId="77777777" w:rsidR="00677CCE" w:rsidRPr="00F26F35" w:rsidRDefault="00677CCE" w:rsidP="00677CCE">
            <w:pPr>
              <w:pStyle w:val="TableHeadings"/>
              <w:jc w:val="center"/>
            </w:pPr>
            <w:r>
              <w:t>Sending Data Service</w:t>
            </w:r>
          </w:p>
        </w:tc>
        <w:tc>
          <w:tcPr>
            <w:tcW w:w="2122" w:type="dxa"/>
            <w:shd w:val="clear" w:color="auto" w:fill="A6A6A6" w:themeFill="background1" w:themeFillShade="A6"/>
          </w:tcPr>
          <w:p w14:paraId="38B3D444" w14:textId="77777777" w:rsidR="00677CCE" w:rsidRPr="00FC5269" w:rsidRDefault="00677CCE" w:rsidP="00677CCE">
            <w:pPr>
              <w:pStyle w:val="TableHeadings"/>
              <w:jc w:val="center"/>
            </w:pPr>
            <w:r>
              <w:t>Receiving Data Service</w:t>
            </w:r>
          </w:p>
        </w:tc>
      </w:tr>
      <w:tr w:rsidR="00681F0E" w:rsidRPr="002C57DA" w14:paraId="2CC922EB" w14:textId="77777777" w:rsidTr="00681F0E">
        <w:tc>
          <w:tcPr>
            <w:tcW w:w="2976" w:type="dxa"/>
          </w:tcPr>
          <w:p w14:paraId="5158CBB0" w14:textId="77777777" w:rsidR="00681F0E" w:rsidRPr="002C57DA" w:rsidRDefault="00681F0E" w:rsidP="008A5C04">
            <w:pPr>
              <w:pStyle w:val="TableText-Left"/>
            </w:pPr>
            <w:r>
              <w:t>RegMgmtRequestNotification</w:t>
            </w:r>
            <w:r w:rsidRPr="002C57DA">
              <w:t xml:space="preserve"> </w:t>
            </w:r>
          </w:p>
        </w:tc>
        <w:tc>
          <w:tcPr>
            <w:tcW w:w="2510" w:type="dxa"/>
          </w:tcPr>
          <w:p w14:paraId="568AF421" w14:textId="77777777" w:rsidR="00681F0E" w:rsidRPr="002C57DA" w:rsidRDefault="00681F0E" w:rsidP="008A5C04">
            <w:pPr>
              <w:pStyle w:val="TableText-Left"/>
            </w:pPr>
            <w:r w:rsidRPr="002C57DA">
              <w:t>Inbound</w:t>
            </w:r>
          </w:p>
        </w:tc>
        <w:tc>
          <w:tcPr>
            <w:tcW w:w="2122" w:type="dxa"/>
          </w:tcPr>
          <w:p w14:paraId="2BC483FC" w14:textId="77777777" w:rsidR="00681F0E" w:rsidRPr="002C57DA" w:rsidRDefault="00681F0E" w:rsidP="00681F0E">
            <w:pPr>
              <w:pStyle w:val="TableText-Left"/>
              <w:jc w:val="center"/>
            </w:pPr>
            <w:r>
              <w:t>CSS</w:t>
            </w:r>
          </w:p>
        </w:tc>
        <w:tc>
          <w:tcPr>
            <w:tcW w:w="2122" w:type="dxa"/>
          </w:tcPr>
          <w:p w14:paraId="2D0826E6" w14:textId="2EC78FB0" w:rsidR="00681F0E" w:rsidRDefault="00681F0E" w:rsidP="00681F0E">
            <w:pPr>
              <w:pStyle w:val="TableText-Left"/>
              <w:jc w:val="center"/>
            </w:pPr>
            <w:r>
              <w:t>MAP</w:t>
            </w:r>
            <w:r w:rsidR="00241622">
              <w:t xml:space="preserve"> Data Service</w:t>
            </w:r>
          </w:p>
        </w:tc>
      </w:tr>
      <w:tr w:rsidR="00241622" w:rsidRPr="002C57DA" w14:paraId="7B086B59" w14:textId="77777777" w:rsidTr="00681F0E">
        <w:tc>
          <w:tcPr>
            <w:tcW w:w="2976" w:type="dxa"/>
          </w:tcPr>
          <w:p w14:paraId="53F8BD67" w14:textId="0B3EA758" w:rsidR="00241622" w:rsidRPr="00310689" w:rsidRDefault="00241622" w:rsidP="00241622">
            <w:pPr>
              <w:pStyle w:val="TableText-Left"/>
            </w:pPr>
            <w:r>
              <w:t>SwitchingDomainData</w:t>
            </w:r>
            <w:r w:rsidR="00210749">
              <w:rPr>
                <w:rStyle w:val="FootnoteReference"/>
              </w:rPr>
              <w:footnoteReference w:id="16"/>
            </w:r>
          </w:p>
        </w:tc>
        <w:tc>
          <w:tcPr>
            <w:tcW w:w="2510" w:type="dxa"/>
          </w:tcPr>
          <w:p w14:paraId="0886F3E9" w14:textId="7CB911A4" w:rsidR="00241622" w:rsidRPr="00310689" w:rsidRDefault="00241622" w:rsidP="00241622">
            <w:pPr>
              <w:pStyle w:val="TableText-Left"/>
            </w:pPr>
            <w:r>
              <w:t>Inbound</w:t>
            </w:r>
          </w:p>
        </w:tc>
        <w:tc>
          <w:tcPr>
            <w:tcW w:w="2122" w:type="dxa"/>
          </w:tcPr>
          <w:p w14:paraId="3C47DCCE" w14:textId="433CFD4F" w:rsidR="00241622" w:rsidRPr="00310689" w:rsidRDefault="001F04FD" w:rsidP="00241622">
            <w:pPr>
              <w:pStyle w:val="TableText-Left"/>
              <w:jc w:val="center"/>
            </w:pPr>
            <w:r>
              <w:t>Switching Domain</w:t>
            </w:r>
            <w:r w:rsidR="00241622">
              <w:t xml:space="preserve"> Data Service</w:t>
            </w:r>
          </w:p>
        </w:tc>
        <w:tc>
          <w:tcPr>
            <w:tcW w:w="2122" w:type="dxa"/>
          </w:tcPr>
          <w:p w14:paraId="2BEE964A" w14:textId="0E161B4A" w:rsidR="00241622" w:rsidRPr="00310689" w:rsidRDefault="00241622" w:rsidP="00241622">
            <w:pPr>
              <w:pStyle w:val="TableText-Left"/>
              <w:jc w:val="center"/>
            </w:pPr>
            <w:r>
              <w:t>MAP Data Service</w:t>
            </w:r>
          </w:p>
        </w:tc>
      </w:tr>
    </w:tbl>
    <w:p w14:paraId="59417071" w14:textId="3C2A8E8C" w:rsidR="008A5C04" w:rsidRDefault="008A5C04" w:rsidP="00735003">
      <w:pPr>
        <w:pStyle w:val="Paragrapgh"/>
      </w:pPr>
      <w:r>
        <w:t>The interfaces are shown in the next diagram:</w:t>
      </w:r>
    </w:p>
    <w:p w14:paraId="3E838AF3" w14:textId="2C840533" w:rsidR="008A5C04" w:rsidRDefault="00EB1985" w:rsidP="008A5C04">
      <w:pPr>
        <w:pStyle w:val="BodyTextNormal"/>
        <w:jc w:val="center"/>
      </w:pPr>
      <w:r w:rsidRPr="00EB1985">
        <w:t xml:space="preserve"> </w:t>
      </w:r>
      <w:r w:rsidR="00D1261C">
        <w:rPr>
          <w:noProof/>
          <w:lang w:eastAsia="en-GB"/>
        </w:rPr>
        <w:drawing>
          <wp:inline distT="0" distB="0" distL="0" distR="0" wp14:anchorId="5FC8343E" wp14:editId="761B60DC">
            <wp:extent cx="6184900" cy="4841240"/>
            <wp:effectExtent l="0" t="0" r="635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E2E SA - CSS to MAP - Figure 15.gif"/>
                    <pic:cNvPicPr/>
                  </pic:nvPicPr>
                  <pic:blipFill>
                    <a:blip r:embed="rId34">
                      <a:extLst>
                        <a:ext uri="{28A0092B-C50C-407E-A947-70E740481C1C}">
                          <a14:useLocalDpi xmlns:a14="http://schemas.microsoft.com/office/drawing/2010/main" val="0"/>
                        </a:ext>
                      </a:extLst>
                    </a:blip>
                    <a:stretch>
                      <a:fillRect/>
                    </a:stretch>
                  </pic:blipFill>
                  <pic:spPr>
                    <a:xfrm>
                      <a:off x="0" y="0"/>
                      <a:ext cx="6184900" cy="4841240"/>
                    </a:xfrm>
                    <a:prstGeom prst="rect">
                      <a:avLst/>
                    </a:prstGeom>
                  </pic:spPr>
                </pic:pic>
              </a:graphicData>
            </a:graphic>
          </wp:inline>
        </w:drawing>
      </w:r>
    </w:p>
    <w:p w14:paraId="57765555" w14:textId="406692B1" w:rsidR="008A5C04" w:rsidRPr="00A72CB6" w:rsidRDefault="008A5C04" w:rsidP="008A5C04">
      <w:pPr>
        <w:pStyle w:val="Caption"/>
      </w:pPr>
      <w:r w:rsidRPr="00A72CB6">
        <w:t xml:space="preserve">Figure </w:t>
      </w:r>
      <w:r w:rsidR="00112F53">
        <w:rPr>
          <w:noProof/>
        </w:rPr>
        <w:fldChar w:fldCharType="begin"/>
      </w:r>
      <w:r w:rsidR="00112F53">
        <w:rPr>
          <w:noProof/>
        </w:rPr>
        <w:instrText xml:space="preserve"> SEQ Figure \* ARABIC </w:instrText>
      </w:r>
      <w:r w:rsidR="00112F53">
        <w:rPr>
          <w:noProof/>
        </w:rPr>
        <w:fldChar w:fldCharType="separate"/>
      </w:r>
      <w:r w:rsidR="005D4843">
        <w:rPr>
          <w:noProof/>
        </w:rPr>
        <w:t>15</w:t>
      </w:r>
      <w:r w:rsidR="00112F53">
        <w:rPr>
          <w:noProof/>
        </w:rPr>
        <w:fldChar w:fldCharType="end"/>
      </w:r>
      <w:r w:rsidRPr="00A72CB6">
        <w:t xml:space="preserve"> </w:t>
      </w:r>
      <w:r w:rsidR="00CF3FA4">
        <w:t xml:space="preserve">– New/Changed </w:t>
      </w:r>
      <w:r w:rsidRPr="00A72CB6">
        <w:t>Interface</w:t>
      </w:r>
      <w:r>
        <w:t>s</w:t>
      </w:r>
      <w:r w:rsidRPr="00A72CB6">
        <w:t xml:space="preserve"> </w:t>
      </w:r>
      <w:r w:rsidR="00DB5641">
        <w:t>with the</w:t>
      </w:r>
      <w:r w:rsidRPr="00A72CB6">
        <w:t xml:space="preserve"> MAP</w:t>
      </w:r>
      <w:r w:rsidR="00DB5641">
        <w:t xml:space="preserve"> Data Service</w:t>
      </w:r>
    </w:p>
    <w:p w14:paraId="2BF84DFF" w14:textId="2A0BC9B5" w:rsidR="008A5C04" w:rsidRDefault="008A5C04" w:rsidP="00F73DBE">
      <w:pPr>
        <w:pStyle w:val="Heading3"/>
      </w:pPr>
      <w:bookmarkStart w:id="132" w:name="_Toc491332321"/>
      <w:bookmarkStart w:id="133" w:name="_Toc491332417"/>
      <w:bookmarkStart w:id="134" w:name="_Toc494379483"/>
      <w:bookmarkStart w:id="135" w:name="_Toc505257243"/>
      <w:bookmarkStart w:id="136" w:name="_Toc505689971"/>
      <w:bookmarkStart w:id="137" w:name="_Toc9934754"/>
      <w:r w:rsidRPr="005020DA">
        <w:t>Settlements</w:t>
      </w:r>
      <w:bookmarkEnd w:id="132"/>
      <w:bookmarkEnd w:id="133"/>
      <w:bookmarkEnd w:id="134"/>
      <w:bookmarkEnd w:id="135"/>
      <w:bookmarkEnd w:id="136"/>
      <w:bookmarkEnd w:id="137"/>
    </w:p>
    <w:p w14:paraId="6FD50C18" w14:textId="302F61B6" w:rsidR="008A5C04" w:rsidRDefault="002C59D3" w:rsidP="00CE04AC">
      <w:pPr>
        <w:pStyle w:val="Paragrapgh"/>
      </w:pPr>
      <w:r>
        <w:t xml:space="preserve">For Gas, there </w:t>
      </w:r>
      <w:r w:rsidR="008A5C04">
        <w:t xml:space="preserve">is no </w:t>
      </w:r>
      <w:r w:rsidR="00A12885">
        <w:t xml:space="preserve">direct </w:t>
      </w:r>
      <w:r w:rsidR="004676FC">
        <w:t>impact on</w:t>
      </w:r>
      <w:r w:rsidR="008A5C04">
        <w:t xml:space="preserve"> </w:t>
      </w:r>
      <w:r w:rsidR="00A1661D">
        <w:t>UK Link</w:t>
      </w:r>
      <w:r w:rsidR="008A5C04">
        <w:t xml:space="preserve"> </w:t>
      </w:r>
      <w:r w:rsidR="008613CB">
        <w:t>to</w:t>
      </w:r>
      <w:r w:rsidR="008A5C04">
        <w:t xml:space="preserve"> </w:t>
      </w:r>
      <w:r w:rsidR="00A1661D">
        <w:t>UK Link</w:t>
      </w:r>
      <w:r w:rsidR="005055DE">
        <w:t xml:space="preserve"> </w:t>
      </w:r>
      <w:r w:rsidR="00AB3CA0">
        <w:t>(</w:t>
      </w:r>
      <w:r w:rsidR="008A5C04">
        <w:t>Settlements</w:t>
      </w:r>
      <w:r w:rsidR="00AB3CA0">
        <w:t>)</w:t>
      </w:r>
      <w:r w:rsidR="008A5C04">
        <w:t xml:space="preserve"> as a result of implementing </w:t>
      </w:r>
      <w:r w:rsidR="0037213F">
        <w:t>CSS</w:t>
      </w:r>
      <w:r w:rsidR="008A5C04">
        <w:t xml:space="preserve">. </w:t>
      </w:r>
      <w:r w:rsidR="008613CB">
        <w:t>T</w:t>
      </w:r>
      <w:r w:rsidR="008A5C04">
        <w:t xml:space="preserve">here </w:t>
      </w:r>
      <w:r w:rsidR="008613CB">
        <w:t>is a</w:t>
      </w:r>
      <w:r w:rsidR="008A5C04">
        <w:t xml:space="preserve"> change</w:t>
      </w:r>
      <w:r w:rsidR="00CE04AC">
        <w:t xml:space="preserve"> to </w:t>
      </w:r>
      <w:r w:rsidR="00A1661D">
        <w:t>UK Link</w:t>
      </w:r>
      <w:r w:rsidR="008A5C04">
        <w:t xml:space="preserve"> to provide a</w:t>
      </w:r>
      <w:r w:rsidR="00BC44ED">
        <w:t>n</w:t>
      </w:r>
      <w:r w:rsidR="008A5C04">
        <w:t xml:space="preserve"> </w:t>
      </w:r>
      <w:r w:rsidR="008A5C04" w:rsidRPr="00E90487">
        <w:t xml:space="preserve">update feed of data that represents the switched information </w:t>
      </w:r>
      <w:r w:rsidR="008A5C04">
        <w:t xml:space="preserve">(i.e. </w:t>
      </w:r>
      <w:r w:rsidR="008A5C04" w:rsidRPr="00E90487">
        <w:t>the switched supplier to meter point relationship</w:t>
      </w:r>
      <w:r w:rsidR="008A5C04">
        <w:t>)</w:t>
      </w:r>
      <w:r w:rsidR="008613CB">
        <w:t xml:space="preserve"> but</w:t>
      </w:r>
      <w:r w:rsidR="008A5C04">
        <w:t xml:space="preserve"> this change does not present an </w:t>
      </w:r>
      <w:r w:rsidR="004676FC">
        <w:t>impact on</w:t>
      </w:r>
      <w:r w:rsidR="008A5C04">
        <w:t xml:space="preserve"> the current </w:t>
      </w:r>
      <w:r w:rsidR="00A1661D">
        <w:t>UK Link</w:t>
      </w:r>
      <w:r w:rsidR="008A5C04">
        <w:t xml:space="preserve"> - Settlements processing and operations.</w:t>
      </w:r>
      <w:r w:rsidR="00EA0DA6">
        <w:t xml:space="preserve">  However, </w:t>
      </w:r>
      <w:r w:rsidR="00575D68">
        <w:t xml:space="preserve">the shipper nomination process is changed (e.g. </w:t>
      </w:r>
      <w:r w:rsidR="00EA0DA6">
        <w:t>the gas confirmation window is shortened to one working day</w:t>
      </w:r>
      <w:r w:rsidR="00575D68">
        <w:t>)</w:t>
      </w:r>
      <w:r w:rsidR="00EA0DA6">
        <w:t xml:space="preserve"> and any impact of this should be assessed.</w:t>
      </w:r>
    </w:p>
    <w:p w14:paraId="5B3DFA77" w14:textId="345DC76B" w:rsidR="008A5C04" w:rsidRDefault="002C59D3" w:rsidP="00735003">
      <w:pPr>
        <w:pStyle w:val="Paragrapgh"/>
      </w:pPr>
      <w:r>
        <w:t>For Electricity, t</w:t>
      </w:r>
      <w:r w:rsidR="008A5C04">
        <w:t xml:space="preserve">here is no </w:t>
      </w:r>
      <w:r w:rsidR="004676FC">
        <w:t>impact on</w:t>
      </w:r>
      <w:r w:rsidR="008A5C04">
        <w:t xml:space="preserve"> the </w:t>
      </w:r>
      <w:r w:rsidR="005055DE">
        <w:t xml:space="preserve">Data Aggregation Service </w:t>
      </w:r>
      <w:r w:rsidR="008613CB">
        <w:t>to</w:t>
      </w:r>
      <w:r w:rsidR="005055DE">
        <w:t xml:space="preserve"> </w:t>
      </w:r>
      <w:r w:rsidR="008A5C04">
        <w:t xml:space="preserve">Elexon </w:t>
      </w:r>
      <w:r w:rsidR="005055DE">
        <w:t>(</w:t>
      </w:r>
      <w:r w:rsidR="008A5C04">
        <w:t>Settlements</w:t>
      </w:r>
      <w:r w:rsidR="005055DE">
        <w:t>)</w:t>
      </w:r>
      <w:r w:rsidR="008A5C04">
        <w:t xml:space="preserve"> </w:t>
      </w:r>
      <w:r w:rsidR="003D3FDC">
        <w:t>service</w:t>
      </w:r>
      <w:r w:rsidR="008A5C04">
        <w:t xml:space="preserve"> as a result of implementing </w:t>
      </w:r>
      <w:r w:rsidR="0037213F">
        <w:t>CSS</w:t>
      </w:r>
      <w:r w:rsidR="008A5C04">
        <w:t xml:space="preserve">. </w:t>
      </w:r>
      <w:r w:rsidR="005055DE">
        <w:t>This</w:t>
      </w:r>
      <w:r w:rsidR="008A5C04">
        <w:t xml:space="preserve"> </w:t>
      </w:r>
      <w:r w:rsidR="003D3FDC">
        <w:t>service</w:t>
      </w:r>
      <w:r w:rsidR="008A5C04">
        <w:t xml:space="preserve"> will continue to be supported by DA </w:t>
      </w:r>
      <w:r w:rsidR="003D3FDC">
        <w:t>service</w:t>
      </w:r>
      <w:r w:rsidR="008A5C04">
        <w:t>s in its current state and environment (i.e. processing and operations).</w:t>
      </w:r>
    </w:p>
    <w:p w14:paraId="6FBD91F3" w14:textId="55714120" w:rsidR="008A5C04" w:rsidRDefault="00E10599" w:rsidP="008A5C04">
      <w:pPr>
        <w:pStyle w:val="BodyTextNormal"/>
        <w:jc w:val="center"/>
      </w:pPr>
      <w:r>
        <w:rPr>
          <w:noProof/>
          <w:lang w:eastAsia="en-GB"/>
        </w:rPr>
        <w:drawing>
          <wp:inline distT="0" distB="0" distL="0" distR="0" wp14:anchorId="5C8E8FC7" wp14:editId="642EA7AC">
            <wp:extent cx="5430741" cy="2285483"/>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2E SA - Settlements - Figure 16.gif"/>
                    <pic:cNvPicPr/>
                  </pic:nvPicPr>
                  <pic:blipFill>
                    <a:blip r:embed="rId35">
                      <a:extLst>
                        <a:ext uri="{28A0092B-C50C-407E-A947-70E740481C1C}">
                          <a14:useLocalDpi xmlns:a14="http://schemas.microsoft.com/office/drawing/2010/main" val="0"/>
                        </a:ext>
                      </a:extLst>
                    </a:blip>
                    <a:stretch>
                      <a:fillRect/>
                    </a:stretch>
                  </pic:blipFill>
                  <pic:spPr>
                    <a:xfrm>
                      <a:off x="0" y="0"/>
                      <a:ext cx="5440396" cy="2289546"/>
                    </a:xfrm>
                    <a:prstGeom prst="rect">
                      <a:avLst/>
                    </a:prstGeom>
                  </pic:spPr>
                </pic:pic>
              </a:graphicData>
            </a:graphic>
          </wp:inline>
        </w:drawing>
      </w:r>
    </w:p>
    <w:p w14:paraId="5694FD1B" w14:textId="480557AB" w:rsidR="008A5C04" w:rsidRPr="00A72CB6" w:rsidRDefault="008A5C04" w:rsidP="008A5C04">
      <w:pPr>
        <w:pStyle w:val="Caption"/>
      </w:pPr>
      <w:r w:rsidRPr="00A72CB6">
        <w:t xml:space="preserve">Figure </w:t>
      </w:r>
      <w:r w:rsidR="00112F53">
        <w:rPr>
          <w:noProof/>
        </w:rPr>
        <w:fldChar w:fldCharType="begin"/>
      </w:r>
      <w:r w:rsidR="00112F53">
        <w:rPr>
          <w:noProof/>
        </w:rPr>
        <w:instrText xml:space="preserve"> SEQ Figure \* ARABIC </w:instrText>
      </w:r>
      <w:r w:rsidR="00112F53">
        <w:rPr>
          <w:noProof/>
        </w:rPr>
        <w:fldChar w:fldCharType="separate"/>
      </w:r>
      <w:r w:rsidR="005D4843">
        <w:rPr>
          <w:noProof/>
        </w:rPr>
        <w:t>16</w:t>
      </w:r>
      <w:r w:rsidR="00112F53">
        <w:rPr>
          <w:noProof/>
        </w:rPr>
        <w:fldChar w:fldCharType="end"/>
      </w:r>
      <w:r w:rsidRPr="00A72CB6">
        <w:t xml:space="preserve"> – Interfaces between Settlements</w:t>
      </w:r>
    </w:p>
    <w:p w14:paraId="0527EB86" w14:textId="0DDAAFA5" w:rsidR="00314031" w:rsidRPr="0064698A" w:rsidRDefault="008A5C04" w:rsidP="0064698A">
      <w:pPr>
        <w:pStyle w:val="Paragrapgh"/>
        <w:rPr>
          <w:b/>
        </w:rPr>
      </w:pPr>
      <w:r>
        <w:t>There are no changes to data formats and interface design, and therefore, no changes are required to be submitted to Code Bodies and Codes (e.g. SEC - Smart Energy Code) documentation</w:t>
      </w:r>
      <w:r w:rsidR="00D35A41">
        <w:t xml:space="preserve"> regarding data and interfaces</w:t>
      </w:r>
      <w:r>
        <w:t>.</w:t>
      </w:r>
      <w:bookmarkStart w:id="138" w:name="_Toc491332322"/>
      <w:bookmarkStart w:id="139" w:name="_Toc491332418"/>
      <w:bookmarkStart w:id="140" w:name="_Toc494379484"/>
    </w:p>
    <w:p w14:paraId="6783256E" w14:textId="1AE82012" w:rsidR="008A5C04" w:rsidRDefault="008A5C04" w:rsidP="00F73DBE">
      <w:pPr>
        <w:pStyle w:val="Heading3"/>
      </w:pPr>
      <w:bookmarkStart w:id="141" w:name="_Toc505257244"/>
      <w:bookmarkStart w:id="142" w:name="_Toc505689972"/>
      <w:bookmarkStart w:id="143" w:name="_Toc9934755"/>
      <w:r>
        <w:t>T</w:t>
      </w:r>
      <w:r w:rsidR="00270120">
        <w:t xml:space="preserve">hird </w:t>
      </w:r>
      <w:r>
        <w:t>P</w:t>
      </w:r>
      <w:r w:rsidR="00270120">
        <w:t xml:space="preserve">arty </w:t>
      </w:r>
      <w:r>
        <w:t>I</w:t>
      </w:r>
      <w:bookmarkEnd w:id="138"/>
      <w:bookmarkEnd w:id="139"/>
      <w:bookmarkEnd w:id="140"/>
      <w:r w:rsidR="00270120">
        <w:t>ntermediaries (TPI)</w:t>
      </w:r>
      <w:bookmarkEnd w:id="141"/>
      <w:bookmarkEnd w:id="142"/>
      <w:bookmarkEnd w:id="143"/>
    </w:p>
    <w:p w14:paraId="2D3FDE2E" w14:textId="64A6A87F" w:rsidR="00677CCE" w:rsidRDefault="00677CCE" w:rsidP="00735003">
      <w:pPr>
        <w:pStyle w:val="Paragrapgh"/>
      </w:pPr>
      <w:r>
        <w:t xml:space="preserve">TPIs (such as Brokers or </w:t>
      </w:r>
      <w:r w:rsidR="008A5C04">
        <w:t>Price Comparison Websites (</w:t>
      </w:r>
      <w:r w:rsidR="00363148">
        <w:t>PCW</w:t>
      </w:r>
      <w:r w:rsidR="008A5C04">
        <w:t>s)</w:t>
      </w:r>
      <w:r>
        <w:t>)</w:t>
      </w:r>
      <w:r w:rsidR="008A5C04">
        <w:t xml:space="preserve"> will </w:t>
      </w:r>
      <w:r w:rsidR="00CD186E">
        <w:t xml:space="preserve">require </w:t>
      </w:r>
      <w:r w:rsidR="008A5C04">
        <w:t>changes to the</w:t>
      </w:r>
      <w:r w:rsidR="00CD186E">
        <w:t xml:space="preserve">ir interactions with the </w:t>
      </w:r>
      <w:r w:rsidR="008A5C04">
        <w:t xml:space="preserve">gas and electricity enquiry </w:t>
      </w:r>
      <w:r>
        <w:t xml:space="preserve">services </w:t>
      </w:r>
      <w:r w:rsidR="00270120">
        <w:t>(</w:t>
      </w:r>
      <w:r>
        <w:t>DES and ECOES</w:t>
      </w:r>
      <w:r w:rsidR="00270120">
        <w:t>)</w:t>
      </w:r>
      <w:r>
        <w:t xml:space="preserve">, </w:t>
      </w:r>
      <w:r w:rsidR="008A5C04">
        <w:t xml:space="preserve">to supplement and enhance the supplier switching functionality of their </w:t>
      </w:r>
      <w:r w:rsidR="003D3FDC">
        <w:t>service</w:t>
      </w:r>
      <w:r w:rsidR="008A5C04">
        <w:t xml:space="preserve">s. </w:t>
      </w:r>
      <w:r w:rsidR="008613CB">
        <w:t>They will need to be able to use the additional address (REL Address) provided by CSS, as well as changed values for the states through which a Registration passes during its lifecycle.</w:t>
      </w:r>
    </w:p>
    <w:p w14:paraId="063B4FCC" w14:textId="1889CAD0" w:rsidR="008A5C04" w:rsidRDefault="008A5C04" w:rsidP="00735003">
      <w:pPr>
        <w:pStyle w:val="Paragrapgh"/>
      </w:pPr>
      <w:r>
        <w:t>The interfaces using the ‘</w:t>
      </w:r>
      <w:r w:rsidR="00E7008E">
        <w:t>MIS TPI Data Service</w:t>
      </w:r>
      <w:r>
        <w:t xml:space="preserve">’ will provide </w:t>
      </w:r>
      <w:r w:rsidR="00363148">
        <w:t>PCW</w:t>
      </w:r>
      <w:r>
        <w:t xml:space="preserve">s </w:t>
      </w:r>
      <w:r w:rsidR="009E7E00">
        <w:t xml:space="preserve">with gas and electricity enquiry information </w:t>
      </w:r>
      <w:r>
        <w:t xml:space="preserve">from </w:t>
      </w:r>
      <w:r w:rsidR="000D24E2">
        <w:t>DES and ECOES</w:t>
      </w:r>
      <w:r>
        <w:t xml:space="preserve"> </w:t>
      </w:r>
      <w:r w:rsidR="000D24E2">
        <w:t xml:space="preserve">respectively, </w:t>
      </w:r>
      <w:r>
        <w:t xml:space="preserve">to support improved </w:t>
      </w:r>
      <w:r w:rsidR="00677CCE">
        <w:t>consumer data validation</w:t>
      </w:r>
      <w:r>
        <w:t xml:space="preserve"> functionality.</w:t>
      </w:r>
    </w:p>
    <w:p w14:paraId="07B504DF" w14:textId="77777777" w:rsidR="008A5C04" w:rsidRDefault="008A5C04" w:rsidP="00735003">
      <w:pPr>
        <w:pStyle w:val="Heading4"/>
      </w:pPr>
      <w:r>
        <w:t xml:space="preserve">Impact </w:t>
      </w:r>
      <w:r w:rsidRPr="00735003">
        <w:t>Summary</w:t>
      </w:r>
    </w:p>
    <w:p w14:paraId="46889230" w14:textId="2DEB2D9D" w:rsidR="00677CCE" w:rsidRDefault="00677CCE" w:rsidP="00677CCE">
      <w:pPr>
        <w:pStyle w:val="Paragrapgh"/>
      </w:pPr>
      <w:r w:rsidRPr="0035188E">
        <w:t xml:space="preserve">The following </w:t>
      </w:r>
      <w:r w:rsidR="002C59D3">
        <w:t xml:space="preserve">table provides a summary of the existing </w:t>
      </w:r>
      <w:r w:rsidR="00CA4962">
        <w:t>changed</w:t>
      </w:r>
      <w:r w:rsidR="00CA4962" w:rsidRPr="0035188E">
        <w:t xml:space="preserve"> </w:t>
      </w:r>
      <w:r w:rsidRPr="0035188E">
        <w:t>interface</w:t>
      </w:r>
      <w:r>
        <w:t xml:space="preserve">s </w:t>
      </w:r>
      <w:r w:rsidR="00AE39DA" w:rsidRPr="0035188E">
        <w:t xml:space="preserve">for </w:t>
      </w:r>
      <w:r w:rsidR="00AE39DA">
        <w:t>MIS TPI Data Services which</w:t>
      </w:r>
      <w:r w:rsidR="00CD186E">
        <w:t xml:space="preserve"> </w:t>
      </w:r>
      <w:r>
        <w:t>are</w:t>
      </w:r>
      <w:r w:rsidRPr="0035188E">
        <w:t xml:space="preserve"> </w:t>
      </w:r>
      <w:r w:rsidR="00AE39DA">
        <w:t xml:space="preserve">not </w:t>
      </w:r>
      <w:r w:rsidRPr="0035188E">
        <w:t>specified in ABACUS</w:t>
      </w:r>
      <w:r w:rsidR="00AE39DA">
        <w:t>, but are referenced for completeness</w:t>
      </w:r>
      <w:r>
        <w:t>:</w:t>
      </w:r>
    </w:p>
    <w:tbl>
      <w:tblPr>
        <w:tblStyle w:val="TableGrid"/>
        <w:tblW w:w="5000" w:type="pct"/>
        <w:tblLook w:val="04A0" w:firstRow="1" w:lastRow="0" w:firstColumn="1" w:lastColumn="0" w:noHBand="0" w:noVBand="1"/>
      </w:tblPr>
      <w:tblGrid>
        <w:gridCol w:w="2501"/>
        <w:gridCol w:w="2436"/>
        <w:gridCol w:w="2396"/>
        <w:gridCol w:w="2397"/>
      </w:tblGrid>
      <w:tr w:rsidR="00677CCE" w:rsidRPr="00F26F35" w14:paraId="23E38253" w14:textId="77777777" w:rsidTr="00675F3D">
        <w:trPr>
          <w:cantSplit/>
        </w:trPr>
        <w:tc>
          <w:tcPr>
            <w:tcW w:w="1285" w:type="pct"/>
            <w:shd w:val="clear" w:color="auto" w:fill="A6A6A6" w:themeFill="background1" w:themeFillShade="A6"/>
          </w:tcPr>
          <w:p w14:paraId="005D179A" w14:textId="77777777" w:rsidR="00677CCE" w:rsidRPr="00F26F35" w:rsidRDefault="00677CCE" w:rsidP="00675F3D">
            <w:pPr>
              <w:pStyle w:val="TableHeadings"/>
              <w:keepNext/>
              <w:keepLines/>
              <w:widowControl/>
            </w:pPr>
            <w:r w:rsidRPr="00F26F35">
              <w:t>Interface</w:t>
            </w:r>
            <w:r>
              <w:t xml:space="preserve"> Name</w:t>
            </w:r>
          </w:p>
        </w:tc>
        <w:tc>
          <w:tcPr>
            <w:tcW w:w="1252" w:type="pct"/>
            <w:shd w:val="clear" w:color="auto" w:fill="A6A6A6" w:themeFill="background1" w:themeFillShade="A6"/>
          </w:tcPr>
          <w:p w14:paraId="0E5F3276" w14:textId="77777777" w:rsidR="00677CCE" w:rsidRPr="00F26F35" w:rsidRDefault="00677CCE" w:rsidP="00675F3D">
            <w:pPr>
              <w:pStyle w:val="TableHeadings"/>
              <w:keepNext/>
              <w:keepLines/>
              <w:widowControl/>
            </w:pPr>
            <w:r>
              <w:t>Directionality</w:t>
            </w:r>
          </w:p>
        </w:tc>
        <w:tc>
          <w:tcPr>
            <w:tcW w:w="1231" w:type="pct"/>
            <w:shd w:val="clear" w:color="auto" w:fill="A6A6A6" w:themeFill="background1" w:themeFillShade="A6"/>
          </w:tcPr>
          <w:p w14:paraId="751F7F3B" w14:textId="77777777" w:rsidR="00677CCE" w:rsidRPr="00F26F35" w:rsidRDefault="00677CCE" w:rsidP="00675F3D">
            <w:pPr>
              <w:pStyle w:val="TableHeadings"/>
              <w:keepNext/>
              <w:keepLines/>
              <w:widowControl/>
              <w:jc w:val="center"/>
            </w:pPr>
            <w:r>
              <w:t>Sending Data Service</w:t>
            </w:r>
          </w:p>
        </w:tc>
        <w:tc>
          <w:tcPr>
            <w:tcW w:w="1232" w:type="pct"/>
            <w:shd w:val="clear" w:color="auto" w:fill="A6A6A6" w:themeFill="background1" w:themeFillShade="A6"/>
          </w:tcPr>
          <w:p w14:paraId="5460E2A4" w14:textId="77777777" w:rsidR="00677CCE" w:rsidRPr="00FC5269" w:rsidRDefault="00677CCE" w:rsidP="00675F3D">
            <w:pPr>
              <w:pStyle w:val="TableHeadings"/>
              <w:keepNext/>
              <w:keepLines/>
              <w:widowControl/>
              <w:jc w:val="center"/>
            </w:pPr>
            <w:r>
              <w:t>Receiving Data Service</w:t>
            </w:r>
          </w:p>
        </w:tc>
      </w:tr>
      <w:tr w:rsidR="00A72211" w:rsidRPr="002C57DA" w14:paraId="2903216D" w14:textId="77777777" w:rsidTr="00675F3D">
        <w:trPr>
          <w:cantSplit/>
        </w:trPr>
        <w:tc>
          <w:tcPr>
            <w:tcW w:w="1285" w:type="pct"/>
          </w:tcPr>
          <w:p w14:paraId="6A0B6E56" w14:textId="77777777" w:rsidR="00A72211" w:rsidRPr="002C57DA" w:rsidRDefault="00A72211" w:rsidP="00675F3D">
            <w:pPr>
              <w:pStyle w:val="TableText-Left"/>
              <w:keepNext/>
              <w:keepLines/>
            </w:pPr>
            <w:r>
              <w:t>TPIGasEnquiry</w:t>
            </w:r>
            <w:r w:rsidRPr="002C57DA">
              <w:t xml:space="preserve"> </w:t>
            </w:r>
          </w:p>
        </w:tc>
        <w:tc>
          <w:tcPr>
            <w:tcW w:w="1252" w:type="pct"/>
          </w:tcPr>
          <w:p w14:paraId="5394BE52" w14:textId="77777777" w:rsidR="00A72211" w:rsidRPr="002C57DA" w:rsidRDefault="00A72211" w:rsidP="00675F3D">
            <w:pPr>
              <w:pStyle w:val="TableText-Left"/>
              <w:keepNext/>
              <w:keepLines/>
            </w:pPr>
            <w:r>
              <w:t>Out</w:t>
            </w:r>
            <w:r w:rsidRPr="002C57DA">
              <w:t>bound</w:t>
            </w:r>
          </w:p>
        </w:tc>
        <w:tc>
          <w:tcPr>
            <w:tcW w:w="1231" w:type="pct"/>
          </w:tcPr>
          <w:p w14:paraId="0C562AE8" w14:textId="6A5085EA" w:rsidR="00A72211" w:rsidRPr="002C57DA" w:rsidRDefault="00C03A93" w:rsidP="00675F3D">
            <w:pPr>
              <w:pStyle w:val="TableText-Left"/>
              <w:keepNext/>
              <w:keepLines/>
              <w:jc w:val="center"/>
            </w:pPr>
            <w:r>
              <w:t xml:space="preserve">MIS </w:t>
            </w:r>
            <w:r w:rsidR="00A72211">
              <w:t>TPI</w:t>
            </w:r>
            <w:r>
              <w:t xml:space="preserve"> Data Service</w:t>
            </w:r>
          </w:p>
        </w:tc>
        <w:tc>
          <w:tcPr>
            <w:tcW w:w="1232" w:type="pct"/>
          </w:tcPr>
          <w:p w14:paraId="60B8B4F6" w14:textId="77879AE2" w:rsidR="00A72211" w:rsidRPr="002C57DA" w:rsidRDefault="00A1661D" w:rsidP="00675F3D">
            <w:pPr>
              <w:pStyle w:val="TableText-Left"/>
              <w:keepNext/>
              <w:keepLines/>
              <w:jc w:val="center"/>
            </w:pPr>
            <w:r>
              <w:t>DES</w:t>
            </w:r>
          </w:p>
        </w:tc>
      </w:tr>
      <w:tr w:rsidR="00A72211" w:rsidRPr="002C57DA" w14:paraId="0964C24F" w14:textId="77777777" w:rsidTr="00675F3D">
        <w:trPr>
          <w:cantSplit/>
        </w:trPr>
        <w:tc>
          <w:tcPr>
            <w:tcW w:w="1285" w:type="pct"/>
          </w:tcPr>
          <w:p w14:paraId="78262730" w14:textId="77777777" w:rsidR="00A72211" w:rsidRPr="002C57DA" w:rsidRDefault="00A72211" w:rsidP="00675F3D">
            <w:pPr>
              <w:pStyle w:val="TableText-Left"/>
              <w:keepNext/>
              <w:keepLines/>
            </w:pPr>
            <w:r>
              <w:t>TPIElectricityEnquiry</w:t>
            </w:r>
          </w:p>
        </w:tc>
        <w:tc>
          <w:tcPr>
            <w:tcW w:w="1252" w:type="pct"/>
          </w:tcPr>
          <w:p w14:paraId="6ABA5F69" w14:textId="77777777" w:rsidR="00A72211" w:rsidRPr="002C57DA" w:rsidRDefault="00A72211" w:rsidP="00675F3D">
            <w:pPr>
              <w:pStyle w:val="TableText-Left"/>
              <w:keepNext/>
              <w:keepLines/>
            </w:pPr>
            <w:r>
              <w:t>Outbound</w:t>
            </w:r>
          </w:p>
        </w:tc>
        <w:tc>
          <w:tcPr>
            <w:tcW w:w="1231" w:type="pct"/>
          </w:tcPr>
          <w:p w14:paraId="0AEB2C78" w14:textId="48B673AE" w:rsidR="00A72211" w:rsidRPr="002C57DA" w:rsidRDefault="00C03A93" w:rsidP="00675F3D">
            <w:pPr>
              <w:pStyle w:val="TableText-Left"/>
              <w:keepNext/>
              <w:keepLines/>
              <w:jc w:val="center"/>
            </w:pPr>
            <w:r>
              <w:t xml:space="preserve">MIS </w:t>
            </w:r>
            <w:r w:rsidR="00A72211">
              <w:t>TPI</w:t>
            </w:r>
            <w:r>
              <w:t xml:space="preserve"> Data Service</w:t>
            </w:r>
          </w:p>
        </w:tc>
        <w:tc>
          <w:tcPr>
            <w:tcW w:w="1232" w:type="pct"/>
          </w:tcPr>
          <w:p w14:paraId="7B15AB97" w14:textId="7CDAB794" w:rsidR="00A72211" w:rsidRPr="002C57DA" w:rsidRDefault="00DB63D0" w:rsidP="00675F3D">
            <w:pPr>
              <w:pStyle w:val="TableText-Left"/>
              <w:keepNext/>
              <w:keepLines/>
              <w:jc w:val="center"/>
            </w:pPr>
            <w:r>
              <w:t>ECOES</w:t>
            </w:r>
          </w:p>
        </w:tc>
      </w:tr>
    </w:tbl>
    <w:p w14:paraId="797F0D50" w14:textId="4616FF64" w:rsidR="00CE04AC" w:rsidRPr="00501F07" w:rsidRDefault="008A5C04" w:rsidP="00CE04AC">
      <w:pPr>
        <w:pStyle w:val="Paragrapgh"/>
      </w:pPr>
      <w:r>
        <w:t>Note</w:t>
      </w:r>
      <w:r w:rsidRPr="00501F07">
        <w:t xml:space="preserve"> –</w:t>
      </w:r>
      <w:r>
        <w:t xml:space="preserve"> The above</w:t>
      </w:r>
      <w:r w:rsidRPr="00501F07">
        <w:t xml:space="preserve"> interface</w:t>
      </w:r>
      <w:r>
        <w:t>s</w:t>
      </w:r>
      <w:r w:rsidRPr="00501F07">
        <w:t xml:space="preserve"> </w:t>
      </w:r>
      <w:r>
        <w:t>are</w:t>
      </w:r>
      <w:r w:rsidRPr="00501F07">
        <w:t xml:space="preserve"> included here for completeness</w:t>
      </w:r>
      <w:r w:rsidR="00EC68EF">
        <w:t>.  A</w:t>
      </w:r>
      <w:r w:rsidR="008A453C">
        <w:t>ny changes necessary as a result of the new Switching Arrangements</w:t>
      </w:r>
      <w:r w:rsidR="00CE04AC" w:rsidRPr="00501F07">
        <w:t xml:space="preserve"> </w:t>
      </w:r>
      <w:r w:rsidR="00CE04AC">
        <w:t xml:space="preserve">will need to be agreed directly between the respective </w:t>
      </w:r>
      <w:r w:rsidR="003D3FDC">
        <w:t>Service</w:t>
      </w:r>
      <w:r w:rsidR="00CE04AC">
        <w:t xml:space="preserve"> Owners</w:t>
      </w:r>
      <w:r w:rsidR="00CE04AC" w:rsidRPr="00501F07">
        <w:t>.</w:t>
      </w:r>
    </w:p>
    <w:p w14:paraId="1A2EB43F" w14:textId="77777777" w:rsidR="008A5C04" w:rsidRDefault="008A5C04" w:rsidP="00CE04AC">
      <w:pPr>
        <w:pStyle w:val="Paragrapgh"/>
      </w:pPr>
      <w:r>
        <w:t xml:space="preserve">The interfaces for </w:t>
      </w:r>
      <w:r w:rsidR="00E7008E">
        <w:t>MIS TPI Data Service</w:t>
      </w:r>
      <w:r w:rsidR="00677CCE">
        <w:t>s</w:t>
      </w:r>
      <w:r>
        <w:t xml:space="preserve"> are shown in the next diagram:</w:t>
      </w:r>
    </w:p>
    <w:p w14:paraId="0CC583DF" w14:textId="13D88BC2" w:rsidR="008A5C04" w:rsidRDefault="00C03A93" w:rsidP="008A5C04">
      <w:pPr>
        <w:pStyle w:val="BodyTextNormal"/>
        <w:jc w:val="center"/>
      </w:pPr>
      <w:r>
        <w:rPr>
          <w:noProof/>
          <w:lang w:eastAsia="en-GB"/>
        </w:rPr>
        <w:drawing>
          <wp:inline distT="0" distB="0" distL="0" distR="0" wp14:anchorId="7D2805CB" wp14:editId="592AB978">
            <wp:extent cx="4572000" cy="43335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PI.emz"/>
                    <pic:cNvPicPr/>
                  </pic:nvPicPr>
                  <pic:blipFill>
                    <a:blip r:embed="rId36">
                      <a:extLst>
                        <a:ext uri="{28A0092B-C50C-407E-A947-70E740481C1C}">
                          <a14:useLocalDpi xmlns:a14="http://schemas.microsoft.com/office/drawing/2010/main" val="0"/>
                        </a:ext>
                      </a:extLst>
                    </a:blip>
                    <a:stretch>
                      <a:fillRect/>
                    </a:stretch>
                  </pic:blipFill>
                  <pic:spPr>
                    <a:xfrm>
                      <a:off x="0" y="0"/>
                      <a:ext cx="4584799" cy="4345674"/>
                    </a:xfrm>
                    <a:prstGeom prst="rect">
                      <a:avLst/>
                    </a:prstGeom>
                  </pic:spPr>
                </pic:pic>
              </a:graphicData>
            </a:graphic>
          </wp:inline>
        </w:drawing>
      </w:r>
    </w:p>
    <w:p w14:paraId="1060B138" w14:textId="2F05CAAC" w:rsidR="008A5C04" w:rsidRPr="00A72CB6" w:rsidRDefault="008A5C04" w:rsidP="008A5C04">
      <w:pPr>
        <w:pStyle w:val="Caption"/>
      </w:pPr>
      <w:r w:rsidRPr="00A72CB6">
        <w:t xml:space="preserve">Figure </w:t>
      </w:r>
      <w:r w:rsidR="00112F53">
        <w:rPr>
          <w:noProof/>
        </w:rPr>
        <w:fldChar w:fldCharType="begin"/>
      </w:r>
      <w:r w:rsidR="00112F53">
        <w:rPr>
          <w:noProof/>
        </w:rPr>
        <w:instrText xml:space="preserve"> SEQ Figure \* ARABIC </w:instrText>
      </w:r>
      <w:r w:rsidR="00112F53">
        <w:rPr>
          <w:noProof/>
        </w:rPr>
        <w:fldChar w:fldCharType="separate"/>
      </w:r>
      <w:r w:rsidR="005D4843">
        <w:rPr>
          <w:noProof/>
        </w:rPr>
        <w:t>17</w:t>
      </w:r>
      <w:r w:rsidR="00112F53">
        <w:rPr>
          <w:noProof/>
        </w:rPr>
        <w:fldChar w:fldCharType="end"/>
      </w:r>
      <w:r w:rsidRPr="00A72CB6">
        <w:t xml:space="preserve"> – Interfaces to </w:t>
      </w:r>
      <w:r w:rsidR="00C03A93">
        <w:t xml:space="preserve">MIS </w:t>
      </w:r>
      <w:r w:rsidRPr="00A72CB6">
        <w:t xml:space="preserve">TPI </w:t>
      </w:r>
      <w:r w:rsidR="00C03A93">
        <w:t>Data Services</w:t>
      </w:r>
    </w:p>
    <w:p w14:paraId="1F20218B" w14:textId="39259806" w:rsidR="008A5C04" w:rsidRPr="00735003" w:rsidRDefault="009142F5" w:rsidP="00F73DBE">
      <w:pPr>
        <w:pStyle w:val="Heading3"/>
      </w:pPr>
      <w:bookmarkStart w:id="144" w:name="_Toc491332323"/>
      <w:bookmarkStart w:id="145" w:name="_Toc491332419"/>
      <w:bookmarkStart w:id="146" w:name="_Toc494379485"/>
      <w:bookmarkStart w:id="147" w:name="_Toc505257245"/>
      <w:bookmarkStart w:id="148" w:name="_Toc505689973"/>
      <w:bookmarkStart w:id="149" w:name="_Toc9934756"/>
      <w:r>
        <w:t>O</w:t>
      </w:r>
      <w:r w:rsidR="008A5C04">
        <w:t>ther Agents</w:t>
      </w:r>
      <w:bookmarkEnd w:id="144"/>
      <w:bookmarkEnd w:id="145"/>
      <w:bookmarkEnd w:id="146"/>
      <w:bookmarkEnd w:id="147"/>
      <w:bookmarkEnd w:id="148"/>
      <w:bookmarkEnd w:id="149"/>
    </w:p>
    <w:p w14:paraId="33A8F246" w14:textId="75BA55AE" w:rsidR="002C286C" w:rsidRDefault="008A5C04" w:rsidP="00735003">
      <w:pPr>
        <w:pStyle w:val="Paragrapgh"/>
      </w:pPr>
      <w:r>
        <w:t xml:space="preserve">There are no </w:t>
      </w:r>
      <w:r w:rsidR="003D3FDC">
        <w:t>service</w:t>
      </w:r>
      <w:r>
        <w:t xml:space="preserve"> impacts to other agents within the E2E Switching Arrangements related to implementing the </w:t>
      </w:r>
      <w:r w:rsidR="0037213F">
        <w:t>CSS</w:t>
      </w:r>
      <w:r>
        <w:t xml:space="preserve"> </w:t>
      </w:r>
      <w:r w:rsidR="003D3FDC">
        <w:t>service</w:t>
      </w:r>
      <w:r>
        <w:t>. Therefore, t</w:t>
      </w:r>
      <w:r w:rsidRPr="00F36591">
        <w:t xml:space="preserve">here are no </w:t>
      </w:r>
      <w:r>
        <w:t xml:space="preserve">further </w:t>
      </w:r>
      <w:r w:rsidRPr="00F36591">
        <w:t>changes to data formats and interface desig</w:t>
      </w:r>
      <w:r>
        <w:t>n</w:t>
      </w:r>
      <w:r w:rsidRPr="00F36591">
        <w:t xml:space="preserve"> required to be submitted to </w:t>
      </w:r>
      <w:r>
        <w:t>Code Bodies and Codes (e.g. SEC - Smart Energy Code)</w:t>
      </w:r>
      <w:r w:rsidRPr="00F36591">
        <w:t xml:space="preserve"> documentation.</w:t>
      </w:r>
      <w:r w:rsidR="002C286C" w:rsidRPr="002C286C">
        <w:t xml:space="preserve"> </w:t>
      </w:r>
    </w:p>
    <w:p w14:paraId="0FA8C819" w14:textId="1BF2CFBC" w:rsidR="00DB6B19" w:rsidRDefault="001F04FD" w:rsidP="00F73DBE">
      <w:pPr>
        <w:pStyle w:val="Heading3"/>
      </w:pPr>
      <w:bookmarkStart w:id="150" w:name="_Toc9934757"/>
      <w:r>
        <w:t>Switching Domain</w:t>
      </w:r>
      <w:r w:rsidR="00DB6B19">
        <w:t xml:space="preserve"> Data Services</w:t>
      </w:r>
      <w:r w:rsidR="007E4BAB">
        <w:rPr>
          <w:rStyle w:val="FootnoteReference"/>
        </w:rPr>
        <w:footnoteReference w:id="17"/>
      </w:r>
      <w:bookmarkEnd w:id="150"/>
    </w:p>
    <w:p w14:paraId="59111EE7" w14:textId="6139BFB8" w:rsidR="00DB6B19" w:rsidRDefault="00DB6B19" w:rsidP="0065787F">
      <w:pPr>
        <w:pStyle w:val="Paragrapgh"/>
        <w:keepNext/>
      </w:pPr>
      <w:r>
        <w:t>A new service component, switching domain master data management, is delivered by the governance body tasked with regulatory administration of the reformed switching arrangements.</w:t>
      </w:r>
    </w:p>
    <w:p w14:paraId="00DB6A20" w14:textId="5931DEA0" w:rsidR="00DB6B19" w:rsidRDefault="00DB6B19" w:rsidP="00DB6B19">
      <w:pPr>
        <w:pStyle w:val="Paragrapgh"/>
        <w:keepNext/>
      </w:pPr>
      <w:r>
        <w:t>Switching domain master data management follows a unidirectional data-</w:t>
      </w:r>
      <w:r w:rsidRPr="00311938">
        <w:t>mo</w:t>
      </w:r>
      <w:r>
        <w:t>tion</w:t>
      </w:r>
      <w:r w:rsidRPr="00311938">
        <w:t xml:space="preserve"> </w:t>
      </w:r>
      <w:r>
        <w:t xml:space="preserve">pattern. </w:t>
      </w:r>
      <w:r>
        <w:fldChar w:fldCharType="begin"/>
      </w:r>
      <w:r>
        <w:instrText xml:space="preserve"> REF _Ref505854616 \h </w:instrText>
      </w:r>
      <w:r>
        <w:fldChar w:fldCharType="separate"/>
      </w:r>
      <w:r w:rsidR="005D4843">
        <w:t xml:space="preserve">Figure </w:t>
      </w:r>
      <w:r w:rsidR="005D4843">
        <w:rPr>
          <w:noProof/>
        </w:rPr>
        <w:t>18</w:t>
      </w:r>
      <w:r>
        <w:fldChar w:fldCharType="end"/>
      </w:r>
      <w:r>
        <w:t xml:space="preserve"> illustrates the pattern, where the direction of movement flows down the page.</w:t>
      </w:r>
      <w:r w:rsidR="008B697E">
        <w:t xml:space="preserve">  The flow of data will not be automated and is likely to happen via email or similar. </w:t>
      </w:r>
      <w:r>
        <w:br/>
        <w:t xml:space="preserve"> </w:t>
      </w:r>
      <w:r w:rsidRPr="00C918AF">
        <w:rPr>
          <w:noProof/>
          <w:lang w:eastAsia="en-GB"/>
        </w:rPr>
        <w:drawing>
          <wp:inline distT="0" distB="0" distL="0" distR="0" wp14:anchorId="34F47EFB" wp14:editId="22B82413">
            <wp:extent cx="5731510" cy="2871613"/>
            <wp:effectExtent l="0" t="0" r="2540" b="5080"/>
            <wp:docPr id="505" name="Picture 505" descr="C:\Users\P95034020\Documents\ABACUS Mobilisation\Domain 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95034020\Documents\ABACUS Mobilisation\Domain Data.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2871613"/>
                    </a:xfrm>
                    <a:prstGeom prst="rect">
                      <a:avLst/>
                    </a:prstGeom>
                    <a:noFill/>
                    <a:ln>
                      <a:noFill/>
                    </a:ln>
                  </pic:spPr>
                </pic:pic>
              </a:graphicData>
            </a:graphic>
          </wp:inline>
        </w:drawing>
      </w:r>
    </w:p>
    <w:p w14:paraId="7C82F7CE" w14:textId="4D8E6347" w:rsidR="00DB6B19" w:rsidRDefault="00DB6B19" w:rsidP="00DB6B19">
      <w:pPr>
        <w:pStyle w:val="Caption"/>
      </w:pPr>
      <w:bookmarkStart w:id="151" w:name="_Ref505854616"/>
      <w:bookmarkStart w:id="152" w:name="_Ref505854593"/>
      <w:r>
        <w:t xml:space="preserve">Figure </w:t>
      </w:r>
      <w:r w:rsidR="00112F53">
        <w:rPr>
          <w:noProof/>
        </w:rPr>
        <w:fldChar w:fldCharType="begin"/>
      </w:r>
      <w:r w:rsidR="00112F53">
        <w:rPr>
          <w:noProof/>
        </w:rPr>
        <w:instrText xml:space="preserve"> SEQ Figure \* ARABIC </w:instrText>
      </w:r>
      <w:r w:rsidR="00112F53">
        <w:rPr>
          <w:noProof/>
        </w:rPr>
        <w:fldChar w:fldCharType="separate"/>
      </w:r>
      <w:r w:rsidR="005D4843">
        <w:rPr>
          <w:noProof/>
        </w:rPr>
        <w:t>18</w:t>
      </w:r>
      <w:r w:rsidR="00112F53">
        <w:rPr>
          <w:noProof/>
        </w:rPr>
        <w:fldChar w:fldCharType="end"/>
      </w:r>
      <w:bookmarkEnd w:id="151"/>
      <w:r>
        <w:t>: Switching Domain</w:t>
      </w:r>
      <w:r w:rsidRPr="00AB501A">
        <w:t xml:space="preserve"> Master Data Management</w:t>
      </w:r>
      <w:bookmarkEnd w:id="152"/>
    </w:p>
    <w:p w14:paraId="4769A428" w14:textId="51737687" w:rsidR="00DB6B19" w:rsidRDefault="00DB6B19" w:rsidP="00DB6B19">
      <w:pPr>
        <w:pStyle w:val="Paragrapgh"/>
      </w:pPr>
      <w:r>
        <w:t xml:space="preserve">Authoring of switching domain data is handled by the governance data body who will coordinate with existing governance bodies. Paper forms, or the electronic equivalent, will gather the inputs that are necessary to author switching domain data. Authoring involves keyboard data entry and equivalent manual assurance of data quality.  </w:t>
      </w:r>
    </w:p>
    <w:p w14:paraId="3ACB5D63" w14:textId="37EE4293" w:rsidR="00DB6B19" w:rsidRDefault="00DB6B19" w:rsidP="00DB6B19">
      <w:pPr>
        <w:pStyle w:val="Paragrapgh"/>
      </w:pPr>
      <w:r>
        <w:t xml:space="preserve">Switching domain data is managed using a data co-existence pattern to reduce coupling between the </w:t>
      </w:r>
      <w:r w:rsidR="001F04FD">
        <w:t>Switching Domain</w:t>
      </w:r>
      <w:r>
        <w:t xml:space="preserve"> Data Service and destination services. Switching domain data is stored and mastered by the </w:t>
      </w:r>
      <w:r w:rsidR="001F04FD">
        <w:t>Switching Domain</w:t>
      </w:r>
      <w:r>
        <w:t xml:space="preserve"> Data Service, and referenced in Central Data Services and the Switching Network. It may also be referenced by other Market Participants who need a definitive record of switching domain data.</w:t>
      </w:r>
    </w:p>
    <w:p w14:paraId="26CA640D" w14:textId="4A7CE5CE" w:rsidR="00DB6B19" w:rsidRDefault="00DB6B19" w:rsidP="00DB6B19">
      <w:pPr>
        <w:pStyle w:val="Paragrapgh"/>
      </w:pPr>
      <w:r>
        <w:t xml:space="preserve">The </w:t>
      </w:r>
      <w:r w:rsidR="001F04FD">
        <w:t>Switching Domain</w:t>
      </w:r>
      <w:r>
        <w:t xml:space="preserve"> Data Service operates a simple process for dissemination of switching domain data: full-width set of data will be issued to all Market Participants (except for confidential data). Market Participants will choose which switching domain data elements are relevant and store the data locally for subsequent use.</w:t>
      </w:r>
    </w:p>
    <w:p w14:paraId="3D6D0C55" w14:textId="77777777" w:rsidR="00DB6B19" w:rsidRDefault="00DB6B19" w:rsidP="00DB6B19">
      <w:pPr>
        <w:pStyle w:val="Paragrapgh"/>
      </w:pPr>
      <w:r>
        <w:t xml:space="preserve">Supplier – shipper alliances are classified as confidential data and are security protected accordingly. </w:t>
      </w:r>
    </w:p>
    <w:p w14:paraId="1B7EE8E8" w14:textId="3488F8F6" w:rsidR="00DB6B19" w:rsidRDefault="00DB6B19" w:rsidP="00DB6B19">
      <w:pPr>
        <w:pStyle w:val="Paragrapgh"/>
      </w:pPr>
      <w:r>
        <w:t xml:space="preserve">Data that is not confidential is be issued by the </w:t>
      </w:r>
      <w:r w:rsidR="001F04FD">
        <w:t>Switching Domain</w:t>
      </w:r>
      <w:r>
        <w:t xml:space="preserve"> Data Service to all Market Participants. </w:t>
      </w:r>
    </w:p>
    <w:p w14:paraId="6EB9BF74" w14:textId="05C3C924" w:rsidR="00DB6B19" w:rsidRDefault="00DB6B19" w:rsidP="00DB6B19">
      <w:pPr>
        <w:pStyle w:val="Paragrapgh"/>
      </w:pPr>
      <w:r>
        <w:t xml:space="preserve">Data that is confidential is issued by the </w:t>
      </w:r>
      <w:r w:rsidR="001F04FD">
        <w:t>Switching Domain</w:t>
      </w:r>
      <w:r>
        <w:t xml:space="preserve"> Data Service to the Central Switching Service only. </w:t>
      </w:r>
    </w:p>
    <w:p w14:paraId="66F2C7AA" w14:textId="43082067" w:rsidR="00DB6B19" w:rsidRDefault="00DB6B19" w:rsidP="00DB6B19">
      <w:pPr>
        <w:pStyle w:val="Paragrapgh"/>
      </w:pPr>
      <w:r>
        <w:t xml:space="preserve">Data is issued by the </w:t>
      </w:r>
      <w:r w:rsidR="001F04FD">
        <w:t>Switching Domain</w:t>
      </w:r>
      <w:r>
        <w:t xml:space="preserve"> Data Service as an incremental change whenever a change to switching domain data occurs. </w:t>
      </w:r>
    </w:p>
    <w:p w14:paraId="0AE2AEC9" w14:textId="4FD6BFF0" w:rsidR="00DB6B19" w:rsidRDefault="00DB6B19" w:rsidP="00DB6B19">
      <w:pPr>
        <w:pStyle w:val="Paragrapgh"/>
      </w:pPr>
      <w:r>
        <w:t xml:space="preserve">The </w:t>
      </w:r>
      <w:r w:rsidR="008B697E">
        <w:t>governance body</w:t>
      </w:r>
      <w:r>
        <w:t xml:space="preserve"> </w:t>
      </w:r>
      <w:r w:rsidR="008613CB">
        <w:t>considers</w:t>
      </w:r>
      <w:r>
        <w:t xml:space="preserve"> requests from Market Participants for changes to switching domain data and responds with a corresponding incremental change or a complete refresh as appropriate</w:t>
      </w:r>
      <w:r w:rsidR="008613CB">
        <w:t>, should the change be accepted</w:t>
      </w:r>
      <w:r>
        <w:t xml:space="preserve">. </w:t>
      </w:r>
    </w:p>
    <w:p w14:paraId="35580952" w14:textId="015FF12E" w:rsidR="00DB6B19" w:rsidRDefault="00DB6B19" w:rsidP="00DB6B19">
      <w:pPr>
        <w:pStyle w:val="Paragrapgh"/>
      </w:pPr>
      <w:r>
        <w:t xml:space="preserve">Convergent consistency is sufficient for updating Central Data Services with Switching Domain Data. </w:t>
      </w:r>
      <w:r w:rsidR="006439AA">
        <w:t xml:space="preserve">This means that updates are not all applied as part of a single (distributed) transaction which guarantees their consistency.  </w:t>
      </w:r>
      <w:r>
        <w:t xml:space="preserve">Updates are prioritised by recipient services to enable updates to be applied </w:t>
      </w:r>
      <w:r w:rsidR="006439AA">
        <w:t>within a short time of each other</w:t>
      </w:r>
      <w:r>
        <w:t xml:space="preserve"> (perhaps within an hour or so, as determined by governance) across all Central Data Services.</w:t>
      </w:r>
    </w:p>
    <w:p w14:paraId="0D6A6064" w14:textId="77777777" w:rsidR="00DB6B19" w:rsidRDefault="00DB6B19" w:rsidP="00DB6B19">
      <w:pPr>
        <w:pStyle w:val="Paragrapgh"/>
      </w:pPr>
      <w:r>
        <w:t>Business controls are imposed to help avoid inconsistencies arising with recipient data services.</w:t>
      </w:r>
    </w:p>
    <w:p w14:paraId="45008863" w14:textId="7339C9E3" w:rsidR="00DB6B19" w:rsidRDefault="00DB6B19" w:rsidP="00DB6B19">
      <w:pPr>
        <w:pStyle w:val="Paragrapgh"/>
        <w:numPr>
          <w:ilvl w:val="2"/>
          <w:numId w:val="4"/>
        </w:numPr>
      </w:pPr>
      <w:r>
        <w:t>Updates cannot be retracted</w:t>
      </w:r>
      <w:r w:rsidR="0049360B">
        <w:t xml:space="preserve">.  They </w:t>
      </w:r>
      <w:r>
        <w:t xml:space="preserve">are idempotent </w:t>
      </w:r>
      <w:r w:rsidR="0049360B">
        <w:t xml:space="preserve">(if issued again, will have the same effect) </w:t>
      </w:r>
      <w:r>
        <w:t>to enable them to be re-issued without causing problems</w:t>
      </w:r>
      <w:r w:rsidR="0049360B">
        <w:t>;</w:t>
      </w:r>
    </w:p>
    <w:p w14:paraId="407D1050" w14:textId="5D183A5A" w:rsidR="00DB6B19" w:rsidRDefault="0049360B" w:rsidP="00DB6B19">
      <w:pPr>
        <w:pStyle w:val="Paragrapgh"/>
        <w:numPr>
          <w:ilvl w:val="2"/>
          <w:numId w:val="4"/>
        </w:numPr>
      </w:pPr>
      <w:r>
        <w:t>Future-dating is used, rather than waiting until an update needs to be made immediately.  This avoids inconsistencies due to delays in updates from the build-up of backlogs of transactions passing from one system to another;</w:t>
      </w:r>
    </w:p>
    <w:p w14:paraId="18E79871" w14:textId="05836DDC" w:rsidR="00DB6B19" w:rsidRDefault="00DB6B19" w:rsidP="00DB6B19">
      <w:pPr>
        <w:pStyle w:val="Paragrapgh"/>
        <w:numPr>
          <w:ilvl w:val="2"/>
          <w:numId w:val="4"/>
        </w:numPr>
      </w:pPr>
      <w:r>
        <w:t>No entries will be physically deleted. Where required entries will be through-dated</w:t>
      </w:r>
      <w:r w:rsidR="0049360B">
        <w:t>.</w:t>
      </w:r>
    </w:p>
    <w:p w14:paraId="44685147" w14:textId="40A4699B" w:rsidR="00DB6B19" w:rsidRDefault="00DB6B19" w:rsidP="00DB6B19">
      <w:pPr>
        <w:pStyle w:val="Paragrapgh"/>
      </w:pPr>
      <w:r>
        <w:t>No personal or confidential data will be included in Switching Domain Data.  Switching Domain Data will adhere to one single data model – the Switching Logical Data Model. No mapping between data will be necessary as all applications will have the same understanding of Object Classes and Data Elements.</w:t>
      </w:r>
    </w:p>
    <w:p w14:paraId="6730AFBA" w14:textId="376AC9A7" w:rsidR="003C1268" w:rsidRDefault="00CE04AC" w:rsidP="005055DE">
      <w:pPr>
        <w:pStyle w:val="Heading3"/>
      </w:pPr>
      <w:r>
        <w:br w:type="page"/>
      </w:r>
    </w:p>
    <w:p w14:paraId="1A6A4BEE" w14:textId="503147D6" w:rsidR="00461EEC" w:rsidRDefault="00461EEC" w:rsidP="00461EEC">
      <w:pPr>
        <w:pStyle w:val="ChapterHeading"/>
      </w:pPr>
      <w:bookmarkStart w:id="153" w:name="_Toc9934758"/>
      <w:bookmarkStart w:id="154" w:name="_Toc494379466"/>
      <w:bookmarkStart w:id="155" w:name="_Toc505257227"/>
      <w:bookmarkStart w:id="156" w:name="_Toc505689954"/>
      <w:r>
        <w:t>General Architectural Considerations</w:t>
      </w:r>
      <w:bookmarkEnd w:id="153"/>
    </w:p>
    <w:p w14:paraId="706CD1BA" w14:textId="68564F36" w:rsidR="00B302CB" w:rsidRDefault="00B302CB" w:rsidP="00B302CB">
      <w:pPr>
        <w:pStyle w:val="Heading2"/>
      </w:pPr>
      <w:bookmarkStart w:id="157" w:name="_Toc9934759"/>
      <w:r>
        <w:t>Switching Network</w:t>
      </w:r>
      <w:bookmarkEnd w:id="154"/>
      <w:bookmarkEnd w:id="155"/>
      <w:bookmarkEnd w:id="156"/>
      <w:bookmarkEnd w:id="157"/>
    </w:p>
    <w:p w14:paraId="19B6C26F" w14:textId="77777777" w:rsidR="00B302CB" w:rsidRDefault="00B302CB" w:rsidP="00B302CB">
      <w:pPr>
        <w:pStyle w:val="Paragrapgh"/>
      </w:pPr>
      <w:bookmarkStart w:id="158" w:name="_Hlk497384830"/>
      <w:r>
        <w:t>CSS exchanges messages with other participants using the Switching Network (with the exception of CSS-Smart Metering where communication is via the Smart Metering Gamma network, due to the stringent Smart Metering security requirements).</w:t>
      </w:r>
    </w:p>
    <w:p w14:paraId="134DEB87" w14:textId="35AEC987" w:rsidR="00B302CB" w:rsidRDefault="00B302CB" w:rsidP="00B302CB">
      <w:pPr>
        <w:pStyle w:val="Paragrapgh"/>
      </w:pPr>
      <w:r>
        <w:t>Volumetrics detailing the total, average and peak number of Switch Requests which must be supported by the Switching Network are laid out in D-4.1.4 E2E Switching Arrangements NFR</w:t>
      </w:r>
      <w:r w:rsidRPr="00B302CB">
        <w:rPr>
          <w:vertAlign w:val="superscript"/>
        </w:rPr>
        <w:fldChar w:fldCharType="begin"/>
      </w:r>
      <w:r w:rsidRPr="00B302CB">
        <w:rPr>
          <w:vertAlign w:val="superscript"/>
        </w:rPr>
        <w:instrText xml:space="preserve"> REF D_4_1_4 \h </w:instrText>
      </w:r>
      <w:r>
        <w:rPr>
          <w:vertAlign w:val="superscript"/>
        </w:rPr>
        <w:instrText xml:space="preserve"> \* MERGEFORMAT </w:instrText>
      </w:r>
      <w:r w:rsidRPr="00B302CB">
        <w:rPr>
          <w:vertAlign w:val="superscript"/>
        </w:rPr>
      </w:r>
      <w:r w:rsidRPr="00B302CB">
        <w:rPr>
          <w:vertAlign w:val="superscript"/>
        </w:rPr>
        <w:fldChar w:fldCharType="separate"/>
      </w:r>
      <w:r w:rsidR="005D4843" w:rsidRPr="005D4843">
        <w:rPr>
          <w:vertAlign w:val="superscript"/>
        </w:rPr>
        <w:t>[3]</w:t>
      </w:r>
      <w:r w:rsidRPr="00B302CB">
        <w:rPr>
          <w:vertAlign w:val="superscript"/>
        </w:rPr>
        <w:fldChar w:fldCharType="end"/>
      </w:r>
      <w:r>
        <w:t>.</w:t>
      </w:r>
    </w:p>
    <w:p w14:paraId="2F514D4C" w14:textId="77777777" w:rsidR="00B302CB" w:rsidRDefault="00B302CB" w:rsidP="00B302CB">
      <w:pPr>
        <w:pStyle w:val="Paragrapgh"/>
      </w:pPr>
      <w:r>
        <w:t>Connection to the Switching Network will require Parties to demonstrate compliance with a baseline control set which will be defined by the Security workstream and incorporated into the relevant governance instrument. This will set out the baseline set of Technical, Procedural, Physical and People controls which Parties must meet before the CSS Service Operator will grant access to the Switching Network.</w:t>
      </w:r>
    </w:p>
    <w:p w14:paraId="5D0F1960" w14:textId="77777777" w:rsidR="00B302CB" w:rsidRDefault="00B302CB" w:rsidP="00B302CB">
      <w:pPr>
        <w:pStyle w:val="Paragrapgh"/>
      </w:pPr>
      <w:r>
        <w:t>All data services with outbound interfaces (i.e. sending data) to CSS require compliance with the baseline control set.</w:t>
      </w:r>
    </w:p>
    <w:p w14:paraId="274D5DA1" w14:textId="1D68A07C" w:rsidR="00B302CB" w:rsidRDefault="00B302CB" w:rsidP="00B302CB">
      <w:pPr>
        <w:pStyle w:val="Paragrapgh"/>
      </w:pPr>
      <w:r>
        <w:t>Data/message flows between the CSS and other services are defined in</w:t>
      </w:r>
      <w:r w:rsidRPr="00342FB3">
        <w:t xml:space="preserve"> </w:t>
      </w:r>
      <w:r>
        <w:t>D-4.1.2 E2E Detailed Design Model</w:t>
      </w:r>
      <w:r w:rsidRPr="00B302CB">
        <w:rPr>
          <w:vertAlign w:val="superscript"/>
        </w:rPr>
        <w:fldChar w:fldCharType="begin"/>
      </w:r>
      <w:r w:rsidRPr="00B302CB">
        <w:rPr>
          <w:vertAlign w:val="superscript"/>
        </w:rPr>
        <w:instrText xml:space="preserve"> REF D_4_1_2 \h </w:instrText>
      </w:r>
      <w:r>
        <w:rPr>
          <w:vertAlign w:val="superscript"/>
        </w:rPr>
        <w:instrText xml:space="preserve"> \* MERGEFORMAT </w:instrText>
      </w:r>
      <w:r w:rsidRPr="00B302CB">
        <w:rPr>
          <w:vertAlign w:val="superscript"/>
        </w:rPr>
      </w:r>
      <w:r w:rsidRPr="00B302CB">
        <w:rPr>
          <w:vertAlign w:val="superscript"/>
        </w:rPr>
        <w:fldChar w:fldCharType="separate"/>
      </w:r>
      <w:r w:rsidR="005D4843" w:rsidRPr="005D4843">
        <w:rPr>
          <w:vertAlign w:val="superscript"/>
        </w:rPr>
        <w:t>[2]</w:t>
      </w:r>
      <w:r w:rsidRPr="00B302CB">
        <w:rPr>
          <w:vertAlign w:val="superscript"/>
        </w:rPr>
        <w:fldChar w:fldCharType="end"/>
      </w:r>
      <w:r>
        <w:t>, with supporting information regarding their sequencing and coordination defined in D-4.1.6 E2E Operational Choreography</w:t>
      </w:r>
      <w:r w:rsidRPr="00B302CB">
        <w:rPr>
          <w:vertAlign w:val="superscript"/>
        </w:rPr>
        <w:fldChar w:fldCharType="begin"/>
      </w:r>
      <w:r w:rsidRPr="00B302CB">
        <w:rPr>
          <w:vertAlign w:val="superscript"/>
        </w:rPr>
        <w:instrText xml:space="preserve"> REF D_4_1_6 \h </w:instrText>
      </w:r>
      <w:r>
        <w:rPr>
          <w:vertAlign w:val="superscript"/>
        </w:rPr>
        <w:instrText xml:space="preserve"> \* MERGEFORMAT </w:instrText>
      </w:r>
      <w:r w:rsidRPr="00B302CB">
        <w:rPr>
          <w:vertAlign w:val="superscript"/>
        </w:rPr>
      </w:r>
      <w:r w:rsidRPr="00B302CB">
        <w:rPr>
          <w:vertAlign w:val="superscript"/>
        </w:rPr>
        <w:fldChar w:fldCharType="separate"/>
      </w:r>
      <w:r w:rsidR="005D4843" w:rsidRPr="005D4843">
        <w:rPr>
          <w:vertAlign w:val="superscript"/>
        </w:rPr>
        <w:t>[4]</w:t>
      </w:r>
      <w:r w:rsidRPr="00B302CB">
        <w:rPr>
          <w:vertAlign w:val="superscript"/>
        </w:rPr>
        <w:fldChar w:fldCharType="end"/>
      </w:r>
      <w:r>
        <w:t>.</w:t>
      </w:r>
    </w:p>
    <w:p w14:paraId="5E0DB697" w14:textId="318FB470" w:rsidR="00B302CB" w:rsidRDefault="00B302CB" w:rsidP="00B302CB">
      <w:pPr>
        <w:pStyle w:val="Paragrapgh"/>
      </w:pPr>
      <w:bookmarkStart w:id="159" w:name="_Hlk496181592"/>
      <w:r w:rsidRPr="00A37870">
        <w:t>D</w:t>
      </w:r>
      <w:r>
        <w:t>-</w:t>
      </w:r>
      <w:r w:rsidRPr="00A37870">
        <w:t>4.1.10</w:t>
      </w:r>
      <w:r>
        <w:t>.1</w:t>
      </w:r>
      <w:r w:rsidRPr="00A37870">
        <w:t xml:space="preserve"> </w:t>
      </w:r>
      <w:r>
        <w:t xml:space="preserve">E2E </w:t>
      </w:r>
      <w:r w:rsidRPr="00A37870">
        <w:t>Security Architecture</w:t>
      </w:r>
      <w:r w:rsidRPr="00B302CB">
        <w:rPr>
          <w:vertAlign w:val="superscript"/>
        </w:rPr>
        <w:fldChar w:fldCharType="begin"/>
      </w:r>
      <w:r w:rsidRPr="00B302CB">
        <w:rPr>
          <w:vertAlign w:val="superscript"/>
        </w:rPr>
        <w:instrText xml:space="preserve"> REF D_4_1_10_1 \h </w:instrText>
      </w:r>
      <w:r>
        <w:rPr>
          <w:vertAlign w:val="superscript"/>
        </w:rPr>
        <w:instrText xml:space="preserve"> \* MERGEFORMAT </w:instrText>
      </w:r>
      <w:r w:rsidRPr="00B302CB">
        <w:rPr>
          <w:vertAlign w:val="superscript"/>
        </w:rPr>
      </w:r>
      <w:r w:rsidRPr="00B302CB">
        <w:rPr>
          <w:vertAlign w:val="superscript"/>
        </w:rPr>
        <w:fldChar w:fldCharType="separate"/>
      </w:r>
      <w:r w:rsidR="00F03AB2" w:rsidRPr="0057528B">
        <w:rPr>
          <w:vertAlign w:val="superscript"/>
        </w:rPr>
        <w:t>[6]</w:t>
      </w:r>
      <w:r w:rsidRPr="00B302CB">
        <w:rPr>
          <w:vertAlign w:val="superscript"/>
        </w:rPr>
        <w:fldChar w:fldCharType="end"/>
      </w:r>
      <w:r>
        <w:t xml:space="preserve"> </w:t>
      </w:r>
      <w:r w:rsidRPr="00A37870">
        <w:t>will define the information management controls which will apply to the E2E Switching solution and by implication, the interconnectivity between participants.</w:t>
      </w:r>
    </w:p>
    <w:p w14:paraId="07841770" w14:textId="21ECE98B" w:rsidR="00B23E59" w:rsidRPr="00A37870" w:rsidRDefault="00B23E59" w:rsidP="00B302CB">
      <w:pPr>
        <w:pStyle w:val="Paragrapgh"/>
      </w:pPr>
      <w:r>
        <w:t>Connection-oriented protocols will be supported.  Connectionless protocols may also be supported.</w:t>
      </w:r>
    </w:p>
    <w:p w14:paraId="4F22952C" w14:textId="77777777" w:rsidR="00B302CB" w:rsidRDefault="00B302CB" w:rsidP="00B302CB">
      <w:pPr>
        <w:pStyle w:val="Heading2"/>
        <w:keepNext/>
        <w:numPr>
          <w:ilvl w:val="1"/>
          <w:numId w:val="0"/>
        </w:numPr>
        <w:tabs>
          <w:tab w:val="clear" w:pos="2581"/>
          <w:tab w:val="num" w:pos="851"/>
        </w:tabs>
        <w:spacing w:before="360" w:after="120"/>
      </w:pPr>
      <w:bookmarkStart w:id="160" w:name="_Target_Systems/Applications"/>
      <w:bookmarkStart w:id="161" w:name="_Toc505257228"/>
      <w:bookmarkStart w:id="162" w:name="_Toc505689955"/>
      <w:bookmarkStart w:id="163" w:name="_Toc9934760"/>
      <w:bookmarkEnd w:id="158"/>
      <w:bookmarkEnd w:id="159"/>
      <w:bookmarkEnd w:id="160"/>
      <w:r>
        <w:t>Data Services Architecture</w:t>
      </w:r>
      <w:bookmarkEnd w:id="161"/>
      <w:bookmarkEnd w:id="162"/>
      <w:bookmarkEnd w:id="163"/>
    </w:p>
    <w:p w14:paraId="7CC19C69" w14:textId="2FC42B04" w:rsidR="00B302CB" w:rsidRPr="005C1631" w:rsidRDefault="00B302CB" w:rsidP="00B302CB">
      <w:pPr>
        <w:pStyle w:val="Paragrapgh"/>
      </w:pPr>
      <w:r w:rsidRPr="005C1631">
        <w:t xml:space="preserve">The thinking and approach behind the E2E Solution Architecture is driven by the </w:t>
      </w:r>
      <w:r>
        <w:t xml:space="preserve">D-1.1 </w:t>
      </w:r>
      <w:r w:rsidRPr="005C1631">
        <w:t>Architectural Principles</w:t>
      </w:r>
      <w:r w:rsidRPr="00B302CB">
        <w:rPr>
          <w:vertAlign w:val="superscript"/>
        </w:rPr>
        <w:fldChar w:fldCharType="begin"/>
      </w:r>
      <w:r w:rsidRPr="00B302CB">
        <w:rPr>
          <w:vertAlign w:val="superscript"/>
        </w:rPr>
        <w:instrText xml:space="preserve"> REF D_1 \h </w:instrText>
      </w:r>
      <w:r w:rsidRPr="00B302CB">
        <w:rPr>
          <w:vertAlign w:val="superscript"/>
        </w:rPr>
      </w:r>
      <w:r w:rsidRPr="00B302CB">
        <w:rPr>
          <w:vertAlign w:val="superscript"/>
        </w:rPr>
        <w:fldChar w:fldCharType="separate"/>
      </w:r>
      <w:r w:rsidR="005D4843">
        <w:t>[1]</w:t>
      </w:r>
      <w:r w:rsidRPr="00B302CB">
        <w:rPr>
          <w:vertAlign w:val="superscript"/>
        </w:rPr>
        <w:fldChar w:fldCharType="end"/>
      </w:r>
      <w:r w:rsidRPr="005C1631">
        <w:t>. The Solution Architecture defines a n</w:t>
      </w:r>
      <w:r>
        <w:t xml:space="preserve">ew CSS service that acts as the </w:t>
      </w:r>
      <w:r w:rsidRPr="005C1631">
        <w:t xml:space="preserve">hub of the new switching service. </w:t>
      </w:r>
    </w:p>
    <w:p w14:paraId="2A9A69C6" w14:textId="77777777" w:rsidR="00B302CB" w:rsidRPr="005C1631" w:rsidRDefault="00B302CB" w:rsidP="00B302CB">
      <w:pPr>
        <w:pStyle w:val="Paragrapgh"/>
      </w:pPr>
      <w:r w:rsidRPr="005C1631">
        <w:t xml:space="preserve">There are changes to the switching business process models for both gas and electricity, </w:t>
      </w:r>
      <w:r>
        <w:t xml:space="preserve">which </w:t>
      </w:r>
      <w:r w:rsidRPr="005C1631">
        <w:t>necessitate</w:t>
      </w:r>
      <w:r>
        <w:t xml:space="preserve"> a</w:t>
      </w:r>
      <w:r w:rsidRPr="005C1631">
        <w:t xml:space="preserve"> new end</w:t>
      </w:r>
      <w:r>
        <w:t>-</w:t>
      </w:r>
      <w:r w:rsidRPr="005C1631">
        <w:t>to</w:t>
      </w:r>
      <w:r>
        <w:t>-</w:t>
      </w:r>
      <w:r w:rsidRPr="005C1631">
        <w:t>end logical data model including</w:t>
      </w:r>
      <w:r>
        <w:t>:</w:t>
      </w:r>
    </w:p>
    <w:p w14:paraId="00D88DB3" w14:textId="77777777" w:rsidR="00B302CB" w:rsidRPr="005C1631" w:rsidRDefault="00B302CB" w:rsidP="00176198">
      <w:pPr>
        <w:pStyle w:val="ListBullet"/>
      </w:pPr>
      <w:r w:rsidRPr="005C1631">
        <w:t>New classes and data elements</w:t>
      </w:r>
    </w:p>
    <w:p w14:paraId="0EC0CB6C" w14:textId="77777777" w:rsidR="00B302CB" w:rsidRPr="005C1631" w:rsidRDefault="00B302CB" w:rsidP="00176198">
      <w:pPr>
        <w:pStyle w:val="ListBullet"/>
      </w:pPr>
      <w:r w:rsidRPr="005C1631">
        <w:t>Revisions to existing data classes</w:t>
      </w:r>
    </w:p>
    <w:p w14:paraId="154894FA" w14:textId="77777777" w:rsidR="00B302CB" w:rsidRPr="005C1631" w:rsidRDefault="00B302CB" w:rsidP="00176198">
      <w:pPr>
        <w:pStyle w:val="ListBullet"/>
      </w:pPr>
      <w:r w:rsidRPr="005C1631">
        <w:t xml:space="preserve">Revised data flows between </w:t>
      </w:r>
      <w:r>
        <w:t>service</w:t>
      </w:r>
      <w:r w:rsidRPr="005C1631">
        <w:t>s, notably around the CSS</w:t>
      </w:r>
    </w:p>
    <w:p w14:paraId="1C87F647" w14:textId="77777777" w:rsidR="00B302CB" w:rsidRPr="005C1631" w:rsidRDefault="00B302CB" w:rsidP="00176198">
      <w:pPr>
        <w:pStyle w:val="ListBullet"/>
      </w:pPr>
      <w:r w:rsidRPr="005C1631">
        <w:t>New interface architecture(s)</w:t>
      </w:r>
    </w:p>
    <w:p w14:paraId="26FFCD83" w14:textId="77777777" w:rsidR="00B302CB" w:rsidRDefault="00B302CB" w:rsidP="00176198">
      <w:pPr>
        <w:pStyle w:val="ListBullet"/>
      </w:pPr>
      <w:r w:rsidRPr="005C1631">
        <w:t>A centralised processing component handling elements of the switching process</w:t>
      </w:r>
    </w:p>
    <w:p w14:paraId="51D2649C" w14:textId="454587FC" w:rsidR="00363148" w:rsidRDefault="003C1268" w:rsidP="00B56B1E">
      <w:pPr>
        <w:pStyle w:val="Paragrapgh"/>
      </w:pPr>
      <w:bookmarkStart w:id="164" w:name="_Data_Services_Catalog"/>
      <w:bookmarkStart w:id="165" w:name="_Toc494379494"/>
      <w:bookmarkEnd w:id="164"/>
      <w:r>
        <w:t xml:space="preserve">The Data Model required to enable to </w:t>
      </w:r>
      <w:r w:rsidR="00C07C5F">
        <w:t>Switching Arrangements</w:t>
      </w:r>
      <w:r>
        <w:t xml:space="preserve"> can be found in the </w:t>
      </w:r>
      <w:r w:rsidR="008D424D">
        <w:t>ABACUS</w:t>
      </w:r>
      <w:r>
        <w:t xml:space="preserve"> Switching Design Repository.</w:t>
      </w:r>
      <w:r w:rsidR="008B2338">
        <w:t xml:space="preserve"> </w:t>
      </w:r>
    </w:p>
    <w:p w14:paraId="0F6AA00C" w14:textId="6549774A" w:rsidR="003C1268" w:rsidRDefault="00F73DBE" w:rsidP="00B56B1E">
      <w:pPr>
        <w:pStyle w:val="Paragrapgh"/>
      </w:pPr>
      <w:r>
        <w:t xml:space="preserve">A User Guide to navigating ABACUS is provided in </w:t>
      </w:r>
      <w:r w:rsidR="0001420F">
        <w:fldChar w:fldCharType="begin"/>
      </w:r>
      <w:r w:rsidR="0001420F">
        <w:instrText xml:space="preserve"> REF _Ref9934881 \h </w:instrText>
      </w:r>
      <w:r w:rsidR="0001420F">
        <w:fldChar w:fldCharType="separate"/>
      </w:r>
      <w:r w:rsidR="0001420F">
        <w:t>Appendix 2 – Use of Switching Design Repository</w:t>
      </w:r>
      <w:r w:rsidR="0001420F">
        <w:fldChar w:fldCharType="end"/>
      </w:r>
      <w:r>
        <w:t>,</w:t>
      </w:r>
      <w:r w:rsidR="003C1268">
        <w:t xml:space="preserve"> which provides information </w:t>
      </w:r>
      <w:r w:rsidR="00EF4D58">
        <w:t xml:space="preserve">about </w:t>
      </w:r>
      <w:r w:rsidR="003C1268">
        <w:t>how to navigate and locate content within the repository.</w:t>
      </w:r>
    </w:p>
    <w:p w14:paraId="088AAB01" w14:textId="72538105" w:rsidR="003C1268" w:rsidRDefault="003C1268" w:rsidP="003C1268">
      <w:pPr>
        <w:pStyle w:val="Paragrapgh"/>
      </w:pPr>
      <w:r>
        <w:t xml:space="preserve">The </w:t>
      </w:r>
      <w:r w:rsidR="008D424D">
        <w:t>ABACUS</w:t>
      </w:r>
      <w:r>
        <w:t xml:space="preserve"> architecture modelling tool has been used to define the </w:t>
      </w:r>
      <w:r w:rsidR="00EF4D58">
        <w:t>E2E</w:t>
      </w:r>
      <w:r>
        <w:t xml:space="preserve"> business process flows, data, data services and interfaces required to deliver the </w:t>
      </w:r>
      <w:r w:rsidR="00C07C5F">
        <w:t>Switching Arrangements</w:t>
      </w:r>
      <w:r>
        <w:t>. This ‘Switching Design Repository’ is the authoritative source of information across these areas.</w:t>
      </w:r>
    </w:p>
    <w:p w14:paraId="0052AB9C" w14:textId="77777777" w:rsidR="003C1268" w:rsidRDefault="003C1268" w:rsidP="003C1268">
      <w:pPr>
        <w:pStyle w:val="Heading3"/>
        <w:keepNext/>
        <w:numPr>
          <w:ilvl w:val="2"/>
          <w:numId w:val="0"/>
        </w:numPr>
        <w:tabs>
          <w:tab w:val="clear" w:pos="2581"/>
          <w:tab w:val="num" w:pos="848"/>
        </w:tabs>
        <w:spacing w:before="360" w:after="120"/>
        <w:ind w:left="848" w:hanging="848"/>
      </w:pPr>
      <w:bookmarkStart w:id="166" w:name="_Toc494379492"/>
      <w:bookmarkStart w:id="167" w:name="_Toc495322991"/>
      <w:bookmarkStart w:id="168" w:name="_Toc505257247"/>
      <w:bookmarkStart w:id="169" w:name="_Toc505689975"/>
      <w:bookmarkStart w:id="170" w:name="_Toc9934761"/>
      <w:r>
        <w:t>Data Model</w:t>
      </w:r>
      <w:bookmarkEnd w:id="166"/>
      <w:bookmarkEnd w:id="167"/>
      <w:bookmarkEnd w:id="168"/>
      <w:bookmarkEnd w:id="169"/>
      <w:bookmarkEnd w:id="170"/>
    </w:p>
    <w:p w14:paraId="7E8E38FD" w14:textId="467AD75D" w:rsidR="003C1268" w:rsidRDefault="003C1268" w:rsidP="003C1268">
      <w:pPr>
        <w:pStyle w:val="Paragrapgh"/>
      </w:pPr>
      <w:r w:rsidRPr="00893706">
        <w:t>The L</w:t>
      </w:r>
      <w:r>
        <w:t xml:space="preserve">ogical </w:t>
      </w:r>
      <w:r w:rsidRPr="00893706">
        <w:t>D</w:t>
      </w:r>
      <w:r>
        <w:t xml:space="preserve">ata </w:t>
      </w:r>
      <w:r w:rsidRPr="00893706">
        <w:t>M</w:t>
      </w:r>
      <w:r>
        <w:t>odel</w:t>
      </w:r>
      <w:r w:rsidRPr="00893706">
        <w:t xml:space="preserve"> </w:t>
      </w:r>
      <w:r>
        <w:t xml:space="preserve">(LDM) </w:t>
      </w:r>
      <w:r w:rsidRPr="00893706">
        <w:t>was developed in the Blueprint Phase as an evolution of the Architectural Data Model, although specifically in support of the development option known as Reform Package 2</w:t>
      </w:r>
      <w:r w:rsidR="00845E0C">
        <w:t>a (RP2a)</w:t>
      </w:r>
      <w:r w:rsidRPr="00893706">
        <w:t>.</w:t>
      </w:r>
      <w:r>
        <w:t xml:space="preserve"> </w:t>
      </w:r>
      <w:r w:rsidRPr="00893706">
        <w:t xml:space="preserve">The model </w:t>
      </w:r>
      <w:r>
        <w:t>is</w:t>
      </w:r>
      <w:r w:rsidRPr="00893706">
        <w:t xml:space="preserve"> published </w:t>
      </w:r>
      <w:r>
        <w:t>in the</w:t>
      </w:r>
      <w:r w:rsidRPr="00893706">
        <w:t xml:space="preserve"> Switching Design Repository, </w:t>
      </w:r>
      <w:r>
        <w:t xml:space="preserve">which </w:t>
      </w:r>
      <w:r w:rsidR="0047317B">
        <w:t>connects</w:t>
      </w:r>
      <w:r w:rsidRPr="00893706">
        <w:t xml:space="preserve"> all design elements of the </w:t>
      </w:r>
      <w:r w:rsidR="007C1A0B">
        <w:t>end-to-end</w:t>
      </w:r>
      <w:r w:rsidRPr="00893706">
        <w:t xml:space="preserve"> arrangements </w:t>
      </w:r>
      <w:r>
        <w:t xml:space="preserve">within a unified model, and is located within </w:t>
      </w:r>
      <w:r w:rsidR="008D424D">
        <w:t>ABACUS</w:t>
      </w:r>
      <w:r>
        <w:t xml:space="preserve"> at:</w:t>
      </w:r>
    </w:p>
    <w:p w14:paraId="312D4064" w14:textId="6F7BC6FF" w:rsidR="003C1268" w:rsidRDefault="003C1268" w:rsidP="00176198">
      <w:pPr>
        <w:pStyle w:val="ListBullet"/>
      </w:pPr>
      <w:r>
        <w:t xml:space="preserve">Switching &gt; Diagrams &gt; Static Structure &gt; Data </w:t>
      </w:r>
      <w:r w:rsidR="008D4024">
        <w:t xml:space="preserve">Definition </w:t>
      </w:r>
      <w:r>
        <w:t>&gt; Detailed Design Phase E2E Logical</w:t>
      </w:r>
    </w:p>
    <w:p w14:paraId="300C1592" w14:textId="77777777" w:rsidR="003C1268" w:rsidRPr="00893706" w:rsidRDefault="003C1268" w:rsidP="003C1268">
      <w:pPr>
        <w:pStyle w:val="Paragrapgh"/>
      </w:pPr>
      <w:r w:rsidRPr="00893706">
        <w:t xml:space="preserve">Specific uses of the LDM include: </w:t>
      </w:r>
    </w:p>
    <w:p w14:paraId="5AA44254" w14:textId="77777777" w:rsidR="003C1268" w:rsidRPr="00893706" w:rsidRDefault="003C1268" w:rsidP="00176198">
      <w:pPr>
        <w:pStyle w:val="ListBullet"/>
      </w:pPr>
      <w:r>
        <w:t>Identifying Data in Motion - n</w:t>
      </w:r>
      <w:r w:rsidRPr="00893706">
        <w:t>ew service interfaces with CSS will be expressed with switching LDM concepts.</w:t>
      </w:r>
    </w:p>
    <w:p w14:paraId="6A916482" w14:textId="77777777" w:rsidR="003C1268" w:rsidRPr="00893706" w:rsidRDefault="003C1268" w:rsidP="00176198">
      <w:pPr>
        <w:pStyle w:val="ListBullet"/>
      </w:pPr>
      <w:r>
        <w:t xml:space="preserve">Identifying Data at Rest - </w:t>
      </w:r>
      <w:r w:rsidRPr="00893706">
        <w:t>persistent data stores will be expressed with switching LDM concepts.</w:t>
      </w:r>
    </w:p>
    <w:p w14:paraId="66C9C0D1" w14:textId="1C728FFA" w:rsidR="003C1268" w:rsidRDefault="003C1268" w:rsidP="00176198">
      <w:pPr>
        <w:pStyle w:val="ListBullet"/>
      </w:pPr>
      <w:r>
        <w:t>Defining the d</w:t>
      </w:r>
      <w:r w:rsidR="00C231FF">
        <w:t>ata master</w:t>
      </w:r>
      <w:r w:rsidRPr="00893706">
        <w:t>ship of data elements against data service</w:t>
      </w:r>
      <w:r>
        <w:t>.</w:t>
      </w:r>
    </w:p>
    <w:p w14:paraId="64F6F9D9" w14:textId="77777777" w:rsidR="003C1268" w:rsidRDefault="003C1268" w:rsidP="003C1268">
      <w:pPr>
        <w:pStyle w:val="Heading3"/>
        <w:keepNext/>
        <w:numPr>
          <w:ilvl w:val="2"/>
          <w:numId w:val="0"/>
        </w:numPr>
        <w:tabs>
          <w:tab w:val="clear" w:pos="2581"/>
          <w:tab w:val="num" w:pos="848"/>
        </w:tabs>
        <w:spacing w:before="360" w:after="120"/>
        <w:ind w:left="848" w:hanging="848"/>
      </w:pPr>
      <w:bookmarkStart w:id="171" w:name="_Toc494379493"/>
      <w:bookmarkStart w:id="172" w:name="_Toc495322992"/>
      <w:bookmarkStart w:id="173" w:name="_Toc505257248"/>
      <w:bookmarkStart w:id="174" w:name="_Toc505689976"/>
      <w:bookmarkStart w:id="175" w:name="_Toc9934762"/>
      <w:r>
        <w:t>Data Services Landscape</w:t>
      </w:r>
      <w:bookmarkEnd w:id="171"/>
      <w:bookmarkEnd w:id="172"/>
      <w:bookmarkEnd w:id="173"/>
      <w:bookmarkEnd w:id="174"/>
      <w:bookmarkEnd w:id="175"/>
    </w:p>
    <w:p w14:paraId="71DBF78F" w14:textId="045D1264" w:rsidR="003C1268" w:rsidRDefault="003C1268" w:rsidP="003C1268">
      <w:pPr>
        <w:pStyle w:val="Paragrapgh"/>
      </w:pPr>
      <w:r>
        <w:t xml:space="preserve">The E2E Data Services landscape </w:t>
      </w:r>
      <w:r w:rsidR="00F13055">
        <w:t>diagram c</w:t>
      </w:r>
      <w:r>
        <w:t>an be found in the Switching Design Model at:</w:t>
      </w:r>
    </w:p>
    <w:p w14:paraId="1EB52136" w14:textId="77777777" w:rsidR="003C1268" w:rsidRPr="00CE04AC" w:rsidRDefault="003C1268" w:rsidP="00176198">
      <w:pPr>
        <w:pStyle w:val="ListBullet"/>
      </w:pPr>
      <w:r w:rsidRPr="00CE04AC">
        <w:t>Switching &gt; Diagrams &gt; Static Structure &gt; Data Services &gt; E2E Data Services Landscape with Message References.</w:t>
      </w:r>
    </w:p>
    <w:p w14:paraId="25C7DCA0" w14:textId="31024F25" w:rsidR="003C1268" w:rsidRDefault="003C1268" w:rsidP="00F13055">
      <w:pPr>
        <w:pStyle w:val="Paragrapgh"/>
      </w:pPr>
      <w:r>
        <w:t xml:space="preserve">A Data Service is defined as a </w:t>
      </w:r>
      <w:r w:rsidR="003D3FDC">
        <w:t>service</w:t>
      </w:r>
      <w:r>
        <w:t xml:space="preserve">, process or service </w:t>
      </w:r>
      <w:r w:rsidR="00EF4D58">
        <w:t>data source used by an Actor to supply and/or receive</w:t>
      </w:r>
      <w:r>
        <w:t xml:space="preserve"> data within the E2E Switching solution. </w:t>
      </w:r>
    </w:p>
    <w:p w14:paraId="7F67AEF4" w14:textId="77777777" w:rsidR="003C1268" w:rsidRPr="00332288" w:rsidRDefault="003C1268" w:rsidP="003C1268">
      <w:pPr>
        <w:pStyle w:val="Heading4"/>
        <w:keepNext/>
        <w:numPr>
          <w:ilvl w:val="3"/>
          <w:numId w:val="0"/>
        </w:numPr>
        <w:tabs>
          <w:tab w:val="clear" w:pos="2581"/>
          <w:tab w:val="num" w:pos="848"/>
        </w:tabs>
        <w:spacing w:before="240" w:after="120"/>
        <w:ind w:left="848" w:hanging="848"/>
      </w:pPr>
      <w:r w:rsidRPr="00332288">
        <w:t>Data Services Catalog</w:t>
      </w:r>
      <w:r w:rsidR="0047317B">
        <w:t>ue</w:t>
      </w:r>
    </w:p>
    <w:p w14:paraId="47AFB5C2" w14:textId="2959727B" w:rsidR="003C1268" w:rsidRDefault="003C1268" w:rsidP="00C41EA7">
      <w:pPr>
        <w:pStyle w:val="Paragrapgh"/>
        <w:keepNext/>
      </w:pPr>
      <w:r>
        <w:t xml:space="preserve">The </w:t>
      </w:r>
      <w:r w:rsidR="008D424D">
        <w:t>ABACUS</w:t>
      </w:r>
      <w:r w:rsidR="00F13055">
        <w:t xml:space="preserve"> model</w:t>
      </w:r>
      <w:r>
        <w:t xml:space="preserve"> lists all the </w:t>
      </w:r>
      <w:r w:rsidR="002B3FE2">
        <w:t>data services</w:t>
      </w:r>
      <w:r>
        <w:t xml:space="preserve"> </w:t>
      </w:r>
      <w:r w:rsidR="008D4024">
        <w:t xml:space="preserve">used </w:t>
      </w:r>
      <w:r>
        <w:t>by participating actors in</w:t>
      </w:r>
      <w:r w:rsidR="00F13055">
        <w:t xml:space="preserve"> the E2E Switching Arrangements.</w:t>
      </w:r>
      <w:r w:rsidR="008B2338">
        <w:t xml:space="preserve"> </w:t>
      </w:r>
      <w:r w:rsidR="00F13055">
        <w:t>This information</w:t>
      </w:r>
      <w:r>
        <w:t xml:space="preserve"> is provided as a catalogue within the Switching Design Repository at the following location:</w:t>
      </w:r>
    </w:p>
    <w:p w14:paraId="1EDB7F55" w14:textId="4EE5686A" w:rsidR="00EF4D58" w:rsidRDefault="00EF4D58" w:rsidP="00176198">
      <w:pPr>
        <w:pStyle w:val="ListBullet"/>
      </w:pPr>
      <w:r>
        <w:t>Services &gt; Data Services Catalogue</w:t>
      </w:r>
    </w:p>
    <w:p w14:paraId="65B0B2BF" w14:textId="77777777" w:rsidR="00EF4D58" w:rsidRDefault="00EF4D58" w:rsidP="00EF4D58">
      <w:pPr>
        <w:pStyle w:val="Heading4"/>
        <w:keepNext/>
        <w:numPr>
          <w:ilvl w:val="3"/>
          <w:numId w:val="0"/>
        </w:numPr>
        <w:tabs>
          <w:tab w:val="clear" w:pos="2581"/>
          <w:tab w:val="num" w:pos="848"/>
        </w:tabs>
        <w:spacing w:before="240" w:after="120"/>
        <w:ind w:left="848" w:hanging="848"/>
      </w:pPr>
      <w:r>
        <w:t>Data Mastership</w:t>
      </w:r>
    </w:p>
    <w:p w14:paraId="46C6458B" w14:textId="16B5AF81" w:rsidR="00EF4D58" w:rsidRDefault="00EF4D58" w:rsidP="00EF4D58">
      <w:pPr>
        <w:pStyle w:val="Paragrapgh"/>
      </w:pPr>
      <w:r>
        <w:t>The LDM defines the data items required within the solution and their constituent data elements, and the Data Services Landscape represents the flow of these data items between data services, and is stored in the Switching Design Repository at the following location:</w:t>
      </w:r>
    </w:p>
    <w:p w14:paraId="3F66BE83" w14:textId="77777777" w:rsidR="00EF4D58" w:rsidRDefault="00EF4D58" w:rsidP="00176198">
      <w:pPr>
        <w:pStyle w:val="ListBullet"/>
      </w:pPr>
      <w:r>
        <w:t>Services &gt; Data Services Landscape</w:t>
      </w:r>
    </w:p>
    <w:p w14:paraId="02E30D1E" w14:textId="3FB216DE" w:rsidR="003C1268" w:rsidRPr="00B90103" w:rsidRDefault="003C1268" w:rsidP="003C1268">
      <w:pPr>
        <w:pStyle w:val="Paragrapgh"/>
      </w:pPr>
      <w:r w:rsidRPr="00B90103">
        <w:t xml:space="preserve">A Data Mastership matrix has been constructed which augments the LDM and Data Services Landscape by defining the responsibility of each </w:t>
      </w:r>
      <w:r w:rsidR="00B02A30">
        <w:t>data service</w:t>
      </w:r>
      <w:r w:rsidRPr="00B90103">
        <w:t xml:space="preserve"> in relation to all defined data elements, qualified by three roles:</w:t>
      </w:r>
    </w:p>
    <w:p w14:paraId="5B7AEBAC" w14:textId="77777777" w:rsidR="003C1268" w:rsidRPr="00B90103" w:rsidRDefault="003C1268" w:rsidP="00176198">
      <w:pPr>
        <w:pStyle w:val="ListBullet"/>
      </w:pPr>
      <w:r w:rsidRPr="00B90103">
        <w:t>M – Master</w:t>
      </w:r>
    </w:p>
    <w:p w14:paraId="15B01309" w14:textId="77777777" w:rsidR="003C1268" w:rsidRPr="00B90103" w:rsidRDefault="003C1268" w:rsidP="00176198">
      <w:pPr>
        <w:pStyle w:val="ListBullet"/>
      </w:pPr>
      <w:r w:rsidRPr="00B90103">
        <w:t xml:space="preserve">S – Secondary </w:t>
      </w:r>
    </w:p>
    <w:p w14:paraId="1ED6F9D1" w14:textId="77777777" w:rsidR="003C1268" w:rsidRPr="00B90103" w:rsidRDefault="003C1268" w:rsidP="00176198">
      <w:pPr>
        <w:pStyle w:val="ListBullet"/>
      </w:pPr>
      <w:r w:rsidRPr="00B90103">
        <w:t>A – Authorised Provider</w:t>
      </w:r>
    </w:p>
    <w:p w14:paraId="383A8D95" w14:textId="77777777" w:rsidR="003C1268" w:rsidRPr="00B90103" w:rsidRDefault="003C1268" w:rsidP="003C1268">
      <w:pPr>
        <w:pStyle w:val="Paragrapgh"/>
      </w:pPr>
      <w:r w:rsidRPr="00B90103">
        <w:t>The Data Mastership matrix is held in the Switching Design Repository at the following location:</w:t>
      </w:r>
    </w:p>
    <w:p w14:paraId="395671FC" w14:textId="2E2425A1" w:rsidR="003C1268" w:rsidRDefault="006447D2" w:rsidP="00176198">
      <w:pPr>
        <w:pStyle w:val="ListBullet"/>
      </w:pPr>
      <w:r>
        <w:t>Data Mastership</w:t>
      </w:r>
      <w:r w:rsidRPr="00B90103">
        <w:t xml:space="preserve"> &gt; </w:t>
      </w:r>
      <w:r>
        <w:t xml:space="preserve">Data Mastership </w:t>
      </w:r>
      <w:r w:rsidRPr="00B90103">
        <w:t>Catalogue</w:t>
      </w:r>
    </w:p>
    <w:p w14:paraId="164853D5" w14:textId="77777777" w:rsidR="00F866C0" w:rsidRPr="00B90103" w:rsidRDefault="00F866C0" w:rsidP="00176198">
      <w:pPr>
        <w:pStyle w:val="ListBullet"/>
        <w:numPr>
          <w:ilvl w:val="0"/>
          <w:numId w:val="0"/>
        </w:numPr>
        <w:ind w:left="567"/>
      </w:pPr>
    </w:p>
    <w:p w14:paraId="7EF7EDB4" w14:textId="7D9AB7E2" w:rsidR="00F866C0" w:rsidRDefault="00F866C0" w:rsidP="00F866C0">
      <w:pPr>
        <w:pStyle w:val="Heading2"/>
      </w:pPr>
      <w:bookmarkStart w:id="176" w:name="_Interfaces"/>
      <w:bookmarkStart w:id="177" w:name="_Toc9934763"/>
      <w:bookmarkStart w:id="178" w:name="_Toc505257249"/>
      <w:bookmarkStart w:id="179" w:name="_Toc505689977"/>
      <w:bookmarkStart w:id="180" w:name="_Hlk496176311"/>
      <w:bookmarkEnd w:id="176"/>
      <w:r>
        <w:t>Interfaces</w:t>
      </w:r>
      <w:bookmarkEnd w:id="177"/>
    </w:p>
    <w:p w14:paraId="22274B86" w14:textId="742ACEF6" w:rsidR="00552E8C" w:rsidRDefault="00552E8C" w:rsidP="00552E8C">
      <w:pPr>
        <w:pStyle w:val="Paragrapgh"/>
      </w:pPr>
      <w:bookmarkStart w:id="181" w:name="_Hlk495999718"/>
      <w:bookmarkStart w:id="182" w:name="_Hlk495995215"/>
      <w:bookmarkEnd w:id="165"/>
      <w:bookmarkEnd w:id="178"/>
      <w:bookmarkEnd w:id="179"/>
      <w:r>
        <w:t xml:space="preserve">Where a switching related interface exists between </w:t>
      </w:r>
      <w:r w:rsidR="00012BF4">
        <w:t>two</w:t>
      </w:r>
      <w:r>
        <w:t xml:space="preserve"> </w:t>
      </w:r>
      <w:r w:rsidR="003D3FDC">
        <w:t>service</w:t>
      </w:r>
      <w:r>
        <w:t xml:space="preserve">s and does not include CSS, the respective </w:t>
      </w:r>
      <w:r w:rsidR="003D3FDC">
        <w:t>Service</w:t>
      </w:r>
      <w:r>
        <w:t xml:space="preserve"> Owners will need to determine how </w:t>
      </w:r>
      <w:r w:rsidR="00974A8C">
        <w:t xml:space="preserve">the interface will be implemented to meet </w:t>
      </w:r>
      <w:r>
        <w:t xml:space="preserve">the </w:t>
      </w:r>
      <w:r w:rsidR="00310689">
        <w:t xml:space="preserve">functional </w:t>
      </w:r>
      <w:r w:rsidR="00845E0C">
        <w:t xml:space="preserve">and </w:t>
      </w:r>
      <w:r w:rsidR="00310689">
        <w:t>non-functional</w:t>
      </w:r>
      <w:r w:rsidR="00974A8C">
        <w:t xml:space="preserve"> requirements.</w:t>
      </w:r>
      <w:r w:rsidR="00E111A9">
        <w:t xml:space="preserve"> Such interfaces have not been </w:t>
      </w:r>
      <w:r w:rsidR="006447D2">
        <w:t xml:space="preserve">referenced </w:t>
      </w:r>
      <w:r w:rsidR="00E111A9">
        <w:t xml:space="preserve">in the </w:t>
      </w:r>
      <w:r w:rsidR="006447D2">
        <w:t>corresponding sections below</w:t>
      </w:r>
      <w:r w:rsidR="00E111A9">
        <w:t>.</w:t>
      </w:r>
    </w:p>
    <w:p w14:paraId="18F44FE7" w14:textId="0CA2156D" w:rsidR="006D3345" w:rsidRDefault="006D3345" w:rsidP="006D3345">
      <w:pPr>
        <w:pStyle w:val="Paragrapgh"/>
      </w:pPr>
      <w:r>
        <w:t>CSS will have the capability to support messaging transfers a</w:t>
      </w:r>
      <w:r w:rsidR="008613CB">
        <w:t>s specified for each interface:</w:t>
      </w:r>
    </w:p>
    <w:p w14:paraId="555E5479" w14:textId="09D944D6" w:rsidR="006447D2" w:rsidRDefault="006447D2" w:rsidP="00176198">
      <w:pPr>
        <w:pStyle w:val="ListBullet"/>
      </w:pPr>
      <w:r>
        <w:t>Interface operation –</w:t>
      </w:r>
      <w:r w:rsidR="008930FB">
        <w:t xml:space="preserve"> </w:t>
      </w:r>
      <w:r>
        <w:t xml:space="preserve">the data is either transmitted as individual </w:t>
      </w:r>
      <w:r w:rsidR="008930FB">
        <w:t>messages</w:t>
      </w:r>
      <w:r>
        <w:t xml:space="preserve"> upon generation or </w:t>
      </w:r>
      <w:r w:rsidR="008930FB">
        <w:t>the messages are buffered</w:t>
      </w:r>
      <w:r>
        <w:t xml:space="preserve"> before communication.</w:t>
      </w:r>
    </w:p>
    <w:p w14:paraId="1EDB88B7" w14:textId="346DC30E" w:rsidR="006447D2" w:rsidRDefault="006447D2" w:rsidP="00176198">
      <w:pPr>
        <w:pStyle w:val="ListBullet"/>
      </w:pPr>
      <w:r>
        <w:t>Interface processing –the receiving data service either processes incoming data communications immediately upon receipt (i.e. interactively), or stores/holds them for later processing.</w:t>
      </w:r>
    </w:p>
    <w:p w14:paraId="61858227" w14:textId="5486D4FB" w:rsidR="009B2C3D" w:rsidRDefault="009B2C3D" w:rsidP="00C234A1">
      <w:pPr>
        <w:pStyle w:val="Paragrapgh"/>
      </w:pPr>
      <w:r>
        <w:t>All interfaces to and from CSS s</w:t>
      </w:r>
      <w:r w:rsidR="00714E7C">
        <w:t xml:space="preserve">hall support </w:t>
      </w:r>
      <w:r w:rsidR="00CF7BE5">
        <w:t xml:space="preserve">a </w:t>
      </w:r>
      <w:r w:rsidR="00B23E59">
        <w:t xml:space="preserve">standard English </w:t>
      </w:r>
      <w:r w:rsidR="00714E7C">
        <w:t>character set</w:t>
      </w:r>
      <w:r w:rsidR="00B23E59">
        <w:t>, and additionally (configurable) the character set of any officially-recognised regional language.</w:t>
      </w:r>
    </w:p>
    <w:p w14:paraId="05CD7373" w14:textId="28C7593F" w:rsidR="00682414" w:rsidRDefault="00012BF4" w:rsidP="00C234A1">
      <w:pPr>
        <w:pStyle w:val="Paragrapgh"/>
      </w:pPr>
      <w:r>
        <w:t xml:space="preserve">The </w:t>
      </w:r>
      <w:r w:rsidR="00097911">
        <w:t>switching arra</w:t>
      </w:r>
      <w:r w:rsidR="005661D6">
        <w:t>ngements</w:t>
      </w:r>
      <w:r w:rsidR="00682414">
        <w:t xml:space="preserve"> will initially </w:t>
      </w:r>
      <w:r>
        <w:t xml:space="preserve">support a </w:t>
      </w:r>
      <w:r w:rsidR="00097911">
        <w:t xml:space="preserve">next </w:t>
      </w:r>
      <w:r w:rsidR="00024B51">
        <w:t xml:space="preserve">working </w:t>
      </w:r>
      <w:r w:rsidR="00682414">
        <w:t xml:space="preserve">day </w:t>
      </w:r>
      <w:r w:rsidR="00024B51" w:rsidRPr="00024B51">
        <w:t xml:space="preserve">and up to 28 calendar days ahead of the chosen switch date. </w:t>
      </w:r>
      <w:r w:rsidR="00595461">
        <w:t>T</w:t>
      </w:r>
      <w:r w:rsidR="00C234A1">
        <w:t xml:space="preserve">ransitional </w:t>
      </w:r>
      <w:r w:rsidR="00595461">
        <w:t>arrangements</w:t>
      </w:r>
      <w:r w:rsidR="00C234A1">
        <w:t xml:space="preserve"> may employ a </w:t>
      </w:r>
      <w:r w:rsidR="00C234A1" w:rsidRPr="00C234A1">
        <w:t>parameterised standstill period (</w:t>
      </w:r>
      <w:r w:rsidR="00FC1537" w:rsidRPr="00C234A1">
        <w:t>e.g.</w:t>
      </w:r>
      <w:r w:rsidR="00C234A1" w:rsidRPr="00C234A1">
        <w:t xml:space="preserve"> currently assumed to be five calendar days at go-live)</w:t>
      </w:r>
      <w:r w:rsidR="00C234A1">
        <w:t>.</w:t>
      </w:r>
    </w:p>
    <w:p w14:paraId="35D2BAAD" w14:textId="52B5A09F" w:rsidR="00012BF4" w:rsidRDefault="00682414" w:rsidP="00682414">
      <w:pPr>
        <w:pStyle w:val="Paragrapgh"/>
      </w:pPr>
      <w:r>
        <w:t xml:space="preserve"> </w:t>
      </w:r>
      <w:r w:rsidR="005661D6">
        <w:t>CSS</w:t>
      </w:r>
      <w:r w:rsidR="00012BF4">
        <w:t xml:space="preserve"> must be capable of </w:t>
      </w:r>
      <w:r w:rsidR="002F4FF9">
        <w:t>supporting</w:t>
      </w:r>
      <w:r w:rsidR="00012BF4">
        <w:t xml:space="preserve"> this</w:t>
      </w:r>
      <w:r>
        <w:t xml:space="preserve"> reduction</w:t>
      </w:r>
      <w:r w:rsidR="00012BF4">
        <w:t xml:space="preserve"> through interface configuration rather than </w:t>
      </w:r>
      <w:r w:rsidR="003D3FDC">
        <w:t>service</w:t>
      </w:r>
      <w:r w:rsidR="00012BF4">
        <w:t xml:space="preserve"> upgrades.</w:t>
      </w:r>
    </w:p>
    <w:p w14:paraId="705045A7" w14:textId="7EF38381" w:rsidR="001D7D94" w:rsidRDefault="0025781C" w:rsidP="0025781C">
      <w:pPr>
        <w:pStyle w:val="Paragrapgh"/>
      </w:pPr>
      <w:r>
        <w:t xml:space="preserve"> The decision on whether a given e</w:t>
      </w:r>
      <w:r w:rsidR="00012BF4">
        <w:t xml:space="preserve">xchange of information between two </w:t>
      </w:r>
      <w:r w:rsidR="003D3FDC">
        <w:t>service</w:t>
      </w:r>
      <w:r w:rsidR="00012BF4">
        <w:t xml:space="preserve">s requires </w:t>
      </w:r>
      <w:r w:rsidR="00C877DA">
        <w:t>messaging</w:t>
      </w:r>
      <w:r w:rsidR="005661D6">
        <w:t xml:space="preserve"> or</w:t>
      </w:r>
      <w:r w:rsidR="00C877DA">
        <w:t xml:space="preserve"> messaging</w:t>
      </w:r>
      <w:r w:rsidR="008930FB">
        <w:t xml:space="preserve"> </w:t>
      </w:r>
      <w:r w:rsidR="00C877DA">
        <w:t>(buffered)</w:t>
      </w:r>
      <w:r w:rsidR="00012BF4">
        <w:t xml:space="preserve"> </w:t>
      </w:r>
      <w:r>
        <w:t>processing</w:t>
      </w:r>
      <w:r w:rsidR="00012BF4">
        <w:t>,</w:t>
      </w:r>
      <w:r>
        <w:t xml:space="preserve"> is </w:t>
      </w:r>
      <w:r w:rsidR="008930FB">
        <w:t xml:space="preserve">to some degree </w:t>
      </w:r>
      <w:r>
        <w:t>driven by the Operational Choreography requirement of the E2E business process</w:t>
      </w:r>
      <w:r w:rsidR="008930FB">
        <w:t>. However, general architectural considerations</w:t>
      </w:r>
      <w:r w:rsidR="00DB5641">
        <w:t>,</w:t>
      </w:r>
      <w:r w:rsidR="008930FB">
        <w:t xml:space="preserve"> adaptability</w:t>
      </w:r>
      <w:r w:rsidR="00C43AF5">
        <w:t>, and</w:t>
      </w:r>
      <w:r w:rsidR="00D17C83">
        <w:t xml:space="preserve"> </w:t>
      </w:r>
      <w:r w:rsidR="008930FB">
        <w:t>fut</w:t>
      </w:r>
      <w:r w:rsidR="005661D6">
        <w:t>ure-proofing of the solution have</w:t>
      </w:r>
      <w:r w:rsidR="008930FB">
        <w:t xml:space="preserve"> also been considered</w:t>
      </w:r>
      <w:r>
        <w:t>.</w:t>
      </w:r>
      <w:r w:rsidR="008B2338">
        <w:t xml:space="preserve"> </w:t>
      </w:r>
      <w:r>
        <w:t xml:space="preserve">A breakdown of the impact of business processes on each </w:t>
      </w:r>
      <w:r w:rsidR="003D3FDC">
        <w:t>service</w:t>
      </w:r>
      <w:r>
        <w:t xml:space="preserve"> is given later in this section</w:t>
      </w:r>
      <w:r w:rsidR="00012BF4">
        <w:t>.</w:t>
      </w:r>
    </w:p>
    <w:bookmarkEnd w:id="181"/>
    <w:bookmarkEnd w:id="182"/>
    <w:p w14:paraId="07D70ED6" w14:textId="5CC06A8E" w:rsidR="00964CC4" w:rsidRDefault="00964CC4" w:rsidP="00AE232A">
      <w:pPr>
        <w:pStyle w:val="Paragrapgh"/>
      </w:pPr>
      <w:r>
        <w:t xml:space="preserve">Information describing how the interfaces will be orchestrated, including relevant time dependencies for subsequent processing and/or responses, </w:t>
      </w:r>
      <w:r w:rsidR="00AE232A">
        <w:t>are</w:t>
      </w:r>
      <w:r>
        <w:t xml:space="preserve"> provided in </w:t>
      </w:r>
      <w:r w:rsidR="006D6FDB">
        <w:t>D-4.1.6 E2E Operational Choreography</w:t>
      </w:r>
      <w:r w:rsidR="006D6FDB" w:rsidRPr="00B302CB">
        <w:rPr>
          <w:vertAlign w:val="superscript"/>
        </w:rPr>
        <w:fldChar w:fldCharType="begin"/>
      </w:r>
      <w:r w:rsidR="006D6FDB" w:rsidRPr="00B302CB">
        <w:rPr>
          <w:vertAlign w:val="superscript"/>
        </w:rPr>
        <w:instrText xml:space="preserve"> REF D_4_1_6 \h </w:instrText>
      </w:r>
      <w:r w:rsidR="006D6FDB">
        <w:rPr>
          <w:vertAlign w:val="superscript"/>
        </w:rPr>
        <w:instrText xml:space="preserve"> \* MERGEFORMAT </w:instrText>
      </w:r>
      <w:r w:rsidR="006D6FDB" w:rsidRPr="00B302CB">
        <w:rPr>
          <w:vertAlign w:val="superscript"/>
        </w:rPr>
      </w:r>
      <w:r w:rsidR="006D6FDB" w:rsidRPr="00B302CB">
        <w:rPr>
          <w:vertAlign w:val="superscript"/>
        </w:rPr>
        <w:fldChar w:fldCharType="separate"/>
      </w:r>
      <w:r w:rsidR="005D4843" w:rsidRPr="005D4843">
        <w:rPr>
          <w:vertAlign w:val="superscript"/>
        </w:rPr>
        <w:t>[4]</w:t>
      </w:r>
      <w:r w:rsidR="006D6FDB" w:rsidRPr="00B302CB">
        <w:rPr>
          <w:vertAlign w:val="superscript"/>
        </w:rPr>
        <w:fldChar w:fldCharType="end"/>
      </w:r>
      <w:r w:rsidR="006D6FDB" w:rsidDel="006D6FDB">
        <w:t xml:space="preserve"> </w:t>
      </w:r>
      <w:r>
        <w:t>, which impacted parties are recommended to review in conjunction with this document.</w:t>
      </w:r>
    </w:p>
    <w:p w14:paraId="0005D6AA" w14:textId="6BFF27A7" w:rsidR="003C1268" w:rsidRDefault="009142F5" w:rsidP="003C1268">
      <w:pPr>
        <w:pStyle w:val="Paragrapgh"/>
      </w:pPr>
      <w:r>
        <w:t>For</w:t>
      </w:r>
      <w:r w:rsidR="003C1268">
        <w:t xml:space="preserve"> the technical architecture of the new interfaces with the </w:t>
      </w:r>
      <w:r w:rsidR="0037213F">
        <w:t>CSS</w:t>
      </w:r>
      <w:r w:rsidR="003C1268">
        <w:t xml:space="preserve">, the following principles will apply and should guide </w:t>
      </w:r>
      <w:r w:rsidR="00845E0C">
        <w:t xml:space="preserve">impacted parties </w:t>
      </w:r>
      <w:r w:rsidR="003C1268">
        <w:t>in their assessments:</w:t>
      </w:r>
    </w:p>
    <w:p w14:paraId="7B08EDB4" w14:textId="1B3D59A7" w:rsidR="003C1268" w:rsidRDefault="003C1268" w:rsidP="00176198">
      <w:pPr>
        <w:pStyle w:val="ListBullet"/>
      </w:pPr>
      <w:r>
        <w:t xml:space="preserve">Data/message flows between the </w:t>
      </w:r>
      <w:r w:rsidR="00302F0C">
        <w:t>CSS</w:t>
      </w:r>
      <w:r w:rsidR="00AE232A">
        <w:t xml:space="preserve"> </w:t>
      </w:r>
      <w:r>
        <w:t xml:space="preserve">and other </w:t>
      </w:r>
      <w:r w:rsidR="006447D2">
        <w:t xml:space="preserve">data </w:t>
      </w:r>
      <w:r w:rsidR="003D3FDC">
        <w:t>service</w:t>
      </w:r>
      <w:r>
        <w:t>s are defined in the Switching Design Repository (</w:t>
      </w:r>
      <w:r w:rsidR="008D424D">
        <w:t>ABACUS</w:t>
      </w:r>
      <w:r>
        <w:t>).</w:t>
      </w:r>
    </w:p>
    <w:p w14:paraId="20940A34" w14:textId="1734AD1A" w:rsidR="003C1268" w:rsidRDefault="003C1268" w:rsidP="00176198">
      <w:pPr>
        <w:pStyle w:val="ListBullet"/>
      </w:pPr>
      <w:r>
        <w:t xml:space="preserve">Interface scheduling, sequencing and coordination is defined in </w:t>
      </w:r>
      <w:r w:rsidR="006D6FDB">
        <w:t>D-4.1.6 E2E Operational Choreography</w:t>
      </w:r>
      <w:r w:rsidR="006D6FDB" w:rsidRPr="0038075D">
        <w:rPr>
          <w:vertAlign w:val="superscript"/>
        </w:rPr>
        <w:fldChar w:fldCharType="begin"/>
      </w:r>
      <w:r w:rsidR="006D6FDB" w:rsidRPr="0038075D">
        <w:rPr>
          <w:vertAlign w:val="superscript"/>
        </w:rPr>
        <w:instrText xml:space="preserve"> REF D_4_1_6 \h </w:instrText>
      </w:r>
      <w:r w:rsidR="006D6FDB">
        <w:rPr>
          <w:vertAlign w:val="superscript"/>
        </w:rPr>
        <w:instrText xml:space="preserve"> \* MERGEFORMAT </w:instrText>
      </w:r>
      <w:r w:rsidR="006D6FDB" w:rsidRPr="0038075D">
        <w:rPr>
          <w:vertAlign w:val="superscript"/>
        </w:rPr>
      </w:r>
      <w:r w:rsidR="006D6FDB" w:rsidRPr="0038075D">
        <w:rPr>
          <w:vertAlign w:val="superscript"/>
        </w:rPr>
        <w:fldChar w:fldCharType="separate"/>
      </w:r>
      <w:r w:rsidR="005D4843" w:rsidRPr="005D4843">
        <w:rPr>
          <w:vertAlign w:val="superscript"/>
        </w:rPr>
        <w:t>[4]</w:t>
      </w:r>
      <w:r w:rsidR="006D6FDB" w:rsidRPr="0038075D">
        <w:rPr>
          <w:vertAlign w:val="superscript"/>
        </w:rPr>
        <w:fldChar w:fldCharType="end"/>
      </w:r>
      <w:r>
        <w:t xml:space="preserve">, including the flow of individual messages between </w:t>
      </w:r>
      <w:r w:rsidR="003D3FDC">
        <w:t>service</w:t>
      </w:r>
      <w:r>
        <w:t>s and any associated time dependencies for their processing.</w:t>
      </w:r>
    </w:p>
    <w:p w14:paraId="567ED289" w14:textId="574236B0" w:rsidR="003C1268" w:rsidRDefault="003C1268" w:rsidP="00176198">
      <w:pPr>
        <w:pStyle w:val="ListBullet"/>
      </w:pPr>
      <w:r>
        <w:t>For the purposes of this solution, a</w:t>
      </w:r>
      <w:r w:rsidRPr="004C0F60">
        <w:t xml:space="preserve">ll </w:t>
      </w:r>
      <w:r w:rsidR="003D3FDC">
        <w:t>service</w:t>
      </w:r>
      <w:r w:rsidRPr="004C0F60">
        <w:t xml:space="preserve">s/application components of the solution </w:t>
      </w:r>
      <w:r w:rsidR="008F0644">
        <w:t xml:space="preserve">outside of CSS </w:t>
      </w:r>
      <w:r w:rsidRPr="004C0F60">
        <w:t xml:space="preserve">are </w:t>
      </w:r>
      <w:r>
        <w:t>‘</w:t>
      </w:r>
      <w:r w:rsidRPr="004C0F60">
        <w:t>black boxes</w:t>
      </w:r>
      <w:r>
        <w:t>’</w:t>
      </w:r>
      <w:r w:rsidRPr="004C0F60">
        <w:t xml:space="preserve"> – their underlying technical architecture is beyond the scope of this document.</w:t>
      </w:r>
      <w:r>
        <w:t xml:space="preserve"> </w:t>
      </w:r>
      <w:r w:rsidRPr="004C0F60">
        <w:t xml:space="preserve">However, they are assumed to be capable of </w:t>
      </w:r>
      <w:r>
        <w:t>exchanging data via the interfaces identified in this document</w:t>
      </w:r>
      <w:r w:rsidRPr="004C0F60">
        <w:t>, subject to re-e</w:t>
      </w:r>
      <w:r>
        <w:t>ngineering where required (see Assumption A002)</w:t>
      </w:r>
      <w:r w:rsidRPr="004C0F60">
        <w:t xml:space="preserve"> </w:t>
      </w:r>
    </w:p>
    <w:p w14:paraId="5A5FC7A1" w14:textId="20915B30" w:rsidR="003C1268" w:rsidRDefault="003C1268" w:rsidP="00176198">
      <w:pPr>
        <w:pStyle w:val="ListBullet"/>
      </w:pPr>
      <w:r>
        <w:t xml:space="preserve">No assumptions are made regarding the presence, capability or configuration of message oriented middleware or other </w:t>
      </w:r>
      <w:r w:rsidR="006447D2">
        <w:t>business-to-business (</w:t>
      </w:r>
      <w:r>
        <w:t>B2B</w:t>
      </w:r>
      <w:r w:rsidR="006447D2">
        <w:t>)</w:t>
      </w:r>
      <w:r>
        <w:t xml:space="preserve"> integration platforms.</w:t>
      </w:r>
    </w:p>
    <w:p w14:paraId="277A60FA" w14:textId="162222FB" w:rsidR="003C1268" w:rsidRDefault="003D3FDC" w:rsidP="00176198">
      <w:pPr>
        <w:pStyle w:val="ListBullet"/>
      </w:pPr>
      <w:r>
        <w:t>Service</w:t>
      </w:r>
      <w:r w:rsidR="003C1268">
        <w:t xml:space="preserve">s participating in the E2E </w:t>
      </w:r>
      <w:r w:rsidR="00C07C5F">
        <w:t>Switching Arrangements</w:t>
      </w:r>
      <w:r w:rsidR="003C1268">
        <w:t xml:space="preserve"> will require connection to a </w:t>
      </w:r>
      <w:r w:rsidR="008F0644">
        <w:t>S</w:t>
      </w:r>
      <w:r w:rsidR="003C1268">
        <w:t xml:space="preserve">witching </w:t>
      </w:r>
      <w:r w:rsidR="008F0644">
        <w:t>N</w:t>
      </w:r>
      <w:r w:rsidR="003C1268">
        <w:t xml:space="preserve">etwork’, the design of which will be finalised as part of </w:t>
      </w:r>
      <w:r w:rsidR="00302F0C">
        <w:t>CSS</w:t>
      </w:r>
      <w:r w:rsidR="00281F51">
        <w:t xml:space="preserve"> Detailed D</w:t>
      </w:r>
      <w:r w:rsidR="003C1268">
        <w:t>esign.</w:t>
      </w:r>
    </w:p>
    <w:p w14:paraId="1CE72978" w14:textId="77777777" w:rsidR="003C1268" w:rsidRDefault="003C1268" w:rsidP="00176198">
      <w:pPr>
        <w:pStyle w:val="ListBullet"/>
      </w:pPr>
      <w:r>
        <w:t>The Switching Network will implement access control and authentication mechanisms in accordance with requirements laid out in the E2E Security Architecture.</w:t>
      </w:r>
    </w:p>
    <w:p w14:paraId="6B2EA17B" w14:textId="69E60A8C" w:rsidR="003C1268" w:rsidRDefault="008B3619" w:rsidP="00176198">
      <w:pPr>
        <w:pStyle w:val="ListBullet"/>
      </w:pPr>
      <w:r>
        <w:t xml:space="preserve">CSS exchanges messages with other participants using the Switching Network (with the exception of CSS-Smart Metering where communication is via the Smart Metering Gamma network, due to the stringent Smart </w:t>
      </w:r>
      <w:r w:rsidR="005055DE">
        <w:t>Metering security requirements)</w:t>
      </w:r>
      <w:r w:rsidR="003C1268">
        <w:t>.</w:t>
      </w:r>
    </w:p>
    <w:p w14:paraId="76F5D10F" w14:textId="4E724EB6" w:rsidR="003C1268" w:rsidRDefault="003C1268" w:rsidP="00176198">
      <w:pPr>
        <w:pStyle w:val="ListBullet"/>
      </w:pPr>
      <w:r>
        <w:t xml:space="preserve">Validation and integrity checking will be performed for interfaces in accordance with the appropriate Security requirements, as defined in </w:t>
      </w:r>
      <w:r w:rsidR="006D6FDB">
        <w:t>D-4.1.10.1 E2E Security Architecture</w:t>
      </w:r>
      <w:r w:rsidR="006D6FDB" w:rsidRPr="00B302CB">
        <w:rPr>
          <w:vertAlign w:val="superscript"/>
        </w:rPr>
        <w:fldChar w:fldCharType="begin"/>
      </w:r>
      <w:r w:rsidR="006D6FDB" w:rsidRPr="00B302CB">
        <w:rPr>
          <w:vertAlign w:val="superscript"/>
        </w:rPr>
        <w:instrText xml:space="preserve"> REF D_4_1_10_1 \h </w:instrText>
      </w:r>
      <w:r w:rsidR="006D6FDB">
        <w:rPr>
          <w:vertAlign w:val="superscript"/>
        </w:rPr>
        <w:instrText xml:space="preserve"> \* MERGEFORMAT </w:instrText>
      </w:r>
      <w:r w:rsidR="006D6FDB" w:rsidRPr="00B302CB">
        <w:rPr>
          <w:vertAlign w:val="superscript"/>
        </w:rPr>
      </w:r>
      <w:r w:rsidR="006D6FDB" w:rsidRPr="00B302CB">
        <w:rPr>
          <w:vertAlign w:val="superscript"/>
        </w:rPr>
        <w:fldChar w:fldCharType="separate"/>
      </w:r>
      <w:r w:rsidR="00F03AB2" w:rsidRPr="0057528B">
        <w:rPr>
          <w:vertAlign w:val="superscript"/>
        </w:rPr>
        <w:t>[6]</w:t>
      </w:r>
      <w:r w:rsidR="006D6FDB" w:rsidRPr="00B302CB">
        <w:rPr>
          <w:vertAlign w:val="superscript"/>
        </w:rPr>
        <w:fldChar w:fldCharType="end"/>
      </w:r>
      <w:r w:rsidR="006D6FDB" w:rsidDel="006D6FDB">
        <w:t xml:space="preserve"> </w:t>
      </w:r>
      <w:r>
        <w:t>and its related products.</w:t>
      </w:r>
    </w:p>
    <w:p w14:paraId="5968ABA9" w14:textId="3592F77B" w:rsidR="005055DE" w:rsidRDefault="009142F5" w:rsidP="005055DE">
      <w:pPr>
        <w:pStyle w:val="Heading3"/>
      </w:pPr>
      <w:bookmarkStart w:id="183" w:name="_Toc9934764"/>
      <w:r w:rsidRPr="009142F5">
        <w:t xml:space="preserve">Configurable </w:t>
      </w:r>
      <w:r w:rsidR="005055DE">
        <w:t>Functionality</w:t>
      </w:r>
      <w:bookmarkEnd w:id="183"/>
    </w:p>
    <w:p w14:paraId="600A592D" w14:textId="26C491D3" w:rsidR="00323FB3" w:rsidRDefault="00323FB3" w:rsidP="00323FB3">
      <w:pPr>
        <w:pStyle w:val="Paragrapgh"/>
      </w:pPr>
      <w:r>
        <w:t>While this document specifies an initial state of the E2E Architecture, the solution has been defined to be configurable such that it can be configured to make certain adjustments. The permissible functionality configuration adjustments are as follows:</w:t>
      </w:r>
    </w:p>
    <w:p w14:paraId="7AFDCF57" w14:textId="0659AA8B" w:rsidR="008B697E" w:rsidRDefault="00323FB3" w:rsidP="00176198">
      <w:pPr>
        <w:pStyle w:val="ListBullet"/>
      </w:pPr>
      <w:r>
        <w:t>Removal of</w:t>
      </w:r>
      <w:r w:rsidR="008B697E">
        <w:t xml:space="preserve"> </w:t>
      </w:r>
      <w:r w:rsidRPr="005055DE">
        <w:t xml:space="preserve">the </w:t>
      </w:r>
      <w:r>
        <w:t>fac</w:t>
      </w:r>
      <w:r w:rsidRPr="005055DE">
        <w:t xml:space="preserve">ility for the </w:t>
      </w:r>
      <w:r>
        <w:t>Supplier</w:t>
      </w:r>
      <w:r w:rsidRPr="005055DE">
        <w:t xml:space="preserve"> to raise an objection</w:t>
      </w:r>
      <w:r w:rsidR="008B697E">
        <w:t xml:space="preserve"> (configurable separately for domestic and non-domestic)</w:t>
      </w:r>
      <w:r>
        <w:t>;</w:t>
      </w:r>
    </w:p>
    <w:p w14:paraId="080C0FCF" w14:textId="66FD7502" w:rsidR="00323FB3" w:rsidRDefault="008B697E" w:rsidP="00176198">
      <w:pPr>
        <w:pStyle w:val="ListBullet"/>
      </w:pPr>
      <w:r>
        <w:t>Removal of the facility for the Supplier to raise an objection when the Change of Occupancy Indicator is set (configurable separately for domestic and non-domestic);</w:t>
      </w:r>
      <w:r w:rsidR="00FC1537">
        <w:t xml:space="preserve"> </w:t>
      </w:r>
      <w:r w:rsidR="00323FB3">
        <w:t>and</w:t>
      </w:r>
    </w:p>
    <w:p w14:paraId="5F31510C" w14:textId="0717C9A9" w:rsidR="00323FB3" w:rsidRDefault="00323FB3" w:rsidP="00176198">
      <w:pPr>
        <w:pStyle w:val="ListBullet"/>
      </w:pPr>
      <w:r>
        <w:t>Removal of</w:t>
      </w:r>
      <w:r w:rsidR="008B697E">
        <w:t xml:space="preserve"> </w:t>
      </w:r>
      <w:r w:rsidRPr="005055DE">
        <w:t xml:space="preserve">the </w:t>
      </w:r>
      <w:r>
        <w:t>fac</w:t>
      </w:r>
      <w:r w:rsidRPr="005055DE">
        <w:t xml:space="preserve">ility for the </w:t>
      </w:r>
      <w:r>
        <w:t>Supplier to raise an annulment.</w:t>
      </w:r>
    </w:p>
    <w:p w14:paraId="07C9FF87" w14:textId="01FF1B38" w:rsidR="005C0BD7" w:rsidRDefault="00323FB3" w:rsidP="00323FB3">
      <w:pPr>
        <w:pStyle w:val="Paragrapgh"/>
      </w:pPr>
      <w:r>
        <w:t>All these controls are configurable by the Governance Data Service.</w:t>
      </w:r>
    </w:p>
    <w:p w14:paraId="66A957C3" w14:textId="344DFB00" w:rsidR="009142F5" w:rsidRPr="005055DE" w:rsidRDefault="005C0BD7" w:rsidP="005C0BD7">
      <w:pPr>
        <w:pStyle w:val="Paragrapgh"/>
      </w:pPr>
      <w:r>
        <w:t>In addition</w:t>
      </w:r>
      <w:r w:rsidR="00D17C83">
        <w:t>,</w:t>
      </w:r>
      <w:r>
        <w:t xml:space="preserve"> the length of windows for objections </w:t>
      </w:r>
      <w:r w:rsidR="00C43AF5">
        <w:t xml:space="preserve">are </w:t>
      </w:r>
      <w:r>
        <w:t xml:space="preserve">parameterised and can be set as described in </w:t>
      </w:r>
      <w:r w:rsidR="006D6FDB">
        <w:t>D-4.1.6 E2E Operational Choreography</w:t>
      </w:r>
      <w:r w:rsidR="006D6FDB" w:rsidRPr="0038075D">
        <w:rPr>
          <w:vertAlign w:val="superscript"/>
        </w:rPr>
        <w:fldChar w:fldCharType="begin"/>
      </w:r>
      <w:r w:rsidR="006D6FDB" w:rsidRPr="0038075D">
        <w:rPr>
          <w:vertAlign w:val="superscript"/>
        </w:rPr>
        <w:instrText xml:space="preserve"> REF D_4_1_6 \h </w:instrText>
      </w:r>
      <w:r w:rsidR="006D6FDB">
        <w:rPr>
          <w:vertAlign w:val="superscript"/>
        </w:rPr>
        <w:instrText xml:space="preserve"> \* MERGEFORMAT </w:instrText>
      </w:r>
      <w:r w:rsidR="006D6FDB" w:rsidRPr="0038075D">
        <w:rPr>
          <w:vertAlign w:val="superscript"/>
        </w:rPr>
      </w:r>
      <w:r w:rsidR="006D6FDB" w:rsidRPr="0038075D">
        <w:rPr>
          <w:vertAlign w:val="superscript"/>
        </w:rPr>
        <w:fldChar w:fldCharType="separate"/>
      </w:r>
      <w:r w:rsidR="005D4843" w:rsidRPr="005D4843">
        <w:rPr>
          <w:vertAlign w:val="superscript"/>
        </w:rPr>
        <w:t>[4]</w:t>
      </w:r>
      <w:r w:rsidR="006D6FDB" w:rsidRPr="0038075D">
        <w:rPr>
          <w:vertAlign w:val="superscript"/>
        </w:rPr>
        <w:fldChar w:fldCharType="end"/>
      </w:r>
      <w:r>
        <w:t>.</w:t>
      </w:r>
    </w:p>
    <w:p w14:paraId="02F92432" w14:textId="77777777" w:rsidR="003C1268" w:rsidRPr="003B7FA2" w:rsidRDefault="003C1268" w:rsidP="0064698A">
      <w:pPr>
        <w:pStyle w:val="Heading3"/>
      </w:pPr>
      <w:bookmarkStart w:id="184" w:name="_Toc505257250"/>
      <w:bookmarkStart w:id="185" w:name="_Toc505689978"/>
      <w:bookmarkStart w:id="186" w:name="_Toc9934765"/>
      <w:r w:rsidRPr="003B7FA2">
        <w:t>Interface Patterns</w:t>
      </w:r>
      <w:bookmarkEnd w:id="184"/>
      <w:bookmarkEnd w:id="185"/>
      <w:bookmarkEnd w:id="186"/>
    </w:p>
    <w:p w14:paraId="2AEE5035" w14:textId="77777777" w:rsidR="003C1268" w:rsidRDefault="003C1268" w:rsidP="001B2CCC">
      <w:pPr>
        <w:pStyle w:val="Paragrapgh"/>
      </w:pPr>
      <w:bookmarkStart w:id="187" w:name="_Hlk495495883"/>
      <w:r>
        <w:t>Outbound interfaces from CSS have one of the following message interaction patterns:</w:t>
      </w:r>
    </w:p>
    <w:p w14:paraId="1387C405" w14:textId="2538B952" w:rsidR="003C1268" w:rsidRDefault="003C1268" w:rsidP="00176198">
      <w:pPr>
        <w:pStyle w:val="ListBullet"/>
      </w:pPr>
      <w:r w:rsidRPr="00FC37A9">
        <w:rPr>
          <w:b/>
        </w:rPr>
        <w:t>Notifications</w:t>
      </w:r>
      <w:r w:rsidRPr="00B20CED">
        <w:t xml:space="preserve"> – a message between two </w:t>
      </w:r>
      <w:r w:rsidR="003D3FDC">
        <w:t>service</w:t>
      </w:r>
      <w:r w:rsidRPr="00B20CED">
        <w:t>s that informs the recipient of an event and provides some related in</w:t>
      </w:r>
      <w:r w:rsidR="00B53E3B">
        <w:t>formation in a structured form.</w:t>
      </w:r>
      <w:r w:rsidR="008B2338">
        <w:t xml:space="preserve"> </w:t>
      </w:r>
      <w:r w:rsidR="00B53E3B">
        <w:t xml:space="preserve">CSS will issue a number of </w:t>
      </w:r>
      <w:r w:rsidR="00C42CB4">
        <w:t xml:space="preserve">different </w:t>
      </w:r>
      <w:r w:rsidR="00B53E3B">
        <w:t>types of Notification, which R</w:t>
      </w:r>
      <w:r w:rsidRPr="00B20CED">
        <w:t>ecipient</w:t>
      </w:r>
      <w:r w:rsidR="00B53E3B">
        <w:t>s</w:t>
      </w:r>
      <w:r w:rsidRPr="00B20CED">
        <w:t xml:space="preserve"> </w:t>
      </w:r>
      <w:r w:rsidR="00310689">
        <w:t xml:space="preserve">have no requirement to act on and </w:t>
      </w:r>
      <w:r w:rsidR="00310689" w:rsidRPr="00B20CED">
        <w:t xml:space="preserve">may </w:t>
      </w:r>
      <w:r w:rsidR="00310689">
        <w:t>(</w:t>
      </w:r>
      <w:r w:rsidR="00310689" w:rsidRPr="00B20CED">
        <w:t>or may not</w:t>
      </w:r>
      <w:r w:rsidR="00310689">
        <w:t>)</w:t>
      </w:r>
      <w:r w:rsidR="00310689" w:rsidRPr="00B20CED">
        <w:t xml:space="preserve"> </w:t>
      </w:r>
      <w:r w:rsidR="00310689">
        <w:t>choose to receive</w:t>
      </w:r>
      <w:r w:rsidR="00B53E3B">
        <w:t xml:space="preserve">: </w:t>
      </w:r>
    </w:p>
    <w:p w14:paraId="5A77B83A" w14:textId="77777777" w:rsidR="00C42CB4" w:rsidRDefault="00C42CB4" w:rsidP="00C42CB4">
      <w:pPr>
        <w:pStyle w:val="ListBullet2"/>
      </w:pPr>
      <w:r>
        <w:t>Switch request validated</w:t>
      </w:r>
    </w:p>
    <w:p w14:paraId="3DE35CB1" w14:textId="77777777" w:rsidR="00C42CB4" w:rsidRDefault="00C42CB4" w:rsidP="00C42CB4">
      <w:pPr>
        <w:pStyle w:val="ListBullet2"/>
      </w:pPr>
      <w:r>
        <w:t>Switch request confirmed (no objection raised)</w:t>
      </w:r>
    </w:p>
    <w:p w14:paraId="5667C10D" w14:textId="0F2340A7" w:rsidR="00C42CB4" w:rsidRDefault="00323FB3" w:rsidP="00C42CB4">
      <w:pPr>
        <w:pStyle w:val="ListBullet2"/>
      </w:pPr>
      <w:r>
        <w:t>Switch request secured</w:t>
      </w:r>
    </w:p>
    <w:p w14:paraId="11313153" w14:textId="77777777" w:rsidR="00C42CB4" w:rsidRDefault="00C42CB4" w:rsidP="00C42CB4">
      <w:pPr>
        <w:pStyle w:val="ListBullet2"/>
      </w:pPr>
      <w:r>
        <w:t>Change of shipper</w:t>
      </w:r>
    </w:p>
    <w:p w14:paraId="273DFA4C" w14:textId="3C1297CB" w:rsidR="00C42CB4" w:rsidRDefault="00C42CB4" w:rsidP="00C42CB4">
      <w:pPr>
        <w:pStyle w:val="ListBullet2"/>
      </w:pPr>
      <w:r>
        <w:t>Change of domestic/non-domestic indicator</w:t>
      </w:r>
    </w:p>
    <w:p w14:paraId="480140DC" w14:textId="21C74B23" w:rsidR="00D14DD9" w:rsidRDefault="00B023C0" w:rsidP="00C42CB4">
      <w:pPr>
        <w:pStyle w:val="ListBullet2"/>
      </w:pPr>
      <w:r>
        <w:t>Initial registration confirmed</w:t>
      </w:r>
    </w:p>
    <w:p w14:paraId="0FB7F17B" w14:textId="56A4AA97" w:rsidR="00C42CB4" w:rsidRDefault="00C42CB4" w:rsidP="00C42CB4">
      <w:pPr>
        <w:pStyle w:val="ListBullet2"/>
      </w:pPr>
      <w:r>
        <w:t>Initial registration</w:t>
      </w:r>
      <w:r w:rsidR="00323FB3">
        <w:t xml:space="preserve"> secured</w:t>
      </w:r>
    </w:p>
    <w:p w14:paraId="1EB7B42F" w14:textId="77777777" w:rsidR="00C42CB4" w:rsidRDefault="00C42CB4" w:rsidP="00C42CB4">
      <w:pPr>
        <w:pStyle w:val="ListBullet2"/>
      </w:pPr>
      <w:r>
        <w:t>Switch Objected</w:t>
      </w:r>
    </w:p>
    <w:p w14:paraId="088820E8" w14:textId="77777777" w:rsidR="00C42CB4" w:rsidRDefault="00C42CB4" w:rsidP="00C42CB4">
      <w:pPr>
        <w:pStyle w:val="ListBullet2"/>
      </w:pPr>
      <w:r>
        <w:t>Switch Withdrawn</w:t>
      </w:r>
    </w:p>
    <w:p w14:paraId="69630FBD" w14:textId="77777777" w:rsidR="00C42CB4" w:rsidRDefault="00C42CB4" w:rsidP="00C42CB4">
      <w:pPr>
        <w:pStyle w:val="ListBullet2"/>
      </w:pPr>
      <w:r>
        <w:t>Switch Annulled</w:t>
      </w:r>
    </w:p>
    <w:p w14:paraId="6491606B" w14:textId="1931EB2B" w:rsidR="006447D2" w:rsidRDefault="006447D2" w:rsidP="00C42CB4">
      <w:pPr>
        <w:pStyle w:val="ListBullet2"/>
      </w:pPr>
      <w:r>
        <w:t>Switch Rejected</w:t>
      </w:r>
    </w:p>
    <w:p w14:paraId="185FACFD" w14:textId="77777777" w:rsidR="002404C8" w:rsidRDefault="00C42CB4" w:rsidP="007B2DDA">
      <w:pPr>
        <w:pStyle w:val="ListBullet2"/>
      </w:pPr>
      <w:r>
        <w:t>Deactivate registration</w:t>
      </w:r>
    </w:p>
    <w:p w14:paraId="297C2BE5" w14:textId="77777777" w:rsidR="00C42CB4" w:rsidRDefault="002404C8" w:rsidP="004E4073">
      <w:pPr>
        <w:pStyle w:val="ListBullet2"/>
        <w:numPr>
          <w:ilvl w:val="0"/>
          <w:numId w:val="0"/>
        </w:numPr>
      </w:pPr>
      <w:r>
        <w:t xml:space="preserve">The following table gives further detail on the </w:t>
      </w:r>
      <w:r w:rsidR="00D65E34">
        <w:t xml:space="preserve">different </w:t>
      </w:r>
      <w:r>
        <w:t>Notification types</w:t>
      </w:r>
      <w:r w:rsidR="00D65E34">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15"/>
        <w:gridCol w:w="6515"/>
      </w:tblGrid>
      <w:tr w:rsidR="00451754" w:rsidRPr="00992545" w14:paraId="58A9749E" w14:textId="77777777" w:rsidTr="00A80026">
        <w:trPr>
          <w:tblHeader/>
        </w:trPr>
        <w:tc>
          <w:tcPr>
            <w:tcW w:w="1652" w:type="pct"/>
            <w:shd w:val="clear" w:color="auto" w:fill="A6A6A6" w:themeFill="background1" w:themeFillShade="A6"/>
            <w:tcMar>
              <w:top w:w="0" w:type="dxa"/>
              <w:left w:w="108" w:type="dxa"/>
              <w:bottom w:w="0" w:type="dxa"/>
              <w:right w:w="108" w:type="dxa"/>
            </w:tcMar>
            <w:hideMark/>
          </w:tcPr>
          <w:p w14:paraId="1BACBCB2" w14:textId="77777777" w:rsidR="00451754" w:rsidRPr="00992545" w:rsidRDefault="00451754" w:rsidP="00746018">
            <w:pPr>
              <w:pStyle w:val="TableHeadings"/>
            </w:pPr>
            <w:r w:rsidRPr="00992545">
              <w:t>Event</w:t>
            </w:r>
          </w:p>
        </w:tc>
        <w:tc>
          <w:tcPr>
            <w:tcW w:w="3348" w:type="pct"/>
            <w:shd w:val="clear" w:color="auto" w:fill="A6A6A6" w:themeFill="background1" w:themeFillShade="A6"/>
            <w:tcMar>
              <w:top w:w="0" w:type="dxa"/>
              <w:left w:w="108" w:type="dxa"/>
              <w:bottom w:w="0" w:type="dxa"/>
              <w:right w:w="108" w:type="dxa"/>
            </w:tcMar>
            <w:hideMark/>
          </w:tcPr>
          <w:p w14:paraId="4CCFBD99" w14:textId="77777777" w:rsidR="00451754" w:rsidRPr="00992545" w:rsidRDefault="00451754" w:rsidP="00746018">
            <w:pPr>
              <w:pStyle w:val="TableHeadings"/>
            </w:pPr>
            <w:r w:rsidRPr="00992545">
              <w:t>Notification</w:t>
            </w:r>
          </w:p>
        </w:tc>
      </w:tr>
      <w:tr w:rsidR="00451754" w:rsidRPr="00992545" w14:paraId="67A91BA5" w14:textId="77777777" w:rsidTr="00451754">
        <w:tc>
          <w:tcPr>
            <w:tcW w:w="1652" w:type="pct"/>
            <w:tcMar>
              <w:top w:w="0" w:type="dxa"/>
              <w:left w:w="108" w:type="dxa"/>
              <w:bottom w:w="0" w:type="dxa"/>
              <w:right w:w="108" w:type="dxa"/>
            </w:tcMar>
            <w:hideMark/>
          </w:tcPr>
          <w:p w14:paraId="77EBA9A9" w14:textId="77777777" w:rsidR="00451754" w:rsidRPr="00992545" w:rsidRDefault="00451754" w:rsidP="00746018">
            <w:pPr>
              <w:pStyle w:val="TableText-Left"/>
              <w:rPr>
                <w:szCs w:val="18"/>
              </w:rPr>
            </w:pPr>
            <w:r w:rsidRPr="00992545">
              <w:rPr>
                <w:szCs w:val="18"/>
              </w:rPr>
              <w:t>Switch request validated</w:t>
            </w:r>
          </w:p>
        </w:tc>
        <w:tc>
          <w:tcPr>
            <w:tcW w:w="3348" w:type="pct"/>
            <w:tcMar>
              <w:top w:w="0" w:type="dxa"/>
              <w:left w:w="108" w:type="dxa"/>
              <w:bottom w:w="0" w:type="dxa"/>
              <w:right w:w="108" w:type="dxa"/>
            </w:tcMar>
            <w:hideMark/>
          </w:tcPr>
          <w:p w14:paraId="26D8B78D" w14:textId="77777777" w:rsidR="00451754" w:rsidRPr="00992545" w:rsidRDefault="00451754" w:rsidP="00746018">
            <w:pPr>
              <w:pStyle w:val="TableText-Left"/>
              <w:rPr>
                <w:szCs w:val="18"/>
              </w:rPr>
            </w:pPr>
            <w:r w:rsidRPr="00992545">
              <w:rPr>
                <w:szCs w:val="18"/>
              </w:rPr>
              <w:t xml:space="preserve">Gaining supplier (Elec/Gas): Confirmation that their </w:t>
            </w:r>
            <w:r w:rsidR="007D7B9A">
              <w:rPr>
                <w:szCs w:val="18"/>
              </w:rPr>
              <w:t>Switch Request</w:t>
            </w:r>
            <w:r w:rsidRPr="00992545">
              <w:rPr>
                <w:szCs w:val="18"/>
              </w:rPr>
              <w:t xml:space="preserve"> has been validated and is being processed</w:t>
            </w:r>
          </w:p>
          <w:p w14:paraId="63065923" w14:textId="3E1D0E5C" w:rsidR="00451754" w:rsidRDefault="00451754" w:rsidP="00746018">
            <w:pPr>
              <w:pStyle w:val="TableText-Left"/>
              <w:rPr>
                <w:szCs w:val="18"/>
              </w:rPr>
            </w:pPr>
            <w:r w:rsidRPr="00992545">
              <w:rPr>
                <w:szCs w:val="18"/>
              </w:rPr>
              <w:t>Gaining shipper (Gas): Notification of pending gain</w:t>
            </w:r>
          </w:p>
          <w:p w14:paraId="7AD565A3" w14:textId="65F2C902" w:rsidR="00451754" w:rsidRPr="00992545" w:rsidRDefault="00451754" w:rsidP="00746018">
            <w:pPr>
              <w:pStyle w:val="TableText-Left"/>
              <w:rPr>
                <w:szCs w:val="18"/>
              </w:rPr>
            </w:pPr>
            <w:r w:rsidRPr="00992545">
              <w:rPr>
                <w:szCs w:val="18"/>
              </w:rPr>
              <w:t>Losing shipper (Gas): Notification of pending loss</w:t>
            </w:r>
          </w:p>
        </w:tc>
      </w:tr>
      <w:tr w:rsidR="00484D87" w:rsidRPr="00992545" w14:paraId="685074F1" w14:textId="77777777" w:rsidTr="001E1D90">
        <w:tc>
          <w:tcPr>
            <w:tcW w:w="1652" w:type="pct"/>
            <w:tcMar>
              <w:top w:w="0" w:type="dxa"/>
              <w:left w:w="108" w:type="dxa"/>
              <w:bottom w:w="0" w:type="dxa"/>
              <w:right w:w="108" w:type="dxa"/>
            </w:tcMar>
          </w:tcPr>
          <w:p w14:paraId="119CBC65" w14:textId="77777777" w:rsidR="00484D87" w:rsidRPr="00992545" w:rsidRDefault="00484D87" w:rsidP="001E1D90">
            <w:pPr>
              <w:pStyle w:val="TableText-Left"/>
              <w:rPr>
                <w:szCs w:val="18"/>
              </w:rPr>
            </w:pPr>
            <w:r>
              <w:rPr>
                <w:szCs w:val="18"/>
              </w:rPr>
              <w:t>Registration Event Request Failure</w:t>
            </w:r>
          </w:p>
        </w:tc>
        <w:tc>
          <w:tcPr>
            <w:tcW w:w="3348" w:type="pct"/>
            <w:tcMar>
              <w:top w:w="0" w:type="dxa"/>
              <w:left w:w="108" w:type="dxa"/>
              <w:bottom w:w="0" w:type="dxa"/>
              <w:right w:w="108" w:type="dxa"/>
            </w:tcMar>
          </w:tcPr>
          <w:p w14:paraId="44F4398B" w14:textId="03889F1F" w:rsidR="00484D87" w:rsidRPr="00992545" w:rsidRDefault="00484D87" w:rsidP="0077750C">
            <w:pPr>
              <w:pStyle w:val="TableText-Left"/>
              <w:rPr>
                <w:szCs w:val="18"/>
              </w:rPr>
            </w:pPr>
            <w:r>
              <w:rPr>
                <w:szCs w:val="18"/>
              </w:rPr>
              <w:t>Supplier: Notification of val</w:t>
            </w:r>
            <w:r w:rsidR="00595461">
              <w:rPr>
                <w:szCs w:val="18"/>
              </w:rPr>
              <w:t>i</w:t>
            </w:r>
            <w:r>
              <w:rPr>
                <w:szCs w:val="18"/>
              </w:rPr>
              <w:t>dation failure</w:t>
            </w:r>
            <w:r w:rsidR="00595461">
              <w:rPr>
                <w:szCs w:val="18"/>
              </w:rPr>
              <w:t xml:space="preserve"> (</w:t>
            </w:r>
            <w:r w:rsidR="0077750C">
              <w:rPr>
                <w:szCs w:val="18"/>
              </w:rPr>
              <w:t xml:space="preserve">that occurs </w:t>
            </w:r>
            <w:r w:rsidR="00595461">
              <w:rPr>
                <w:szCs w:val="18"/>
              </w:rPr>
              <w:t xml:space="preserve">beyond </w:t>
            </w:r>
            <w:r w:rsidR="0077750C">
              <w:rPr>
                <w:szCs w:val="18"/>
              </w:rPr>
              <w:t xml:space="preserve">preliminary </w:t>
            </w:r>
            <w:r w:rsidR="00595461">
              <w:rPr>
                <w:szCs w:val="18"/>
              </w:rPr>
              <w:t>validation</w:t>
            </w:r>
            <w:r w:rsidR="0077750C">
              <w:rPr>
                <w:szCs w:val="18"/>
              </w:rPr>
              <w:t xml:space="preserve"> at Switch Submission) </w:t>
            </w:r>
          </w:p>
        </w:tc>
      </w:tr>
      <w:tr w:rsidR="00484D87" w:rsidRPr="00992545" w14:paraId="1C49FBEF" w14:textId="77777777" w:rsidTr="001E1D90">
        <w:tc>
          <w:tcPr>
            <w:tcW w:w="1652" w:type="pct"/>
            <w:tcMar>
              <w:top w:w="0" w:type="dxa"/>
              <w:left w:w="108" w:type="dxa"/>
              <w:bottom w:w="0" w:type="dxa"/>
              <w:right w:w="108" w:type="dxa"/>
            </w:tcMar>
          </w:tcPr>
          <w:p w14:paraId="71A32D85" w14:textId="77777777" w:rsidR="00484D87" w:rsidRPr="00992545" w:rsidRDefault="00484D87" w:rsidP="001E1D90">
            <w:pPr>
              <w:pStyle w:val="TableText-Left"/>
              <w:rPr>
                <w:szCs w:val="18"/>
              </w:rPr>
            </w:pPr>
            <w:r>
              <w:rPr>
                <w:szCs w:val="18"/>
              </w:rPr>
              <w:t>Objection</w:t>
            </w:r>
          </w:p>
        </w:tc>
        <w:tc>
          <w:tcPr>
            <w:tcW w:w="3348" w:type="pct"/>
            <w:tcMar>
              <w:top w:w="0" w:type="dxa"/>
              <w:left w:w="108" w:type="dxa"/>
              <w:bottom w:w="0" w:type="dxa"/>
              <w:right w:w="108" w:type="dxa"/>
            </w:tcMar>
          </w:tcPr>
          <w:p w14:paraId="1C163DB5" w14:textId="77777777" w:rsidR="00484D87" w:rsidRPr="00992545" w:rsidRDefault="00484D87" w:rsidP="001E1D90">
            <w:pPr>
              <w:pStyle w:val="TableText-Left"/>
              <w:rPr>
                <w:szCs w:val="18"/>
              </w:rPr>
            </w:pPr>
            <w:r>
              <w:rPr>
                <w:szCs w:val="18"/>
              </w:rPr>
              <w:t>Losing Supplier: Notification of failure of objection validation</w:t>
            </w:r>
          </w:p>
        </w:tc>
      </w:tr>
      <w:tr w:rsidR="00484D87" w:rsidRPr="00992545" w14:paraId="4C1CFFF1" w14:textId="77777777" w:rsidTr="001E1D90">
        <w:tc>
          <w:tcPr>
            <w:tcW w:w="1652" w:type="pct"/>
            <w:tcMar>
              <w:top w:w="0" w:type="dxa"/>
              <w:left w:w="108" w:type="dxa"/>
              <w:bottom w:w="0" w:type="dxa"/>
              <w:right w:w="108" w:type="dxa"/>
            </w:tcMar>
          </w:tcPr>
          <w:p w14:paraId="5D52B59F" w14:textId="77777777" w:rsidR="00484D87" w:rsidRPr="00992545" w:rsidRDefault="00484D87" w:rsidP="001E1D90">
            <w:pPr>
              <w:pStyle w:val="TableText-Left"/>
              <w:rPr>
                <w:szCs w:val="18"/>
              </w:rPr>
            </w:pPr>
            <w:r>
              <w:rPr>
                <w:szCs w:val="18"/>
              </w:rPr>
              <w:t>Annulment</w:t>
            </w:r>
          </w:p>
        </w:tc>
        <w:tc>
          <w:tcPr>
            <w:tcW w:w="3348" w:type="pct"/>
            <w:tcMar>
              <w:top w:w="0" w:type="dxa"/>
              <w:left w:w="108" w:type="dxa"/>
              <w:bottom w:w="0" w:type="dxa"/>
              <w:right w:w="108" w:type="dxa"/>
            </w:tcMar>
          </w:tcPr>
          <w:p w14:paraId="490E7EA3" w14:textId="77777777" w:rsidR="00484D87" w:rsidRPr="00992545" w:rsidRDefault="00484D87" w:rsidP="001E1D90">
            <w:pPr>
              <w:pStyle w:val="TableText-Left"/>
              <w:rPr>
                <w:szCs w:val="18"/>
              </w:rPr>
            </w:pPr>
            <w:r>
              <w:rPr>
                <w:szCs w:val="18"/>
              </w:rPr>
              <w:t>Losing Supplier: Notification of failure of annulment validation</w:t>
            </w:r>
          </w:p>
        </w:tc>
      </w:tr>
      <w:tr w:rsidR="00484D87" w:rsidRPr="00992545" w14:paraId="2E509964" w14:textId="77777777" w:rsidTr="001E1D90">
        <w:tc>
          <w:tcPr>
            <w:tcW w:w="1652" w:type="pct"/>
            <w:tcMar>
              <w:top w:w="0" w:type="dxa"/>
              <w:left w:w="108" w:type="dxa"/>
              <w:bottom w:w="0" w:type="dxa"/>
              <w:right w:w="108" w:type="dxa"/>
            </w:tcMar>
          </w:tcPr>
          <w:p w14:paraId="0F939A65" w14:textId="77777777" w:rsidR="00484D87" w:rsidRPr="00992545" w:rsidRDefault="00484D87" w:rsidP="001E1D90">
            <w:pPr>
              <w:pStyle w:val="TableText-Left"/>
              <w:rPr>
                <w:szCs w:val="18"/>
              </w:rPr>
            </w:pPr>
            <w:r>
              <w:rPr>
                <w:szCs w:val="18"/>
              </w:rPr>
              <w:t>Withdrawal</w:t>
            </w:r>
          </w:p>
        </w:tc>
        <w:tc>
          <w:tcPr>
            <w:tcW w:w="3348" w:type="pct"/>
            <w:tcMar>
              <w:top w:w="0" w:type="dxa"/>
              <w:left w:w="108" w:type="dxa"/>
              <w:bottom w:w="0" w:type="dxa"/>
              <w:right w:w="108" w:type="dxa"/>
            </w:tcMar>
          </w:tcPr>
          <w:p w14:paraId="2C96C000" w14:textId="77777777" w:rsidR="00484D87" w:rsidRPr="00992545" w:rsidRDefault="00484D87" w:rsidP="001E1D90">
            <w:pPr>
              <w:pStyle w:val="TableText-Left"/>
              <w:rPr>
                <w:szCs w:val="18"/>
              </w:rPr>
            </w:pPr>
            <w:r>
              <w:rPr>
                <w:szCs w:val="18"/>
              </w:rPr>
              <w:t>Gaining Supplier: Notification of failure of withdrawal validation</w:t>
            </w:r>
          </w:p>
        </w:tc>
      </w:tr>
      <w:tr w:rsidR="00484D87" w:rsidRPr="00992545" w14:paraId="025B5396" w14:textId="77777777" w:rsidTr="001E1D90">
        <w:tc>
          <w:tcPr>
            <w:tcW w:w="1652" w:type="pct"/>
            <w:tcMar>
              <w:top w:w="0" w:type="dxa"/>
              <w:left w:w="108" w:type="dxa"/>
              <w:bottom w:w="0" w:type="dxa"/>
              <w:right w:w="108" w:type="dxa"/>
            </w:tcMar>
          </w:tcPr>
          <w:p w14:paraId="65195F8D" w14:textId="77777777" w:rsidR="00484D87" w:rsidRPr="00992545" w:rsidRDefault="00484D87" w:rsidP="001E1D90">
            <w:pPr>
              <w:pStyle w:val="TableText-Left"/>
              <w:rPr>
                <w:szCs w:val="18"/>
              </w:rPr>
            </w:pPr>
            <w:r>
              <w:rPr>
                <w:szCs w:val="18"/>
              </w:rPr>
              <w:t>Deactivate Registration</w:t>
            </w:r>
          </w:p>
        </w:tc>
        <w:tc>
          <w:tcPr>
            <w:tcW w:w="3348" w:type="pct"/>
            <w:tcMar>
              <w:top w:w="0" w:type="dxa"/>
              <w:left w:w="108" w:type="dxa"/>
              <w:bottom w:w="0" w:type="dxa"/>
              <w:right w:w="108" w:type="dxa"/>
            </w:tcMar>
          </w:tcPr>
          <w:p w14:paraId="19739657" w14:textId="65040BE2" w:rsidR="00484D87" w:rsidRPr="00992545" w:rsidRDefault="00484D87" w:rsidP="001E1D90">
            <w:pPr>
              <w:pStyle w:val="TableText-Left"/>
              <w:rPr>
                <w:szCs w:val="18"/>
              </w:rPr>
            </w:pPr>
            <w:r>
              <w:rPr>
                <w:szCs w:val="18"/>
              </w:rPr>
              <w:t>Supplier: Notification of failure of deactivate registration validation</w:t>
            </w:r>
          </w:p>
        </w:tc>
      </w:tr>
      <w:tr w:rsidR="00451754" w:rsidRPr="00992545" w14:paraId="73E378B0" w14:textId="77777777" w:rsidTr="00451754">
        <w:tc>
          <w:tcPr>
            <w:tcW w:w="1652" w:type="pct"/>
            <w:tcMar>
              <w:top w:w="0" w:type="dxa"/>
              <w:left w:w="108" w:type="dxa"/>
              <w:bottom w:w="0" w:type="dxa"/>
              <w:right w:w="108" w:type="dxa"/>
            </w:tcMar>
            <w:hideMark/>
          </w:tcPr>
          <w:p w14:paraId="5D96657A" w14:textId="77777777" w:rsidR="00451754" w:rsidRPr="00992545" w:rsidRDefault="00451754" w:rsidP="00746018">
            <w:pPr>
              <w:pStyle w:val="TableText-Left"/>
              <w:rPr>
                <w:szCs w:val="18"/>
              </w:rPr>
            </w:pPr>
            <w:r w:rsidRPr="00992545">
              <w:rPr>
                <w:szCs w:val="18"/>
              </w:rPr>
              <w:t>Switch request confirmed (no objection raised)</w:t>
            </w:r>
          </w:p>
        </w:tc>
        <w:tc>
          <w:tcPr>
            <w:tcW w:w="3348" w:type="pct"/>
            <w:tcMar>
              <w:top w:w="0" w:type="dxa"/>
              <w:left w:w="108" w:type="dxa"/>
              <w:bottom w:w="0" w:type="dxa"/>
              <w:right w:w="108" w:type="dxa"/>
            </w:tcMar>
            <w:hideMark/>
          </w:tcPr>
          <w:p w14:paraId="6DBFDFAB" w14:textId="77777777" w:rsidR="00451754" w:rsidRPr="00992545" w:rsidRDefault="00451754" w:rsidP="00746018">
            <w:pPr>
              <w:pStyle w:val="TableText-Left"/>
              <w:rPr>
                <w:szCs w:val="18"/>
              </w:rPr>
            </w:pPr>
            <w:r w:rsidRPr="00992545">
              <w:rPr>
                <w:szCs w:val="18"/>
              </w:rPr>
              <w:t xml:space="preserve">Gaining supplier (Elec/Gas): confirmation that </w:t>
            </w:r>
            <w:r w:rsidR="007D7B9A">
              <w:rPr>
                <w:szCs w:val="18"/>
              </w:rPr>
              <w:t>Switch Request</w:t>
            </w:r>
            <w:r w:rsidRPr="00992545">
              <w:rPr>
                <w:szCs w:val="18"/>
              </w:rPr>
              <w:t xml:space="preserve"> has not been objected to</w:t>
            </w:r>
          </w:p>
          <w:p w14:paraId="74F4A7F7" w14:textId="77777777" w:rsidR="00451754" w:rsidRPr="00992545" w:rsidRDefault="00451754" w:rsidP="00746018">
            <w:pPr>
              <w:pStyle w:val="TableText-Left"/>
              <w:rPr>
                <w:szCs w:val="18"/>
              </w:rPr>
            </w:pPr>
            <w:r w:rsidRPr="00992545">
              <w:rPr>
                <w:szCs w:val="18"/>
              </w:rPr>
              <w:t xml:space="preserve">Gaining shipper (Gas): confirmation that </w:t>
            </w:r>
            <w:r w:rsidR="007D7B9A">
              <w:rPr>
                <w:szCs w:val="18"/>
              </w:rPr>
              <w:t>Switch Request</w:t>
            </w:r>
            <w:r w:rsidRPr="00992545">
              <w:rPr>
                <w:szCs w:val="18"/>
              </w:rPr>
              <w:t xml:space="preserve"> has not been objected to</w:t>
            </w:r>
          </w:p>
          <w:p w14:paraId="68DCB0E1" w14:textId="77777777" w:rsidR="00451754" w:rsidRPr="00992545" w:rsidRDefault="00451754" w:rsidP="00746018">
            <w:pPr>
              <w:pStyle w:val="TableText-Left"/>
              <w:rPr>
                <w:szCs w:val="18"/>
              </w:rPr>
            </w:pPr>
            <w:r w:rsidRPr="00992545">
              <w:rPr>
                <w:szCs w:val="18"/>
              </w:rPr>
              <w:t xml:space="preserve">Losing supplier (Elec/Gas): confirmation that </w:t>
            </w:r>
            <w:r w:rsidR="007D7B9A">
              <w:rPr>
                <w:szCs w:val="18"/>
              </w:rPr>
              <w:t>Switch Request</w:t>
            </w:r>
            <w:r w:rsidRPr="00992545">
              <w:rPr>
                <w:szCs w:val="18"/>
              </w:rPr>
              <w:t xml:space="preserve"> has not been objected to</w:t>
            </w:r>
          </w:p>
          <w:p w14:paraId="757A9535" w14:textId="77777777" w:rsidR="00451754" w:rsidRPr="00992545" w:rsidRDefault="00451754" w:rsidP="00746018">
            <w:pPr>
              <w:pStyle w:val="TableText-Left"/>
              <w:rPr>
                <w:szCs w:val="18"/>
              </w:rPr>
            </w:pPr>
            <w:r w:rsidRPr="00992545">
              <w:rPr>
                <w:szCs w:val="18"/>
              </w:rPr>
              <w:t xml:space="preserve">Losing shipper (Gas): confirmation that </w:t>
            </w:r>
            <w:r w:rsidR="007D7B9A">
              <w:rPr>
                <w:szCs w:val="18"/>
              </w:rPr>
              <w:t>Switch Request</w:t>
            </w:r>
            <w:r w:rsidRPr="00992545">
              <w:rPr>
                <w:szCs w:val="18"/>
              </w:rPr>
              <w:t xml:space="preserve"> has not been objected to</w:t>
            </w:r>
          </w:p>
          <w:p w14:paraId="722AED6E" w14:textId="5E9EDBDB" w:rsidR="00607BFB" w:rsidRPr="00992545" w:rsidRDefault="00607BFB" w:rsidP="00746018">
            <w:pPr>
              <w:pStyle w:val="TableText-Left"/>
              <w:rPr>
                <w:szCs w:val="18"/>
              </w:rPr>
            </w:pPr>
            <w:r>
              <w:rPr>
                <w:szCs w:val="18"/>
              </w:rPr>
              <w:t>All l</w:t>
            </w:r>
            <w:r w:rsidRPr="00992545">
              <w:rPr>
                <w:szCs w:val="18"/>
              </w:rPr>
              <w:t xml:space="preserve">osing </w:t>
            </w:r>
            <w:r w:rsidR="00451754" w:rsidRPr="00992545">
              <w:rPr>
                <w:szCs w:val="18"/>
              </w:rPr>
              <w:t>agent</w:t>
            </w:r>
            <w:r>
              <w:rPr>
                <w:szCs w:val="18"/>
              </w:rPr>
              <w:t>s</w:t>
            </w:r>
            <w:r w:rsidR="00451754" w:rsidRPr="00992545">
              <w:rPr>
                <w:szCs w:val="18"/>
              </w:rPr>
              <w:t>: Notification of pending loss</w:t>
            </w:r>
          </w:p>
        </w:tc>
      </w:tr>
      <w:tr w:rsidR="00451754" w:rsidRPr="00992545" w14:paraId="447A8B80" w14:textId="77777777" w:rsidTr="00451754">
        <w:tc>
          <w:tcPr>
            <w:tcW w:w="1652" w:type="pct"/>
            <w:tcMar>
              <w:top w:w="0" w:type="dxa"/>
              <w:left w:w="108" w:type="dxa"/>
              <w:bottom w:w="0" w:type="dxa"/>
              <w:right w:w="108" w:type="dxa"/>
            </w:tcMar>
            <w:hideMark/>
          </w:tcPr>
          <w:p w14:paraId="7899EF25" w14:textId="77777777" w:rsidR="00451754" w:rsidRPr="00992545" w:rsidRDefault="00451754" w:rsidP="00746018">
            <w:pPr>
              <w:pStyle w:val="TableText-Left"/>
              <w:rPr>
                <w:szCs w:val="18"/>
              </w:rPr>
            </w:pPr>
            <w:r w:rsidRPr="00992545">
              <w:rPr>
                <w:szCs w:val="18"/>
              </w:rPr>
              <w:t>Switch request secured (gate closure on D-1)</w:t>
            </w:r>
          </w:p>
        </w:tc>
        <w:tc>
          <w:tcPr>
            <w:tcW w:w="3348" w:type="pct"/>
            <w:tcMar>
              <w:top w:w="0" w:type="dxa"/>
              <w:left w:w="108" w:type="dxa"/>
              <w:bottom w:w="0" w:type="dxa"/>
              <w:right w:w="108" w:type="dxa"/>
            </w:tcMar>
            <w:hideMark/>
          </w:tcPr>
          <w:p w14:paraId="44785E58" w14:textId="77777777" w:rsidR="00451754" w:rsidRPr="00992545" w:rsidRDefault="00451754" w:rsidP="00746018">
            <w:pPr>
              <w:pStyle w:val="TableText-Left"/>
              <w:rPr>
                <w:szCs w:val="18"/>
              </w:rPr>
            </w:pPr>
            <w:r w:rsidRPr="00992545">
              <w:rPr>
                <w:szCs w:val="18"/>
              </w:rPr>
              <w:t xml:space="preserve">Gaining supplier (Elec/Gas): Notification that </w:t>
            </w:r>
            <w:r w:rsidR="007D7B9A">
              <w:rPr>
                <w:szCs w:val="18"/>
              </w:rPr>
              <w:t>Switch Request</w:t>
            </w:r>
            <w:r w:rsidRPr="00992545">
              <w:rPr>
                <w:szCs w:val="18"/>
              </w:rPr>
              <w:t xml:space="preserve"> has become irrevocable</w:t>
            </w:r>
          </w:p>
          <w:p w14:paraId="58C83234" w14:textId="77777777" w:rsidR="00451754" w:rsidRDefault="00451754" w:rsidP="00746018">
            <w:pPr>
              <w:pStyle w:val="TableText-Left"/>
              <w:rPr>
                <w:szCs w:val="18"/>
              </w:rPr>
            </w:pPr>
            <w:r w:rsidRPr="00992545">
              <w:rPr>
                <w:szCs w:val="18"/>
              </w:rPr>
              <w:t xml:space="preserve">Gaining shipper (Gas): Notification that </w:t>
            </w:r>
            <w:r w:rsidR="007D7B9A">
              <w:rPr>
                <w:szCs w:val="18"/>
              </w:rPr>
              <w:t>Switch Request</w:t>
            </w:r>
            <w:r w:rsidRPr="00992545">
              <w:rPr>
                <w:szCs w:val="18"/>
              </w:rPr>
              <w:t xml:space="preserve"> has become irrevocable</w:t>
            </w:r>
          </w:p>
          <w:p w14:paraId="133AE5BC" w14:textId="77777777" w:rsidR="00451754" w:rsidRPr="00992545" w:rsidRDefault="00451754" w:rsidP="00746018">
            <w:pPr>
              <w:pStyle w:val="TableText-Left"/>
              <w:rPr>
                <w:szCs w:val="18"/>
              </w:rPr>
            </w:pPr>
            <w:r w:rsidRPr="00992545">
              <w:rPr>
                <w:szCs w:val="18"/>
              </w:rPr>
              <w:t xml:space="preserve">Losing supplier (Elec/Gas): Notification that </w:t>
            </w:r>
            <w:r w:rsidR="007D7B9A">
              <w:rPr>
                <w:szCs w:val="18"/>
              </w:rPr>
              <w:t>Switch Request</w:t>
            </w:r>
            <w:r w:rsidRPr="00992545">
              <w:rPr>
                <w:szCs w:val="18"/>
              </w:rPr>
              <w:t xml:space="preserve"> has become irrevocable</w:t>
            </w:r>
          </w:p>
          <w:p w14:paraId="558C25E7" w14:textId="77777777" w:rsidR="00451754" w:rsidRPr="00992545" w:rsidRDefault="00451754" w:rsidP="00746018">
            <w:pPr>
              <w:pStyle w:val="TableText-Left"/>
              <w:rPr>
                <w:szCs w:val="18"/>
              </w:rPr>
            </w:pPr>
            <w:r w:rsidRPr="00992545">
              <w:rPr>
                <w:szCs w:val="18"/>
              </w:rPr>
              <w:t xml:space="preserve">Losing shipper (Gas): Notification that </w:t>
            </w:r>
            <w:r w:rsidR="007D7B9A">
              <w:rPr>
                <w:szCs w:val="18"/>
              </w:rPr>
              <w:t>Switch Request</w:t>
            </w:r>
            <w:r w:rsidRPr="00992545">
              <w:rPr>
                <w:szCs w:val="18"/>
              </w:rPr>
              <w:t xml:space="preserve"> has become irrevocable</w:t>
            </w:r>
          </w:p>
          <w:p w14:paraId="422AFE7F" w14:textId="77777777" w:rsidR="00451754" w:rsidRDefault="000B3970" w:rsidP="00746018">
            <w:pPr>
              <w:pStyle w:val="TableText-Left"/>
              <w:rPr>
                <w:szCs w:val="18"/>
              </w:rPr>
            </w:pPr>
            <w:r>
              <w:rPr>
                <w:szCs w:val="18"/>
              </w:rPr>
              <w:t xml:space="preserve">All </w:t>
            </w:r>
            <w:r w:rsidR="00451754" w:rsidRPr="00992545">
              <w:rPr>
                <w:szCs w:val="18"/>
              </w:rPr>
              <w:t xml:space="preserve">Losing </w:t>
            </w:r>
            <w:r>
              <w:rPr>
                <w:szCs w:val="18"/>
              </w:rPr>
              <w:t>A</w:t>
            </w:r>
            <w:r w:rsidR="00451754" w:rsidRPr="00992545">
              <w:rPr>
                <w:szCs w:val="18"/>
              </w:rPr>
              <w:t>gent</w:t>
            </w:r>
            <w:r>
              <w:rPr>
                <w:szCs w:val="18"/>
              </w:rPr>
              <w:t>s</w:t>
            </w:r>
            <w:r w:rsidR="00451754" w:rsidRPr="00992545">
              <w:rPr>
                <w:szCs w:val="18"/>
              </w:rPr>
              <w:t xml:space="preserve">: Notification that </w:t>
            </w:r>
            <w:r w:rsidR="007D7B9A">
              <w:rPr>
                <w:szCs w:val="18"/>
              </w:rPr>
              <w:t>Switch Request</w:t>
            </w:r>
            <w:r w:rsidR="00451754" w:rsidRPr="00992545">
              <w:rPr>
                <w:szCs w:val="18"/>
              </w:rPr>
              <w:t xml:space="preserve"> has become irrevocable</w:t>
            </w:r>
          </w:p>
          <w:p w14:paraId="7C96E921" w14:textId="3F5FA3DB" w:rsidR="00484D87" w:rsidRPr="00992545" w:rsidRDefault="00484D87" w:rsidP="00746018">
            <w:pPr>
              <w:pStyle w:val="TableText-Left"/>
              <w:rPr>
                <w:szCs w:val="18"/>
              </w:rPr>
            </w:pPr>
            <w:r w:rsidRPr="00992545">
              <w:rPr>
                <w:szCs w:val="18"/>
              </w:rPr>
              <w:t xml:space="preserve">MAP: </w:t>
            </w:r>
            <w:r>
              <w:rPr>
                <w:szCs w:val="18"/>
              </w:rPr>
              <w:t>N</w:t>
            </w:r>
            <w:r w:rsidRPr="00992545">
              <w:rPr>
                <w:szCs w:val="18"/>
              </w:rPr>
              <w:t xml:space="preserve">otification that </w:t>
            </w:r>
            <w:r>
              <w:rPr>
                <w:szCs w:val="18"/>
              </w:rPr>
              <w:t>Switch Request</w:t>
            </w:r>
            <w:r w:rsidRPr="00992545">
              <w:rPr>
                <w:szCs w:val="18"/>
              </w:rPr>
              <w:t xml:space="preserve"> has become irrevocable</w:t>
            </w:r>
          </w:p>
        </w:tc>
      </w:tr>
      <w:tr w:rsidR="007D7449" w:rsidRPr="00992545" w14:paraId="0F1FD27A" w14:textId="77777777" w:rsidTr="00864337">
        <w:tc>
          <w:tcPr>
            <w:tcW w:w="1652" w:type="pct"/>
            <w:tcMar>
              <w:top w:w="0" w:type="dxa"/>
              <w:left w:w="108" w:type="dxa"/>
              <w:bottom w:w="0" w:type="dxa"/>
              <w:right w:w="108" w:type="dxa"/>
            </w:tcMar>
          </w:tcPr>
          <w:p w14:paraId="6BF24226" w14:textId="0C68AD00" w:rsidR="007D7449" w:rsidRPr="00992545" w:rsidRDefault="007D7449" w:rsidP="00C77069">
            <w:pPr>
              <w:pStyle w:val="TableText-Left"/>
              <w:rPr>
                <w:szCs w:val="18"/>
              </w:rPr>
            </w:pPr>
            <w:r>
              <w:rPr>
                <w:szCs w:val="18"/>
              </w:rPr>
              <w:t>Initial registration</w:t>
            </w:r>
            <w:r w:rsidR="00C77069">
              <w:rPr>
                <w:szCs w:val="18"/>
              </w:rPr>
              <w:t xml:space="preserve"> C</w:t>
            </w:r>
            <w:r>
              <w:rPr>
                <w:szCs w:val="18"/>
              </w:rPr>
              <w:t>onfirmed</w:t>
            </w:r>
          </w:p>
        </w:tc>
        <w:tc>
          <w:tcPr>
            <w:tcW w:w="3348" w:type="pct"/>
            <w:tcMar>
              <w:top w:w="0" w:type="dxa"/>
              <w:left w:w="108" w:type="dxa"/>
              <w:bottom w:w="0" w:type="dxa"/>
              <w:right w:w="108" w:type="dxa"/>
            </w:tcMar>
          </w:tcPr>
          <w:p w14:paraId="66B4F346" w14:textId="77777777" w:rsidR="007D7449" w:rsidRDefault="007D7449" w:rsidP="00864337">
            <w:pPr>
              <w:pStyle w:val="TableText-Left"/>
              <w:rPr>
                <w:szCs w:val="18"/>
              </w:rPr>
            </w:pPr>
            <w:r>
              <w:rPr>
                <w:szCs w:val="18"/>
              </w:rPr>
              <w:t>Gaining supplier (Elec/Gas): notification that the request has been confirmed</w:t>
            </w:r>
          </w:p>
          <w:p w14:paraId="3F06F028" w14:textId="77777777" w:rsidR="007D7449" w:rsidRDefault="007D7449" w:rsidP="00864337">
            <w:pPr>
              <w:pStyle w:val="TableText-Left"/>
              <w:rPr>
                <w:szCs w:val="18"/>
              </w:rPr>
            </w:pPr>
            <w:r>
              <w:rPr>
                <w:szCs w:val="18"/>
              </w:rPr>
              <w:t>Gaining shipper: notification of a request being confirmed</w:t>
            </w:r>
          </w:p>
          <w:p w14:paraId="47E09E25" w14:textId="7458D7C6" w:rsidR="00BA06BD" w:rsidRPr="00992545" w:rsidRDefault="00BA06BD" w:rsidP="00864337">
            <w:pPr>
              <w:pStyle w:val="TableText-Left"/>
              <w:rPr>
                <w:szCs w:val="18"/>
              </w:rPr>
            </w:pPr>
          </w:p>
        </w:tc>
      </w:tr>
      <w:tr w:rsidR="00451754" w:rsidRPr="00992545" w14:paraId="6B278757" w14:textId="77777777" w:rsidTr="00451754">
        <w:tc>
          <w:tcPr>
            <w:tcW w:w="1652" w:type="pct"/>
            <w:tcMar>
              <w:top w:w="0" w:type="dxa"/>
              <w:left w:w="108" w:type="dxa"/>
              <w:bottom w:w="0" w:type="dxa"/>
              <w:right w:w="108" w:type="dxa"/>
            </w:tcMar>
            <w:hideMark/>
          </w:tcPr>
          <w:p w14:paraId="2C4698B9" w14:textId="6B06FF20" w:rsidR="007D7449" w:rsidRPr="00992545" w:rsidRDefault="00451754" w:rsidP="00C77069">
            <w:pPr>
              <w:pStyle w:val="TableText-Left"/>
              <w:rPr>
                <w:szCs w:val="18"/>
              </w:rPr>
            </w:pPr>
            <w:r w:rsidRPr="00992545">
              <w:rPr>
                <w:szCs w:val="18"/>
              </w:rPr>
              <w:t>Initial registration</w:t>
            </w:r>
            <w:r w:rsidR="00C77069">
              <w:rPr>
                <w:szCs w:val="18"/>
              </w:rPr>
              <w:t xml:space="preserve"> </w:t>
            </w:r>
            <w:r w:rsidR="007D7449">
              <w:rPr>
                <w:szCs w:val="18"/>
              </w:rPr>
              <w:t>Secured</w:t>
            </w:r>
          </w:p>
        </w:tc>
        <w:tc>
          <w:tcPr>
            <w:tcW w:w="3348" w:type="pct"/>
            <w:tcMar>
              <w:top w:w="0" w:type="dxa"/>
              <w:left w:w="108" w:type="dxa"/>
              <w:bottom w:w="0" w:type="dxa"/>
              <w:right w:w="108" w:type="dxa"/>
            </w:tcMar>
            <w:hideMark/>
          </w:tcPr>
          <w:p w14:paraId="2B5DC846" w14:textId="0F6538E7" w:rsidR="00451754" w:rsidRPr="00992545" w:rsidRDefault="00451754" w:rsidP="00746018">
            <w:pPr>
              <w:pStyle w:val="TableText-Left"/>
              <w:rPr>
                <w:szCs w:val="18"/>
              </w:rPr>
            </w:pPr>
            <w:r w:rsidRPr="00992545">
              <w:rPr>
                <w:szCs w:val="18"/>
              </w:rPr>
              <w:t xml:space="preserve">Gaining supplier (Elec/Gas): notification that </w:t>
            </w:r>
            <w:r w:rsidR="007D7449">
              <w:rPr>
                <w:szCs w:val="18"/>
              </w:rPr>
              <w:t>the request</w:t>
            </w:r>
            <w:r w:rsidR="007D7449" w:rsidRPr="00992545">
              <w:rPr>
                <w:szCs w:val="18"/>
              </w:rPr>
              <w:t xml:space="preserve"> </w:t>
            </w:r>
            <w:r w:rsidRPr="00992545">
              <w:rPr>
                <w:szCs w:val="18"/>
              </w:rPr>
              <w:t>has been secured (supplier responsibility)</w:t>
            </w:r>
          </w:p>
          <w:p w14:paraId="47D901D1" w14:textId="52C9C176" w:rsidR="00BA06BD" w:rsidRPr="00992545" w:rsidRDefault="00451754" w:rsidP="00746018">
            <w:pPr>
              <w:pStyle w:val="TableText-Left"/>
              <w:rPr>
                <w:szCs w:val="18"/>
              </w:rPr>
            </w:pPr>
            <w:r w:rsidRPr="00992545">
              <w:rPr>
                <w:szCs w:val="18"/>
              </w:rPr>
              <w:t xml:space="preserve">Gaining shipper (Gas): notification of a </w:t>
            </w:r>
            <w:r w:rsidR="007D7449">
              <w:rPr>
                <w:szCs w:val="18"/>
              </w:rPr>
              <w:t>request being confirmed</w:t>
            </w:r>
          </w:p>
        </w:tc>
      </w:tr>
      <w:tr w:rsidR="00451754" w:rsidRPr="00992545" w14:paraId="63BC17B0" w14:textId="77777777" w:rsidTr="00451754">
        <w:tc>
          <w:tcPr>
            <w:tcW w:w="1652" w:type="pct"/>
            <w:tcMar>
              <w:top w:w="0" w:type="dxa"/>
              <w:left w:w="108" w:type="dxa"/>
              <w:bottom w:w="0" w:type="dxa"/>
              <w:right w:w="108" w:type="dxa"/>
            </w:tcMar>
            <w:hideMark/>
          </w:tcPr>
          <w:p w14:paraId="667FFB55" w14:textId="77777777" w:rsidR="00451754" w:rsidRPr="00992545" w:rsidRDefault="00451754" w:rsidP="00746018">
            <w:pPr>
              <w:pStyle w:val="TableText-Left"/>
              <w:rPr>
                <w:szCs w:val="18"/>
              </w:rPr>
            </w:pPr>
            <w:r w:rsidRPr="00992545">
              <w:rPr>
                <w:szCs w:val="18"/>
              </w:rPr>
              <w:t>Switch Objected</w:t>
            </w:r>
          </w:p>
        </w:tc>
        <w:tc>
          <w:tcPr>
            <w:tcW w:w="3348" w:type="pct"/>
            <w:tcMar>
              <w:top w:w="0" w:type="dxa"/>
              <w:left w:w="108" w:type="dxa"/>
              <w:bottom w:w="0" w:type="dxa"/>
              <w:right w:w="108" w:type="dxa"/>
            </w:tcMar>
            <w:hideMark/>
          </w:tcPr>
          <w:p w14:paraId="56D9C6EA" w14:textId="77777777" w:rsidR="00451754" w:rsidRPr="00992545" w:rsidRDefault="00451754" w:rsidP="00746018">
            <w:pPr>
              <w:pStyle w:val="TableText-Left"/>
              <w:rPr>
                <w:szCs w:val="18"/>
              </w:rPr>
            </w:pPr>
            <w:r w:rsidRPr="00992545">
              <w:rPr>
                <w:szCs w:val="18"/>
              </w:rPr>
              <w:t>Gaining supplier (Elec/Gas): notification of switch cancellation</w:t>
            </w:r>
          </w:p>
          <w:p w14:paraId="7BB0F371" w14:textId="77777777" w:rsidR="00451754" w:rsidRPr="00992545" w:rsidRDefault="00451754" w:rsidP="00746018">
            <w:pPr>
              <w:pStyle w:val="TableText-Left"/>
              <w:rPr>
                <w:szCs w:val="18"/>
              </w:rPr>
            </w:pPr>
            <w:r w:rsidRPr="00992545">
              <w:rPr>
                <w:szCs w:val="18"/>
              </w:rPr>
              <w:t>Losing supplier (Elec/Gas): notification of switch cancellation</w:t>
            </w:r>
          </w:p>
          <w:p w14:paraId="4E784098" w14:textId="77777777" w:rsidR="00451754" w:rsidRPr="00992545" w:rsidRDefault="00451754" w:rsidP="00746018">
            <w:pPr>
              <w:pStyle w:val="TableText-Left"/>
              <w:rPr>
                <w:szCs w:val="18"/>
              </w:rPr>
            </w:pPr>
            <w:r w:rsidRPr="00992545">
              <w:rPr>
                <w:szCs w:val="18"/>
              </w:rPr>
              <w:t>Gaining shipper (Gas): notification of switch cancellation</w:t>
            </w:r>
          </w:p>
          <w:p w14:paraId="7652DB83" w14:textId="77777777" w:rsidR="00451754" w:rsidRPr="00992545" w:rsidRDefault="00451754" w:rsidP="00746018">
            <w:pPr>
              <w:pStyle w:val="TableText-Left"/>
              <w:rPr>
                <w:szCs w:val="18"/>
              </w:rPr>
            </w:pPr>
            <w:r w:rsidRPr="00992545">
              <w:rPr>
                <w:szCs w:val="18"/>
              </w:rPr>
              <w:t>Losing shipper (Gas): notification of switch cancellation</w:t>
            </w:r>
          </w:p>
        </w:tc>
      </w:tr>
      <w:tr w:rsidR="00484D87" w:rsidRPr="00992545" w14:paraId="42916FC0" w14:textId="77777777" w:rsidTr="001E1D90">
        <w:tc>
          <w:tcPr>
            <w:tcW w:w="1652" w:type="pct"/>
            <w:tcMar>
              <w:top w:w="0" w:type="dxa"/>
              <w:left w:w="108" w:type="dxa"/>
              <w:bottom w:w="0" w:type="dxa"/>
              <w:right w:w="108" w:type="dxa"/>
            </w:tcMar>
          </w:tcPr>
          <w:p w14:paraId="30CDF682" w14:textId="77777777" w:rsidR="00484D87" w:rsidRPr="00992545" w:rsidRDefault="00484D87" w:rsidP="001E1D90">
            <w:pPr>
              <w:pStyle w:val="TableText-Left"/>
              <w:rPr>
                <w:szCs w:val="18"/>
              </w:rPr>
            </w:pPr>
            <w:r w:rsidRPr="00992545">
              <w:rPr>
                <w:szCs w:val="18"/>
              </w:rPr>
              <w:t>Switch Withdrawn</w:t>
            </w:r>
            <w:r>
              <w:rPr>
                <w:szCs w:val="18"/>
              </w:rPr>
              <w:t xml:space="preserve"> from Validated State</w:t>
            </w:r>
          </w:p>
          <w:p w14:paraId="6876B6E3" w14:textId="77777777" w:rsidR="00484D87" w:rsidRDefault="00484D87" w:rsidP="001E1D90">
            <w:pPr>
              <w:pStyle w:val="TableText-Left"/>
              <w:rPr>
                <w:szCs w:val="18"/>
              </w:rPr>
            </w:pPr>
            <w:r w:rsidRPr="00992545">
              <w:rPr>
                <w:szCs w:val="18"/>
              </w:rPr>
              <w:t>Switch Annulled</w:t>
            </w:r>
            <w:r>
              <w:rPr>
                <w:szCs w:val="18"/>
              </w:rPr>
              <w:t xml:space="preserve"> from Validated State</w:t>
            </w:r>
          </w:p>
          <w:p w14:paraId="2D52FE41" w14:textId="77777777" w:rsidR="00484D87" w:rsidRPr="00992545" w:rsidRDefault="00484D87" w:rsidP="001E1D90">
            <w:pPr>
              <w:pStyle w:val="TableText-Left"/>
              <w:rPr>
                <w:szCs w:val="18"/>
              </w:rPr>
            </w:pPr>
            <w:r>
              <w:rPr>
                <w:szCs w:val="18"/>
              </w:rPr>
              <w:t>Switch Rejected from Validated State</w:t>
            </w:r>
          </w:p>
        </w:tc>
        <w:tc>
          <w:tcPr>
            <w:tcW w:w="3348" w:type="pct"/>
            <w:tcMar>
              <w:top w:w="0" w:type="dxa"/>
              <w:left w:w="108" w:type="dxa"/>
              <w:bottom w:w="0" w:type="dxa"/>
              <w:right w:w="108" w:type="dxa"/>
            </w:tcMar>
          </w:tcPr>
          <w:p w14:paraId="63F0CAA5" w14:textId="77777777" w:rsidR="00484D87" w:rsidRPr="00992545" w:rsidRDefault="00484D87" w:rsidP="001E1D90">
            <w:pPr>
              <w:pStyle w:val="TableText-Left"/>
              <w:rPr>
                <w:szCs w:val="18"/>
              </w:rPr>
            </w:pPr>
            <w:r w:rsidRPr="00992545">
              <w:rPr>
                <w:szCs w:val="18"/>
              </w:rPr>
              <w:t>Gaining supplier (Elec/Gas): notification of switch cancellation</w:t>
            </w:r>
          </w:p>
          <w:p w14:paraId="279AFD46" w14:textId="77777777" w:rsidR="00484D87" w:rsidRPr="00992545" w:rsidRDefault="00484D87" w:rsidP="001E1D90">
            <w:pPr>
              <w:pStyle w:val="TableText-Left"/>
              <w:rPr>
                <w:szCs w:val="18"/>
              </w:rPr>
            </w:pPr>
            <w:r w:rsidRPr="00992545">
              <w:rPr>
                <w:szCs w:val="18"/>
              </w:rPr>
              <w:t>Losing supplier (Elec/Gas): notification of switch cancellation</w:t>
            </w:r>
          </w:p>
          <w:p w14:paraId="7FF33E64" w14:textId="77777777" w:rsidR="00484D87" w:rsidRPr="00992545" w:rsidRDefault="00484D87" w:rsidP="001E1D90">
            <w:pPr>
              <w:pStyle w:val="TableText-Left"/>
              <w:rPr>
                <w:szCs w:val="18"/>
              </w:rPr>
            </w:pPr>
            <w:r w:rsidRPr="00992545">
              <w:rPr>
                <w:szCs w:val="18"/>
              </w:rPr>
              <w:t>Gaining shipper (Gas): notification of switch cancellation</w:t>
            </w:r>
          </w:p>
          <w:p w14:paraId="31AD8BF9" w14:textId="77777777" w:rsidR="00484D87" w:rsidRPr="00992545" w:rsidRDefault="00484D87" w:rsidP="001E1D90">
            <w:pPr>
              <w:pStyle w:val="TableText-Left"/>
              <w:rPr>
                <w:szCs w:val="18"/>
              </w:rPr>
            </w:pPr>
            <w:r w:rsidRPr="00992545">
              <w:rPr>
                <w:szCs w:val="18"/>
              </w:rPr>
              <w:t>Losing shipper (Gas): notification of switch cancellation</w:t>
            </w:r>
          </w:p>
          <w:p w14:paraId="69DF9CDB" w14:textId="77777777" w:rsidR="00484D87" w:rsidRPr="00992545" w:rsidRDefault="00484D87" w:rsidP="001E1D90">
            <w:pPr>
              <w:pStyle w:val="TableText-Left"/>
              <w:rPr>
                <w:szCs w:val="18"/>
              </w:rPr>
            </w:pPr>
          </w:p>
        </w:tc>
      </w:tr>
      <w:tr w:rsidR="00451754" w:rsidRPr="00992545" w14:paraId="307A860B" w14:textId="77777777" w:rsidTr="00451754">
        <w:tc>
          <w:tcPr>
            <w:tcW w:w="1652" w:type="pct"/>
            <w:tcMar>
              <w:top w:w="0" w:type="dxa"/>
              <w:left w:w="108" w:type="dxa"/>
              <w:bottom w:w="0" w:type="dxa"/>
              <w:right w:w="108" w:type="dxa"/>
            </w:tcMar>
            <w:hideMark/>
          </w:tcPr>
          <w:p w14:paraId="41E5B8BE" w14:textId="6870FDE5" w:rsidR="00451754" w:rsidRPr="00992545" w:rsidRDefault="00451754" w:rsidP="00746018">
            <w:pPr>
              <w:pStyle w:val="TableText-Left"/>
              <w:rPr>
                <w:szCs w:val="18"/>
              </w:rPr>
            </w:pPr>
            <w:r w:rsidRPr="00992545">
              <w:rPr>
                <w:szCs w:val="18"/>
              </w:rPr>
              <w:t>Switch Withdrawn</w:t>
            </w:r>
            <w:r w:rsidR="00CA5A1A">
              <w:rPr>
                <w:szCs w:val="18"/>
              </w:rPr>
              <w:t xml:space="preserve"> from Confirmed State</w:t>
            </w:r>
          </w:p>
          <w:p w14:paraId="157B36E4" w14:textId="00A8018A" w:rsidR="00451754" w:rsidRDefault="00451754" w:rsidP="00746018">
            <w:pPr>
              <w:pStyle w:val="TableText-Left"/>
              <w:rPr>
                <w:szCs w:val="18"/>
              </w:rPr>
            </w:pPr>
            <w:r w:rsidRPr="00992545">
              <w:rPr>
                <w:szCs w:val="18"/>
              </w:rPr>
              <w:t>Switch Annulled</w:t>
            </w:r>
            <w:r w:rsidR="00CA5A1A">
              <w:rPr>
                <w:szCs w:val="18"/>
              </w:rPr>
              <w:t xml:space="preserve"> from Confirmed State</w:t>
            </w:r>
          </w:p>
          <w:p w14:paraId="24ED29E4" w14:textId="7A5D368A" w:rsidR="00F43158" w:rsidRPr="00992545" w:rsidRDefault="00F43158" w:rsidP="00746018">
            <w:pPr>
              <w:pStyle w:val="TableText-Left"/>
              <w:rPr>
                <w:szCs w:val="18"/>
              </w:rPr>
            </w:pPr>
            <w:r>
              <w:rPr>
                <w:szCs w:val="18"/>
              </w:rPr>
              <w:t>Switch Rejected</w:t>
            </w:r>
            <w:r w:rsidR="00CA5A1A">
              <w:rPr>
                <w:szCs w:val="18"/>
              </w:rPr>
              <w:t xml:space="preserve"> from Confirmed State</w:t>
            </w:r>
          </w:p>
        </w:tc>
        <w:tc>
          <w:tcPr>
            <w:tcW w:w="3348" w:type="pct"/>
            <w:tcMar>
              <w:top w:w="0" w:type="dxa"/>
              <w:left w:w="108" w:type="dxa"/>
              <w:bottom w:w="0" w:type="dxa"/>
              <w:right w:w="108" w:type="dxa"/>
            </w:tcMar>
            <w:hideMark/>
          </w:tcPr>
          <w:p w14:paraId="396CD3A4" w14:textId="77777777" w:rsidR="00451754" w:rsidRPr="00992545" w:rsidRDefault="00451754" w:rsidP="00746018">
            <w:pPr>
              <w:pStyle w:val="TableText-Left"/>
              <w:rPr>
                <w:szCs w:val="18"/>
              </w:rPr>
            </w:pPr>
            <w:r w:rsidRPr="00992545">
              <w:rPr>
                <w:szCs w:val="18"/>
              </w:rPr>
              <w:t>Gaining supplier (Elec/Gas): notification of switch cancellation</w:t>
            </w:r>
          </w:p>
          <w:p w14:paraId="1EFFFCD1" w14:textId="77777777" w:rsidR="00451754" w:rsidRPr="00992545" w:rsidRDefault="00451754" w:rsidP="00746018">
            <w:pPr>
              <w:pStyle w:val="TableText-Left"/>
              <w:rPr>
                <w:szCs w:val="18"/>
              </w:rPr>
            </w:pPr>
            <w:r w:rsidRPr="00992545">
              <w:rPr>
                <w:szCs w:val="18"/>
              </w:rPr>
              <w:t>Losing supplier (Elec/Gas): notification of switch cancellation</w:t>
            </w:r>
          </w:p>
          <w:p w14:paraId="5D92A747" w14:textId="77777777" w:rsidR="00451754" w:rsidRPr="00992545" w:rsidRDefault="00451754" w:rsidP="00746018">
            <w:pPr>
              <w:pStyle w:val="TableText-Left"/>
              <w:rPr>
                <w:szCs w:val="18"/>
              </w:rPr>
            </w:pPr>
            <w:r w:rsidRPr="00992545">
              <w:rPr>
                <w:szCs w:val="18"/>
              </w:rPr>
              <w:t>Gaining shipper (Gas): notification of switch cancellation</w:t>
            </w:r>
          </w:p>
          <w:p w14:paraId="5E284853" w14:textId="77777777" w:rsidR="00451754" w:rsidRPr="00992545" w:rsidRDefault="00451754" w:rsidP="00746018">
            <w:pPr>
              <w:pStyle w:val="TableText-Left"/>
              <w:rPr>
                <w:szCs w:val="18"/>
              </w:rPr>
            </w:pPr>
            <w:r w:rsidRPr="00992545">
              <w:rPr>
                <w:szCs w:val="18"/>
              </w:rPr>
              <w:t>Losing shipper (Gas): notification of switch cancellation</w:t>
            </w:r>
          </w:p>
          <w:p w14:paraId="0A4945AD" w14:textId="77777777" w:rsidR="00451754" w:rsidRDefault="00451754" w:rsidP="00746018">
            <w:pPr>
              <w:pStyle w:val="TableText-Left"/>
              <w:rPr>
                <w:szCs w:val="18"/>
              </w:rPr>
            </w:pPr>
            <w:r w:rsidRPr="00992545">
              <w:rPr>
                <w:szCs w:val="18"/>
              </w:rPr>
              <w:t>Losing DC/DA: notification of switch cancellation</w:t>
            </w:r>
          </w:p>
          <w:p w14:paraId="15531C8A" w14:textId="337B6957" w:rsidR="00607BFB" w:rsidRPr="00992545" w:rsidRDefault="00607BFB" w:rsidP="00746018">
            <w:pPr>
              <w:pStyle w:val="TableText-Left"/>
              <w:rPr>
                <w:szCs w:val="18"/>
              </w:rPr>
            </w:pPr>
            <w:r>
              <w:rPr>
                <w:szCs w:val="18"/>
              </w:rPr>
              <w:t>Losing MEM: notification of switch cancellation</w:t>
            </w:r>
          </w:p>
        </w:tc>
      </w:tr>
      <w:tr w:rsidR="00451754" w:rsidRPr="00992545" w14:paraId="4DB5CCE1" w14:textId="77777777" w:rsidTr="00451754">
        <w:tc>
          <w:tcPr>
            <w:tcW w:w="1652" w:type="pct"/>
            <w:tcMar>
              <w:top w:w="0" w:type="dxa"/>
              <w:left w:w="108" w:type="dxa"/>
              <w:bottom w:w="0" w:type="dxa"/>
              <w:right w:w="108" w:type="dxa"/>
            </w:tcMar>
            <w:hideMark/>
          </w:tcPr>
          <w:p w14:paraId="67751867" w14:textId="77777777" w:rsidR="00451754" w:rsidRPr="00992545" w:rsidRDefault="00451754" w:rsidP="00746018">
            <w:pPr>
              <w:pStyle w:val="TableText-Left"/>
              <w:rPr>
                <w:szCs w:val="18"/>
              </w:rPr>
            </w:pPr>
            <w:r w:rsidRPr="00992545">
              <w:rPr>
                <w:szCs w:val="18"/>
              </w:rPr>
              <w:t>Deactivate registration</w:t>
            </w:r>
          </w:p>
        </w:tc>
        <w:tc>
          <w:tcPr>
            <w:tcW w:w="3348" w:type="pct"/>
            <w:tcMar>
              <w:top w:w="0" w:type="dxa"/>
              <w:left w:w="108" w:type="dxa"/>
              <w:bottom w:w="0" w:type="dxa"/>
              <w:right w:w="108" w:type="dxa"/>
            </w:tcMar>
            <w:hideMark/>
          </w:tcPr>
          <w:p w14:paraId="12362168" w14:textId="77777777" w:rsidR="00451754" w:rsidRPr="00992545" w:rsidRDefault="00451754" w:rsidP="00746018">
            <w:pPr>
              <w:pStyle w:val="TableText-Left"/>
              <w:rPr>
                <w:szCs w:val="18"/>
              </w:rPr>
            </w:pPr>
            <w:r w:rsidRPr="00992545">
              <w:rPr>
                <w:szCs w:val="18"/>
              </w:rPr>
              <w:t>Current supplier (Elec/Gas): notification of registration deactivation</w:t>
            </w:r>
          </w:p>
          <w:p w14:paraId="41AC3B2B" w14:textId="3664410F" w:rsidR="00451754" w:rsidRDefault="00451754" w:rsidP="00746018">
            <w:pPr>
              <w:pStyle w:val="TableText-Left"/>
              <w:rPr>
                <w:szCs w:val="18"/>
              </w:rPr>
            </w:pPr>
            <w:r w:rsidRPr="00992545">
              <w:rPr>
                <w:szCs w:val="18"/>
              </w:rPr>
              <w:t>Current shipper (Gas): notification of registration deactivation (to be used for billing)</w:t>
            </w:r>
          </w:p>
          <w:p w14:paraId="3F20B670" w14:textId="1E5E7770" w:rsidR="00607BFB" w:rsidRPr="00992545" w:rsidRDefault="00607BFB" w:rsidP="00746018">
            <w:pPr>
              <w:pStyle w:val="TableText-Left"/>
              <w:rPr>
                <w:szCs w:val="18"/>
              </w:rPr>
            </w:pPr>
            <w:r>
              <w:rPr>
                <w:szCs w:val="18"/>
              </w:rPr>
              <w:t xml:space="preserve">DC/DA: </w:t>
            </w:r>
            <w:r w:rsidRPr="00992545">
              <w:rPr>
                <w:szCs w:val="18"/>
              </w:rPr>
              <w:t>notification of registration deactivation</w:t>
            </w:r>
          </w:p>
          <w:p w14:paraId="0766B6CB" w14:textId="77777777" w:rsidR="00451754" w:rsidRPr="00992545" w:rsidRDefault="00451754" w:rsidP="00746018">
            <w:pPr>
              <w:pStyle w:val="TableText-Left"/>
              <w:rPr>
                <w:szCs w:val="18"/>
              </w:rPr>
            </w:pPr>
            <w:r w:rsidRPr="00992545">
              <w:rPr>
                <w:szCs w:val="18"/>
              </w:rPr>
              <w:t>MEM: notification of registration deactivation</w:t>
            </w:r>
          </w:p>
          <w:p w14:paraId="0A7F38E1" w14:textId="77777777" w:rsidR="00451754" w:rsidRPr="00992545" w:rsidRDefault="00451754" w:rsidP="00746018">
            <w:pPr>
              <w:pStyle w:val="TableText-Left"/>
              <w:rPr>
                <w:szCs w:val="18"/>
              </w:rPr>
            </w:pPr>
            <w:r w:rsidRPr="00992545">
              <w:rPr>
                <w:szCs w:val="18"/>
              </w:rPr>
              <w:t>MAP: notification of registration deactivation</w:t>
            </w:r>
          </w:p>
        </w:tc>
      </w:tr>
      <w:tr w:rsidR="00F43158" w:rsidRPr="00992545" w14:paraId="6424D5AA" w14:textId="77777777" w:rsidTr="00451754">
        <w:tc>
          <w:tcPr>
            <w:tcW w:w="1652" w:type="pct"/>
            <w:tcMar>
              <w:top w:w="0" w:type="dxa"/>
              <w:left w:w="108" w:type="dxa"/>
              <w:bottom w:w="0" w:type="dxa"/>
              <w:right w:w="108" w:type="dxa"/>
            </w:tcMar>
          </w:tcPr>
          <w:p w14:paraId="6D913365" w14:textId="4A188C7F" w:rsidR="00F43158" w:rsidRPr="00992545" w:rsidRDefault="00F43158" w:rsidP="00746018">
            <w:pPr>
              <w:pStyle w:val="TableText-Left"/>
              <w:rPr>
                <w:szCs w:val="18"/>
              </w:rPr>
            </w:pPr>
            <w:r>
              <w:rPr>
                <w:szCs w:val="18"/>
              </w:rPr>
              <w:t>Change of Shipper</w:t>
            </w:r>
          </w:p>
        </w:tc>
        <w:tc>
          <w:tcPr>
            <w:tcW w:w="3348" w:type="pct"/>
            <w:tcMar>
              <w:top w:w="0" w:type="dxa"/>
              <w:left w:w="108" w:type="dxa"/>
              <w:bottom w:w="0" w:type="dxa"/>
              <w:right w:w="108" w:type="dxa"/>
            </w:tcMar>
          </w:tcPr>
          <w:p w14:paraId="43F89D7E" w14:textId="77777777" w:rsidR="00F43158" w:rsidRDefault="00F43158" w:rsidP="00746018">
            <w:pPr>
              <w:pStyle w:val="TableText-Left"/>
              <w:rPr>
                <w:szCs w:val="18"/>
              </w:rPr>
            </w:pPr>
            <w:r>
              <w:rPr>
                <w:szCs w:val="18"/>
              </w:rPr>
              <w:t>Current supplier (Gas): notification of registration changes</w:t>
            </w:r>
          </w:p>
          <w:p w14:paraId="766D8F71" w14:textId="1D48F51C" w:rsidR="00F43158" w:rsidRPr="00992545" w:rsidRDefault="00F43158" w:rsidP="00746018">
            <w:pPr>
              <w:pStyle w:val="TableText-Left"/>
              <w:rPr>
                <w:szCs w:val="18"/>
              </w:rPr>
            </w:pPr>
            <w:r>
              <w:rPr>
                <w:szCs w:val="18"/>
              </w:rPr>
              <w:t>Current shipper (Gas): notification or registration changes</w:t>
            </w:r>
          </w:p>
        </w:tc>
      </w:tr>
      <w:tr w:rsidR="00F43158" w:rsidRPr="00992545" w14:paraId="0698714C" w14:textId="77777777" w:rsidTr="00451754">
        <w:tc>
          <w:tcPr>
            <w:tcW w:w="1652" w:type="pct"/>
            <w:tcMar>
              <w:top w:w="0" w:type="dxa"/>
              <w:left w:w="108" w:type="dxa"/>
              <w:bottom w:w="0" w:type="dxa"/>
              <w:right w:w="108" w:type="dxa"/>
            </w:tcMar>
          </w:tcPr>
          <w:p w14:paraId="69E3B4CE" w14:textId="507EF6A3" w:rsidR="00F43158" w:rsidRDefault="00F43158" w:rsidP="00746018">
            <w:pPr>
              <w:pStyle w:val="TableText-Left"/>
              <w:rPr>
                <w:szCs w:val="18"/>
              </w:rPr>
            </w:pPr>
            <w:r>
              <w:rPr>
                <w:szCs w:val="18"/>
              </w:rPr>
              <w:t xml:space="preserve">Change of </w:t>
            </w:r>
            <w:r w:rsidR="00626A84">
              <w:rPr>
                <w:szCs w:val="18"/>
              </w:rPr>
              <w:t>domestic/non-domestic premises indicator</w:t>
            </w:r>
          </w:p>
        </w:tc>
        <w:tc>
          <w:tcPr>
            <w:tcW w:w="3348" w:type="pct"/>
            <w:tcMar>
              <w:top w:w="0" w:type="dxa"/>
              <w:left w:w="108" w:type="dxa"/>
              <w:bottom w:w="0" w:type="dxa"/>
              <w:right w:w="108" w:type="dxa"/>
            </w:tcMar>
          </w:tcPr>
          <w:p w14:paraId="5F9C348A" w14:textId="5C3D251F" w:rsidR="00F43158" w:rsidRDefault="00626A84" w:rsidP="00746018">
            <w:pPr>
              <w:pStyle w:val="TableText-Left"/>
              <w:rPr>
                <w:szCs w:val="18"/>
              </w:rPr>
            </w:pPr>
            <w:r>
              <w:rPr>
                <w:szCs w:val="18"/>
              </w:rPr>
              <w:t>Current supplier (Elec/Gas): notification of registration changes</w:t>
            </w:r>
          </w:p>
        </w:tc>
      </w:tr>
    </w:tbl>
    <w:p w14:paraId="552EC9F4" w14:textId="64278D31" w:rsidR="00451754" w:rsidRDefault="00451754" w:rsidP="00176198">
      <w:pPr>
        <w:pStyle w:val="ListBullet"/>
      </w:pPr>
      <w:r w:rsidRPr="00FC37A9">
        <w:rPr>
          <w:b/>
        </w:rPr>
        <w:t>Enquiry</w:t>
      </w:r>
      <w:r w:rsidRPr="00B20CED">
        <w:t xml:space="preserve"> </w:t>
      </w:r>
      <w:r>
        <w:t>–</w:t>
      </w:r>
      <w:r w:rsidRPr="00B20CED">
        <w:t xml:space="preserve"> a message between two </w:t>
      </w:r>
      <w:r w:rsidR="006447D2">
        <w:t xml:space="preserve">data </w:t>
      </w:r>
      <w:r w:rsidR="003D3FDC">
        <w:t>service</w:t>
      </w:r>
      <w:r w:rsidRPr="00B20CED">
        <w:t>s that informs the recipient of an event and provides the recipient with an opportunity to respond in a structured form (within a fixed timescale). The response may or may not be mandatory, but conf</w:t>
      </w:r>
      <w:r>
        <w:t xml:space="preserve">irmation of receipt is </w:t>
      </w:r>
      <w:r w:rsidR="0047317B">
        <w:t>required,</w:t>
      </w:r>
      <w:r>
        <w:t xml:space="preserve"> and the enquiry interfaces are listed in the following table: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28"/>
        <w:gridCol w:w="6402"/>
      </w:tblGrid>
      <w:tr w:rsidR="00451754" w:rsidRPr="00992545" w14:paraId="36379C8B" w14:textId="77777777" w:rsidTr="00451754">
        <w:tc>
          <w:tcPr>
            <w:tcW w:w="1710" w:type="pct"/>
            <w:shd w:val="clear" w:color="auto" w:fill="A6A6A6" w:themeFill="background1" w:themeFillShade="A6"/>
            <w:tcMar>
              <w:top w:w="0" w:type="dxa"/>
              <w:left w:w="108" w:type="dxa"/>
              <w:bottom w:w="0" w:type="dxa"/>
              <w:right w:w="108" w:type="dxa"/>
            </w:tcMar>
            <w:hideMark/>
          </w:tcPr>
          <w:p w14:paraId="34B05634" w14:textId="77777777" w:rsidR="00451754" w:rsidRPr="00992545" w:rsidRDefault="00451754" w:rsidP="00746018">
            <w:pPr>
              <w:pStyle w:val="TableHeadings"/>
            </w:pPr>
            <w:r w:rsidRPr="00992545">
              <w:t>Event</w:t>
            </w:r>
          </w:p>
        </w:tc>
        <w:tc>
          <w:tcPr>
            <w:tcW w:w="3290" w:type="pct"/>
            <w:shd w:val="clear" w:color="auto" w:fill="A6A6A6" w:themeFill="background1" w:themeFillShade="A6"/>
            <w:tcMar>
              <w:top w:w="0" w:type="dxa"/>
              <w:left w:w="108" w:type="dxa"/>
              <w:bottom w:w="0" w:type="dxa"/>
              <w:right w:w="108" w:type="dxa"/>
            </w:tcMar>
            <w:hideMark/>
          </w:tcPr>
          <w:p w14:paraId="6BE7C9DA" w14:textId="77777777" w:rsidR="00451754" w:rsidRPr="00992545" w:rsidRDefault="00451754" w:rsidP="00746018">
            <w:pPr>
              <w:pStyle w:val="TableHeadings"/>
            </w:pPr>
            <w:r>
              <w:t>Enquiry</w:t>
            </w:r>
          </w:p>
        </w:tc>
      </w:tr>
      <w:tr w:rsidR="00451754" w:rsidRPr="00992545" w14:paraId="459E0BAB" w14:textId="77777777" w:rsidTr="00451754">
        <w:tc>
          <w:tcPr>
            <w:tcW w:w="1710" w:type="pct"/>
            <w:tcMar>
              <w:top w:w="0" w:type="dxa"/>
              <w:left w:w="108" w:type="dxa"/>
              <w:bottom w:w="0" w:type="dxa"/>
              <w:right w:w="108" w:type="dxa"/>
            </w:tcMar>
            <w:hideMark/>
          </w:tcPr>
          <w:p w14:paraId="0E7D4D27" w14:textId="77777777" w:rsidR="00451754" w:rsidRPr="00992545" w:rsidRDefault="00451754" w:rsidP="00746018">
            <w:pPr>
              <w:pStyle w:val="TableText-Left"/>
              <w:rPr>
                <w:szCs w:val="18"/>
              </w:rPr>
            </w:pPr>
            <w:r w:rsidRPr="00992545">
              <w:rPr>
                <w:szCs w:val="18"/>
              </w:rPr>
              <w:t>Switch request validated</w:t>
            </w:r>
          </w:p>
        </w:tc>
        <w:tc>
          <w:tcPr>
            <w:tcW w:w="3290" w:type="pct"/>
            <w:tcMar>
              <w:top w:w="0" w:type="dxa"/>
              <w:left w:w="108" w:type="dxa"/>
              <w:bottom w:w="0" w:type="dxa"/>
              <w:right w:w="108" w:type="dxa"/>
            </w:tcMar>
            <w:hideMark/>
          </w:tcPr>
          <w:p w14:paraId="05B32BA5" w14:textId="58AEEBCA" w:rsidR="00451754" w:rsidRPr="00992545" w:rsidRDefault="00451754" w:rsidP="00B26570">
            <w:pPr>
              <w:pStyle w:val="TableText-Left"/>
              <w:rPr>
                <w:szCs w:val="18"/>
              </w:rPr>
            </w:pPr>
            <w:r w:rsidRPr="00992545">
              <w:rPr>
                <w:szCs w:val="18"/>
              </w:rPr>
              <w:t xml:space="preserve">Losing supplier (Elec/Gas): </w:t>
            </w:r>
            <w:r>
              <w:rPr>
                <w:szCs w:val="18"/>
              </w:rPr>
              <w:t>Invitation to Intervene</w:t>
            </w:r>
          </w:p>
        </w:tc>
      </w:tr>
    </w:tbl>
    <w:p w14:paraId="5B3277D6" w14:textId="77777777" w:rsidR="00451754" w:rsidRPr="00B20CED" w:rsidRDefault="00451754" w:rsidP="00176198">
      <w:pPr>
        <w:pStyle w:val="ListBullet"/>
        <w:numPr>
          <w:ilvl w:val="0"/>
          <w:numId w:val="0"/>
        </w:numPr>
        <w:ind w:left="680"/>
      </w:pPr>
    </w:p>
    <w:p w14:paraId="3A2C28FB" w14:textId="4D9941A0" w:rsidR="00451754" w:rsidRDefault="00451754" w:rsidP="00176198">
      <w:pPr>
        <w:pStyle w:val="ListBullet"/>
      </w:pPr>
      <w:r w:rsidRPr="00FC37A9">
        <w:rPr>
          <w:b/>
        </w:rPr>
        <w:t>Synchronisation</w:t>
      </w:r>
      <w:r w:rsidRPr="00B20CED">
        <w:t xml:space="preserve"> – a formal mechanism designed to keep information shadowed in one </w:t>
      </w:r>
      <w:r w:rsidR="003D3FDC">
        <w:t>service</w:t>
      </w:r>
      <w:r w:rsidRPr="00B20CED">
        <w:t xml:space="preserve"> in line with that mastered in other </w:t>
      </w:r>
      <w:r w:rsidR="003D3FDC">
        <w:t>service</w:t>
      </w:r>
      <w:r w:rsidRPr="00B20CED">
        <w:t xml:space="preserve">s. A synchronisation may take place </w:t>
      </w:r>
      <w:r w:rsidR="00C77069">
        <w:t>to correspond with an</w:t>
      </w:r>
      <w:r w:rsidRPr="00B20CED">
        <w:t xml:space="preserve"> event/activity to ensure that all involved parties share the same information.</w:t>
      </w:r>
      <w:r w:rsidR="008B2338">
        <w:t xml:space="preserve"> </w:t>
      </w:r>
      <w:r>
        <w:t>The synchronisation messages from CSS</w:t>
      </w:r>
      <w:r w:rsidR="00C25DAE">
        <w:t xml:space="preserve">, MPAS and </w:t>
      </w:r>
      <w:r w:rsidR="00A1661D">
        <w:t>UK Link</w:t>
      </w:r>
      <w:r>
        <w:t xml:space="preserve"> are listed in the following </w:t>
      </w:r>
      <w:r w:rsidR="00317DF0">
        <w:t>table</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95"/>
        <w:gridCol w:w="6235"/>
      </w:tblGrid>
      <w:tr w:rsidR="00451754" w:rsidRPr="00992545" w14:paraId="4B20AD26" w14:textId="77777777" w:rsidTr="00A80026">
        <w:trPr>
          <w:tblHeader/>
        </w:trPr>
        <w:tc>
          <w:tcPr>
            <w:tcW w:w="1796" w:type="pct"/>
            <w:shd w:val="clear" w:color="auto" w:fill="A6A6A6" w:themeFill="background1" w:themeFillShade="A6"/>
            <w:tcMar>
              <w:top w:w="0" w:type="dxa"/>
              <w:left w:w="108" w:type="dxa"/>
              <w:bottom w:w="0" w:type="dxa"/>
              <w:right w:w="108" w:type="dxa"/>
            </w:tcMar>
            <w:hideMark/>
          </w:tcPr>
          <w:p w14:paraId="15F3155E" w14:textId="77777777" w:rsidR="00451754" w:rsidRPr="00992545" w:rsidRDefault="00451754" w:rsidP="00746018">
            <w:pPr>
              <w:pStyle w:val="TableHeadings"/>
            </w:pPr>
            <w:r w:rsidRPr="00992545">
              <w:t>Event</w:t>
            </w:r>
          </w:p>
        </w:tc>
        <w:tc>
          <w:tcPr>
            <w:tcW w:w="3204" w:type="pct"/>
            <w:shd w:val="clear" w:color="auto" w:fill="A6A6A6" w:themeFill="background1" w:themeFillShade="A6"/>
            <w:tcMar>
              <w:top w:w="0" w:type="dxa"/>
              <w:left w:w="108" w:type="dxa"/>
              <w:bottom w:w="0" w:type="dxa"/>
              <w:right w:w="108" w:type="dxa"/>
            </w:tcMar>
            <w:hideMark/>
          </w:tcPr>
          <w:p w14:paraId="29876B00" w14:textId="61D718C3" w:rsidR="00451754" w:rsidRPr="00992545" w:rsidRDefault="000D24E2" w:rsidP="00746018">
            <w:pPr>
              <w:pStyle w:val="TableHeadings"/>
            </w:pPr>
            <w:r>
              <w:t>Synchronisation</w:t>
            </w:r>
          </w:p>
        </w:tc>
      </w:tr>
      <w:tr w:rsidR="00C77069" w:rsidRPr="00992545" w14:paraId="10DDF5DD" w14:textId="77777777" w:rsidTr="00864337">
        <w:tc>
          <w:tcPr>
            <w:tcW w:w="1796" w:type="pct"/>
            <w:tcMar>
              <w:top w:w="0" w:type="dxa"/>
              <w:left w:w="108" w:type="dxa"/>
              <w:bottom w:w="0" w:type="dxa"/>
              <w:right w:w="108" w:type="dxa"/>
            </w:tcMar>
          </w:tcPr>
          <w:p w14:paraId="41C4298E" w14:textId="7ED21993" w:rsidR="00C77069" w:rsidRPr="00992545" w:rsidRDefault="00C77069" w:rsidP="00864337">
            <w:pPr>
              <w:pStyle w:val="TableText-Left"/>
              <w:rPr>
                <w:szCs w:val="18"/>
              </w:rPr>
            </w:pPr>
            <w:r>
              <w:rPr>
                <w:szCs w:val="18"/>
              </w:rPr>
              <w:t>Initial registration confirmed</w:t>
            </w:r>
          </w:p>
        </w:tc>
        <w:tc>
          <w:tcPr>
            <w:tcW w:w="3204" w:type="pct"/>
            <w:tcMar>
              <w:top w:w="0" w:type="dxa"/>
              <w:left w:w="108" w:type="dxa"/>
              <w:bottom w:w="0" w:type="dxa"/>
              <w:right w:w="108" w:type="dxa"/>
            </w:tcMar>
          </w:tcPr>
          <w:p w14:paraId="04050832" w14:textId="1D4E6587" w:rsidR="00C77069" w:rsidRPr="00992545" w:rsidRDefault="00C77069" w:rsidP="00C77069">
            <w:pPr>
              <w:pStyle w:val="TableText-Left"/>
              <w:rPr>
                <w:szCs w:val="18"/>
              </w:rPr>
            </w:pPr>
            <w:r w:rsidRPr="00992545">
              <w:rPr>
                <w:szCs w:val="18"/>
              </w:rPr>
              <w:t xml:space="preserve">ECOES: </w:t>
            </w:r>
            <w:r>
              <w:rPr>
                <w:szCs w:val="18"/>
              </w:rPr>
              <w:t>Synch</w:t>
            </w:r>
            <w:r w:rsidR="00D17C83">
              <w:rPr>
                <w:szCs w:val="18"/>
              </w:rPr>
              <w:t>r</w:t>
            </w:r>
            <w:r>
              <w:rPr>
                <w:szCs w:val="18"/>
              </w:rPr>
              <w:t xml:space="preserve">onisation of </w:t>
            </w:r>
            <w:r w:rsidR="00864337">
              <w:rPr>
                <w:szCs w:val="18"/>
              </w:rPr>
              <w:t xml:space="preserve">Initial </w:t>
            </w:r>
            <w:r>
              <w:rPr>
                <w:szCs w:val="18"/>
              </w:rPr>
              <w:t xml:space="preserve">registration </w:t>
            </w:r>
            <w:r w:rsidR="00EF354D">
              <w:rPr>
                <w:szCs w:val="18"/>
              </w:rPr>
              <w:t xml:space="preserve">request </w:t>
            </w:r>
            <w:r>
              <w:rPr>
                <w:szCs w:val="18"/>
              </w:rPr>
              <w:t>(confirmed)</w:t>
            </w:r>
          </w:p>
          <w:p w14:paraId="50182148" w14:textId="4A7CA642" w:rsidR="00C77069" w:rsidRPr="00992545" w:rsidRDefault="00A1661D" w:rsidP="00C77069">
            <w:pPr>
              <w:pStyle w:val="TableText-Left"/>
              <w:rPr>
                <w:szCs w:val="18"/>
              </w:rPr>
            </w:pPr>
            <w:r>
              <w:rPr>
                <w:szCs w:val="18"/>
              </w:rPr>
              <w:t>DES</w:t>
            </w:r>
            <w:r w:rsidR="00C77069" w:rsidRPr="00992545">
              <w:rPr>
                <w:szCs w:val="18"/>
              </w:rPr>
              <w:t xml:space="preserve">: </w:t>
            </w:r>
            <w:r w:rsidR="00EF354D">
              <w:rPr>
                <w:szCs w:val="18"/>
              </w:rPr>
              <w:t>Synch</w:t>
            </w:r>
            <w:r w:rsidR="00D17C83">
              <w:rPr>
                <w:szCs w:val="18"/>
              </w:rPr>
              <w:t>r</w:t>
            </w:r>
            <w:r w:rsidR="00EF354D">
              <w:rPr>
                <w:szCs w:val="18"/>
              </w:rPr>
              <w:t xml:space="preserve">onisation of </w:t>
            </w:r>
            <w:r w:rsidR="00864337">
              <w:rPr>
                <w:szCs w:val="18"/>
              </w:rPr>
              <w:t xml:space="preserve">Initial </w:t>
            </w:r>
            <w:r w:rsidR="00EF354D">
              <w:rPr>
                <w:szCs w:val="18"/>
              </w:rPr>
              <w:t>registration request (confirmed)</w:t>
            </w:r>
          </w:p>
          <w:p w14:paraId="48C1AD0F" w14:textId="65D13AA1" w:rsidR="00C77069" w:rsidRPr="00992545" w:rsidRDefault="00C77069" w:rsidP="00C77069">
            <w:pPr>
              <w:pStyle w:val="TableText-Left"/>
              <w:rPr>
                <w:szCs w:val="18"/>
              </w:rPr>
            </w:pPr>
            <w:r w:rsidRPr="00992545">
              <w:rPr>
                <w:szCs w:val="18"/>
              </w:rPr>
              <w:t xml:space="preserve">DCC: </w:t>
            </w:r>
            <w:r w:rsidR="00EF354D">
              <w:rPr>
                <w:szCs w:val="18"/>
              </w:rPr>
              <w:t>Synch</w:t>
            </w:r>
            <w:r w:rsidR="00C25DAE">
              <w:rPr>
                <w:szCs w:val="18"/>
              </w:rPr>
              <w:t>r</w:t>
            </w:r>
            <w:r w:rsidR="00EF354D">
              <w:rPr>
                <w:szCs w:val="18"/>
              </w:rPr>
              <w:t xml:space="preserve">onisation of registration </w:t>
            </w:r>
            <w:r w:rsidR="00864337">
              <w:rPr>
                <w:szCs w:val="18"/>
              </w:rPr>
              <w:t xml:space="preserve">Initial </w:t>
            </w:r>
            <w:r w:rsidR="00EF354D">
              <w:rPr>
                <w:szCs w:val="18"/>
              </w:rPr>
              <w:t>request (used to update access controls)</w:t>
            </w:r>
          </w:p>
          <w:p w14:paraId="4918F37D" w14:textId="7F6C4E74" w:rsidR="00C77069" w:rsidRPr="00992545" w:rsidRDefault="00A1661D" w:rsidP="00C77069">
            <w:pPr>
              <w:pStyle w:val="TableText-Left"/>
              <w:rPr>
                <w:szCs w:val="18"/>
              </w:rPr>
            </w:pPr>
            <w:r>
              <w:rPr>
                <w:szCs w:val="18"/>
              </w:rPr>
              <w:t>UK Link</w:t>
            </w:r>
            <w:r w:rsidR="00C77069" w:rsidRPr="00992545">
              <w:rPr>
                <w:szCs w:val="18"/>
              </w:rPr>
              <w:t xml:space="preserve">: </w:t>
            </w:r>
            <w:r w:rsidR="00EF354D">
              <w:rPr>
                <w:szCs w:val="18"/>
              </w:rPr>
              <w:t>Synch</w:t>
            </w:r>
            <w:r w:rsidR="00D17C83">
              <w:rPr>
                <w:szCs w:val="18"/>
              </w:rPr>
              <w:t>r</w:t>
            </w:r>
            <w:r w:rsidR="00EF354D">
              <w:rPr>
                <w:szCs w:val="18"/>
              </w:rPr>
              <w:t xml:space="preserve">onisation of </w:t>
            </w:r>
            <w:r w:rsidR="00864337">
              <w:rPr>
                <w:szCs w:val="18"/>
              </w:rPr>
              <w:t xml:space="preserve">Initial </w:t>
            </w:r>
            <w:r w:rsidR="00EF354D">
              <w:rPr>
                <w:szCs w:val="18"/>
              </w:rPr>
              <w:t xml:space="preserve">registration request </w:t>
            </w:r>
            <w:r w:rsidR="00C77069" w:rsidRPr="00992545">
              <w:rPr>
                <w:szCs w:val="18"/>
              </w:rPr>
              <w:t>(used to update access controls to allow agent/settlement updates)</w:t>
            </w:r>
          </w:p>
          <w:p w14:paraId="1D7AF38C" w14:textId="1641ABB7" w:rsidR="00C77069" w:rsidRPr="00992545" w:rsidRDefault="00DB63D0" w:rsidP="00C77069">
            <w:pPr>
              <w:pStyle w:val="TableText-Left"/>
              <w:rPr>
                <w:szCs w:val="18"/>
              </w:rPr>
            </w:pPr>
            <w:r>
              <w:rPr>
                <w:szCs w:val="18"/>
              </w:rPr>
              <w:t>MPAS</w:t>
            </w:r>
            <w:r w:rsidR="00C77069" w:rsidRPr="00992545">
              <w:rPr>
                <w:szCs w:val="18"/>
              </w:rPr>
              <w:t xml:space="preserve">: </w:t>
            </w:r>
            <w:r w:rsidR="00EF354D">
              <w:rPr>
                <w:szCs w:val="18"/>
              </w:rPr>
              <w:t>Synch</w:t>
            </w:r>
            <w:r w:rsidR="00D17C83">
              <w:rPr>
                <w:szCs w:val="18"/>
              </w:rPr>
              <w:t>r</w:t>
            </w:r>
            <w:r w:rsidR="00EF354D">
              <w:rPr>
                <w:szCs w:val="18"/>
              </w:rPr>
              <w:t xml:space="preserve">onisation of </w:t>
            </w:r>
            <w:r w:rsidR="00864337">
              <w:rPr>
                <w:szCs w:val="18"/>
              </w:rPr>
              <w:t xml:space="preserve">Initial </w:t>
            </w:r>
            <w:r w:rsidR="00EF354D">
              <w:rPr>
                <w:szCs w:val="18"/>
              </w:rPr>
              <w:t>registration request</w:t>
            </w:r>
            <w:r w:rsidR="00C77069" w:rsidRPr="00992545">
              <w:rPr>
                <w:szCs w:val="18"/>
              </w:rPr>
              <w:t xml:space="preserve"> (used to update access controls to allow agent/settlement updates)</w:t>
            </w:r>
          </w:p>
        </w:tc>
      </w:tr>
      <w:tr w:rsidR="00C77069" w:rsidRPr="00992545" w14:paraId="4F255F18" w14:textId="77777777" w:rsidTr="00864337">
        <w:tc>
          <w:tcPr>
            <w:tcW w:w="1796" w:type="pct"/>
            <w:tcMar>
              <w:top w:w="0" w:type="dxa"/>
              <w:left w:w="108" w:type="dxa"/>
              <w:bottom w:w="0" w:type="dxa"/>
              <w:right w:w="108" w:type="dxa"/>
            </w:tcMar>
          </w:tcPr>
          <w:p w14:paraId="7C1221F6" w14:textId="3FEB1900" w:rsidR="00C77069" w:rsidRDefault="00C77069" w:rsidP="00864337">
            <w:pPr>
              <w:pStyle w:val="TableText-Left"/>
              <w:rPr>
                <w:szCs w:val="18"/>
              </w:rPr>
            </w:pPr>
            <w:r>
              <w:rPr>
                <w:szCs w:val="18"/>
              </w:rPr>
              <w:t xml:space="preserve">Initial registration </w:t>
            </w:r>
            <w:r w:rsidR="00EF354D">
              <w:rPr>
                <w:szCs w:val="18"/>
              </w:rPr>
              <w:t>s</w:t>
            </w:r>
            <w:r>
              <w:rPr>
                <w:szCs w:val="18"/>
              </w:rPr>
              <w:t>ecured</w:t>
            </w:r>
          </w:p>
        </w:tc>
        <w:tc>
          <w:tcPr>
            <w:tcW w:w="3204" w:type="pct"/>
            <w:tcMar>
              <w:top w:w="0" w:type="dxa"/>
              <w:left w:w="108" w:type="dxa"/>
              <w:bottom w:w="0" w:type="dxa"/>
              <w:right w:w="108" w:type="dxa"/>
            </w:tcMar>
          </w:tcPr>
          <w:p w14:paraId="5F96FB39" w14:textId="68A5517B" w:rsidR="00EF354D" w:rsidRPr="00992545" w:rsidRDefault="00EF354D" w:rsidP="00EF354D">
            <w:pPr>
              <w:pStyle w:val="TableText-Left"/>
              <w:rPr>
                <w:szCs w:val="18"/>
              </w:rPr>
            </w:pPr>
            <w:r w:rsidRPr="00992545">
              <w:rPr>
                <w:szCs w:val="18"/>
              </w:rPr>
              <w:t xml:space="preserve">ECOES: </w:t>
            </w:r>
            <w:r>
              <w:rPr>
                <w:szCs w:val="18"/>
              </w:rPr>
              <w:t>Synch</w:t>
            </w:r>
            <w:r w:rsidR="00D17C83">
              <w:rPr>
                <w:szCs w:val="18"/>
              </w:rPr>
              <w:t>r</w:t>
            </w:r>
            <w:r>
              <w:rPr>
                <w:szCs w:val="18"/>
              </w:rPr>
              <w:t xml:space="preserve">onisation of </w:t>
            </w:r>
            <w:r w:rsidR="00864337">
              <w:rPr>
                <w:szCs w:val="18"/>
              </w:rPr>
              <w:t xml:space="preserve">Initial </w:t>
            </w:r>
            <w:r>
              <w:rPr>
                <w:szCs w:val="18"/>
              </w:rPr>
              <w:t>registration request state update (secured)</w:t>
            </w:r>
          </w:p>
          <w:p w14:paraId="1B67B402" w14:textId="2E7EC762" w:rsidR="00EF354D" w:rsidRPr="00992545" w:rsidRDefault="00A1661D" w:rsidP="00EF354D">
            <w:pPr>
              <w:pStyle w:val="TableText-Left"/>
              <w:rPr>
                <w:szCs w:val="18"/>
              </w:rPr>
            </w:pPr>
            <w:r>
              <w:rPr>
                <w:szCs w:val="18"/>
              </w:rPr>
              <w:t>DES</w:t>
            </w:r>
            <w:r w:rsidR="00EF354D" w:rsidRPr="00992545">
              <w:rPr>
                <w:szCs w:val="18"/>
              </w:rPr>
              <w:t xml:space="preserve">: </w:t>
            </w:r>
            <w:r w:rsidR="00EF354D">
              <w:rPr>
                <w:szCs w:val="18"/>
              </w:rPr>
              <w:t>Synch</w:t>
            </w:r>
            <w:r w:rsidR="00D17C83">
              <w:rPr>
                <w:szCs w:val="18"/>
              </w:rPr>
              <w:t>r</w:t>
            </w:r>
            <w:r w:rsidR="00EF354D">
              <w:rPr>
                <w:szCs w:val="18"/>
              </w:rPr>
              <w:t xml:space="preserve">onisation of </w:t>
            </w:r>
            <w:r w:rsidR="00864337">
              <w:rPr>
                <w:szCs w:val="18"/>
              </w:rPr>
              <w:t xml:space="preserve">Initial </w:t>
            </w:r>
            <w:r w:rsidR="00EF354D">
              <w:rPr>
                <w:szCs w:val="18"/>
              </w:rPr>
              <w:t>registration request state update (secured)</w:t>
            </w:r>
          </w:p>
          <w:p w14:paraId="6AEF18A1" w14:textId="4C24B61B" w:rsidR="00EF354D" w:rsidRPr="00992545" w:rsidRDefault="00EF354D" w:rsidP="00EF354D">
            <w:pPr>
              <w:pStyle w:val="TableText-Left"/>
              <w:rPr>
                <w:szCs w:val="18"/>
              </w:rPr>
            </w:pPr>
            <w:r w:rsidRPr="00992545">
              <w:rPr>
                <w:szCs w:val="18"/>
              </w:rPr>
              <w:t xml:space="preserve">DCC: </w:t>
            </w:r>
            <w:r>
              <w:rPr>
                <w:szCs w:val="18"/>
              </w:rPr>
              <w:t>Synch</w:t>
            </w:r>
            <w:r w:rsidR="00D17C83">
              <w:rPr>
                <w:szCs w:val="18"/>
              </w:rPr>
              <w:t>r</w:t>
            </w:r>
            <w:r>
              <w:rPr>
                <w:szCs w:val="18"/>
              </w:rPr>
              <w:t xml:space="preserve">onisation that the </w:t>
            </w:r>
            <w:r w:rsidR="00864337">
              <w:rPr>
                <w:szCs w:val="18"/>
              </w:rPr>
              <w:t xml:space="preserve">Initial </w:t>
            </w:r>
            <w:r>
              <w:rPr>
                <w:szCs w:val="18"/>
              </w:rPr>
              <w:t>registration request has become irrevocable (used to update access controls)</w:t>
            </w:r>
          </w:p>
          <w:p w14:paraId="7190CB0D" w14:textId="287A7A4F" w:rsidR="00EF354D" w:rsidRPr="00992545" w:rsidRDefault="00A1661D" w:rsidP="00EF354D">
            <w:pPr>
              <w:pStyle w:val="TableText-Left"/>
              <w:rPr>
                <w:szCs w:val="18"/>
              </w:rPr>
            </w:pPr>
            <w:r>
              <w:rPr>
                <w:szCs w:val="18"/>
              </w:rPr>
              <w:t>UK Link</w:t>
            </w:r>
            <w:r w:rsidR="00EF354D" w:rsidRPr="00992545">
              <w:rPr>
                <w:szCs w:val="18"/>
              </w:rPr>
              <w:t xml:space="preserve">: </w:t>
            </w:r>
            <w:r w:rsidR="00EF354D">
              <w:rPr>
                <w:szCs w:val="18"/>
              </w:rPr>
              <w:t>Synch</w:t>
            </w:r>
            <w:r w:rsidR="00D17C83">
              <w:rPr>
                <w:szCs w:val="18"/>
              </w:rPr>
              <w:t>r</w:t>
            </w:r>
            <w:r w:rsidR="00EF354D">
              <w:rPr>
                <w:szCs w:val="18"/>
              </w:rPr>
              <w:t xml:space="preserve">onisation that the </w:t>
            </w:r>
            <w:r w:rsidR="00864337">
              <w:rPr>
                <w:szCs w:val="18"/>
              </w:rPr>
              <w:t xml:space="preserve">Initial </w:t>
            </w:r>
            <w:r w:rsidR="00EF354D">
              <w:rPr>
                <w:szCs w:val="18"/>
              </w:rPr>
              <w:t xml:space="preserve">registration request has become irrevocable </w:t>
            </w:r>
            <w:r w:rsidR="00EF354D" w:rsidRPr="00992545">
              <w:rPr>
                <w:szCs w:val="18"/>
              </w:rPr>
              <w:t>(used to update access controls to allow agent/settlement updates)</w:t>
            </w:r>
          </w:p>
          <w:p w14:paraId="5EADDDDD" w14:textId="77890A89" w:rsidR="00C77069" w:rsidRDefault="00DB63D0" w:rsidP="00EF354D">
            <w:pPr>
              <w:pStyle w:val="TableText-Left"/>
              <w:rPr>
                <w:szCs w:val="18"/>
              </w:rPr>
            </w:pPr>
            <w:r>
              <w:rPr>
                <w:szCs w:val="18"/>
              </w:rPr>
              <w:t>MPAS</w:t>
            </w:r>
            <w:r w:rsidR="00EF354D" w:rsidRPr="00992545">
              <w:rPr>
                <w:szCs w:val="18"/>
              </w:rPr>
              <w:t xml:space="preserve">: </w:t>
            </w:r>
            <w:r w:rsidR="00EF354D">
              <w:rPr>
                <w:szCs w:val="18"/>
              </w:rPr>
              <w:t>Synch</w:t>
            </w:r>
            <w:r w:rsidR="00D17C83">
              <w:rPr>
                <w:szCs w:val="18"/>
              </w:rPr>
              <w:t>r</w:t>
            </w:r>
            <w:r w:rsidR="00EF354D">
              <w:rPr>
                <w:szCs w:val="18"/>
              </w:rPr>
              <w:t xml:space="preserve">onisation that the </w:t>
            </w:r>
            <w:r w:rsidR="00864337">
              <w:rPr>
                <w:szCs w:val="18"/>
              </w:rPr>
              <w:t xml:space="preserve">Initial </w:t>
            </w:r>
            <w:r w:rsidR="00EF354D">
              <w:rPr>
                <w:szCs w:val="18"/>
              </w:rPr>
              <w:t>registration request has become irrevocable</w:t>
            </w:r>
            <w:r w:rsidR="00EF354D" w:rsidRPr="00992545">
              <w:rPr>
                <w:szCs w:val="18"/>
              </w:rPr>
              <w:t xml:space="preserve"> (used to update access controls to allow agent/settlement updates)</w:t>
            </w:r>
          </w:p>
        </w:tc>
      </w:tr>
      <w:tr w:rsidR="00451754" w:rsidRPr="00992545" w14:paraId="44C679A9" w14:textId="77777777" w:rsidTr="00451754">
        <w:tc>
          <w:tcPr>
            <w:tcW w:w="1796" w:type="pct"/>
            <w:tcMar>
              <w:top w:w="0" w:type="dxa"/>
              <w:left w:w="108" w:type="dxa"/>
              <w:bottom w:w="0" w:type="dxa"/>
              <w:right w:w="108" w:type="dxa"/>
            </w:tcMar>
            <w:hideMark/>
          </w:tcPr>
          <w:p w14:paraId="3F9F75F4" w14:textId="77777777" w:rsidR="00451754" w:rsidRPr="00992545" w:rsidRDefault="00451754" w:rsidP="00746018">
            <w:pPr>
              <w:pStyle w:val="TableText-Left"/>
              <w:rPr>
                <w:szCs w:val="18"/>
              </w:rPr>
            </w:pPr>
            <w:r w:rsidRPr="00992545">
              <w:rPr>
                <w:szCs w:val="18"/>
              </w:rPr>
              <w:t>Switch request validated</w:t>
            </w:r>
          </w:p>
        </w:tc>
        <w:tc>
          <w:tcPr>
            <w:tcW w:w="3204" w:type="pct"/>
            <w:tcMar>
              <w:top w:w="0" w:type="dxa"/>
              <w:left w:w="108" w:type="dxa"/>
              <w:bottom w:w="0" w:type="dxa"/>
              <w:right w:w="108" w:type="dxa"/>
            </w:tcMar>
            <w:hideMark/>
          </w:tcPr>
          <w:p w14:paraId="637CE1BD" w14:textId="63AFFABC" w:rsidR="00451754" w:rsidRPr="00992545" w:rsidRDefault="00451754" w:rsidP="00746018">
            <w:pPr>
              <w:pStyle w:val="TableText-Left"/>
              <w:rPr>
                <w:szCs w:val="18"/>
              </w:rPr>
            </w:pPr>
            <w:r w:rsidRPr="00992545">
              <w:rPr>
                <w:szCs w:val="18"/>
              </w:rPr>
              <w:t xml:space="preserve">ECOES: </w:t>
            </w:r>
            <w:r>
              <w:rPr>
                <w:szCs w:val="18"/>
              </w:rPr>
              <w:t>Synchronisation</w:t>
            </w:r>
            <w:r w:rsidRPr="00992545">
              <w:rPr>
                <w:szCs w:val="18"/>
              </w:rPr>
              <w:t xml:space="preserve"> of </w:t>
            </w:r>
            <w:r w:rsidR="007D7B9A">
              <w:rPr>
                <w:szCs w:val="18"/>
              </w:rPr>
              <w:t>Switch Request</w:t>
            </w:r>
            <w:r w:rsidR="00864337">
              <w:rPr>
                <w:szCs w:val="18"/>
              </w:rPr>
              <w:t xml:space="preserve"> (validated)</w:t>
            </w:r>
          </w:p>
          <w:p w14:paraId="003C0B02" w14:textId="1DB3272F" w:rsidR="00451754" w:rsidRDefault="00A1661D" w:rsidP="00746018">
            <w:pPr>
              <w:pStyle w:val="TableText-Left"/>
              <w:rPr>
                <w:szCs w:val="18"/>
              </w:rPr>
            </w:pPr>
            <w:r>
              <w:rPr>
                <w:szCs w:val="18"/>
              </w:rPr>
              <w:t>DES</w:t>
            </w:r>
            <w:r w:rsidR="00451754" w:rsidRPr="00992545">
              <w:rPr>
                <w:szCs w:val="18"/>
              </w:rPr>
              <w:t xml:space="preserve">: </w:t>
            </w:r>
            <w:r w:rsidR="00451754">
              <w:rPr>
                <w:szCs w:val="18"/>
              </w:rPr>
              <w:t>Synchronisation</w:t>
            </w:r>
            <w:r w:rsidR="00451754" w:rsidRPr="00992545">
              <w:rPr>
                <w:szCs w:val="18"/>
              </w:rPr>
              <w:t xml:space="preserve"> of </w:t>
            </w:r>
            <w:r w:rsidR="007D7B9A">
              <w:rPr>
                <w:szCs w:val="18"/>
              </w:rPr>
              <w:t>Switch Request</w:t>
            </w:r>
            <w:r w:rsidR="00864337">
              <w:rPr>
                <w:szCs w:val="18"/>
              </w:rPr>
              <w:t xml:space="preserve"> (validated)</w:t>
            </w:r>
          </w:p>
          <w:p w14:paraId="05CCC623" w14:textId="0FE3D8DF" w:rsidR="00774005" w:rsidRDefault="00774005" w:rsidP="00746018">
            <w:pPr>
              <w:pStyle w:val="TableText-Left"/>
              <w:rPr>
                <w:szCs w:val="18"/>
              </w:rPr>
            </w:pPr>
            <w:r w:rsidRPr="00992545">
              <w:rPr>
                <w:szCs w:val="18"/>
              </w:rPr>
              <w:t>DCC</w:t>
            </w:r>
            <w:r>
              <w:rPr>
                <w:szCs w:val="18"/>
              </w:rPr>
              <w:t>: Synchronisation</w:t>
            </w:r>
            <w:r w:rsidRPr="00992545">
              <w:rPr>
                <w:szCs w:val="18"/>
              </w:rPr>
              <w:t xml:space="preserve"> of </w:t>
            </w:r>
            <w:r>
              <w:rPr>
                <w:szCs w:val="18"/>
              </w:rPr>
              <w:t>Switch Request (validated)</w:t>
            </w:r>
          </w:p>
          <w:p w14:paraId="3E2A8A29" w14:textId="5319EBFB" w:rsidR="007A682F" w:rsidRPr="00992545" w:rsidRDefault="00A1661D" w:rsidP="007A682F">
            <w:pPr>
              <w:pStyle w:val="TableText-Left"/>
              <w:rPr>
                <w:szCs w:val="18"/>
              </w:rPr>
            </w:pPr>
            <w:r>
              <w:rPr>
                <w:szCs w:val="18"/>
              </w:rPr>
              <w:t>UK Link</w:t>
            </w:r>
            <w:r w:rsidR="007A682F" w:rsidRPr="00992545">
              <w:rPr>
                <w:szCs w:val="18"/>
              </w:rPr>
              <w:t xml:space="preserve">: </w:t>
            </w:r>
            <w:r w:rsidR="007A682F">
              <w:rPr>
                <w:szCs w:val="18"/>
              </w:rPr>
              <w:t>Synchronisation</w:t>
            </w:r>
            <w:r w:rsidR="007A682F" w:rsidRPr="00992545">
              <w:rPr>
                <w:szCs w:val="18"/>
              </w:rPr>
              <w:t xml:space="preserve"> of </w:t>
            </w:r>
            <w:r w:rsidR="007A682F">
              <w:rPr>
                <w:szCs w:val="18"/>
              </w:rPr>
              <w:t>Switch Request (validated)</w:t>
            </w:r>
          </w:p>
          <w:p w14:paraId="48ECF02B" w14:textId="6AD5A4B0" w:rsidR="007A682F" w:rsidRPr="00992545" w:rsidRDefault="00DB63D0" w:rsidP="007A682F">
            <w:pPr>
              <w:pStyle w:val="TableText-Left"/>
              <w:rPr>
                <w:szCs w:val="18"/>
              </w:rPr>
            </w:pPr>
            <w:r>
              <w:rPr>
                <w:szCs w:val="18"/>
              </w:rPr>
              <w:t>MPAS</w:t>
            </w:r>
            <w:r w:rsidR="007A682F" w:rsidRPr="00992545">
              <w:rPr>
                <w:szCs w:val="18"/>
              </w:rPr>
              <w:t xml:space="preserve">: </w:t>
            </w:r>
            <w:r w:rsidR="007A682F">
              <w:rPr>
                <w:szCs w:val="18"/>
              </w:rPr>
              <w:t>Synchronisation</w:t>
            </w:r>
            <w:r w:rsidR="007A682F" w:rsidRPr="00992545">
              <w:rPr>
                <w:szCs w:val="18"/>
              </w:rPr>
              <w:t xml:space="preserve"> of </w:t>
            </w:r>
            <w:r w:rsidR="007A682F">
              <w:rPr>
                <w:szCs w:val="18"/>
              </w:rPr>
              <w:t>Switch Request (validated)</w:t>
            </w:r>
          </w:p>
        </w:tc>
      </w:tr>
      <w:tr w:rsidR="00451754" w:rsidRPr="00992545" w14:paraId="55D981EE" w14:textId="77777777" w:rsidTr="00451754">
        <w:tc>
          <w:tcPr>
            <w:tcW w:w="1796" w:type="pct"/>
            <w:tcMar>
              <w:top w:w="0" w:type="dxa"/>
              <w:left w:w="108" w:type="dxa"/>
              <w:bottom w:w="0" w:type="dxa"/>
              <w:right w:w="108" w:type="dxa"/>
            </w:tcMar>
            <w:hideMark/>
          </w:tcPr>
          <w:p w14:paraId="0D3632A5" w14:textId="77777777" w:rsidR="00451754" w:rsidRPr="00992545" w:rsidRDefault="00451754" w:rsidP="00746018">
            <w:pPr>
              <w:pStyle w:val="TableText-Left"/>
              <w:rPr>
                <w:szCs w:val="18"/>
              </w:rPr>
            </w:pPr>
            <w:r w:rsidRPr="00992545">
              <w:rPr>
                <w:szCs w:val="18"/>
              </w:rPr>
              <w:t>Switch request confirmed (no objection raised)</w:t>
            </w:r>
          </w:p>
        </w:tc>
        <w:tc>
          <w:tcPr>
            <w:tcW w:w="3204" w:type="pct"/>
            <w:tcMar>
              <w:top w:w="0" w:type="dxa"/>
              <w:left w:w="108" w:type="dxa"/>
              <w:bottom w:w="0" w:type="dxa"/>
              <w:right w:w="108" w:type="dxa"/>
            </w:tcMar>
            <w:hideMark/>
          </w:tcPr>
          <w:p w14:paraId="7341AD25" w14:textId="663E8282" w:rsidR="00451754" w:rsidRPr="00992545" w:rsidRDefault="00451754" w:rsidP="00746018">
            <w:pPr>
              <w:pStyle w:val="TableText-Left"/>
              <w:rPr>
                <w:szCs w:val="18"/>
              </w:rPr>
            </w:pPr>
            <w:r w:rsidRPr="00992545">
              <w:rPr>
                <w:szCs w:val="18"/>
              </w:rPr>
              <w:t xml:space="preserve">ECOES: </w:t>
            </w:r>
            <w:r w:rsidR="007D7B9A">
              <w:rPr>
                <w:szCs w:val="18"/>
              </w:rPr>
              <w:t>Switch Request</w:t>
            </w:r>
            <w:r w:rsidRPr="00992545">
              <w:rPr>
                <w:szCs w:val="18"/>
              </w:rPr>
              <w:t xml:space="preserve"> state update (confirmed)</w:t>
            </w:r>
          </w:p>
          <w:p w14:paraId="399C500A" w14:textId="0E21B5F5" w:rsidR="00451754" w:rsidRPr="00992545" w:rsidRDefault="00A1661D" w:rsidP="00746018">
            <w:pPr>
              <w:pStyle w:val="TableText-Left"/>
              <w:rPr>
                <w:szCs w:val="18"/>
              </w:rPr>
            </w:pPr>
            <w:r>
              <w:rPr>
                <w:szCs w:val="18"/>
              </w:rPr>
              <w:t>DES</w:t>
            </w:r>
            <w:r w:rsidR="00451754" w:rsidRPr="00992545">
              <w:rPr>
                <w:szCs w:val="18"/>
              </w:rPr>
              <w:t xml:space="preserve">: </w:t>
            </w:r>
            <w:r w:rsidR="007D7B9A">
              <w:rPr>
                <w:szCs w:val="18"/>
              </w:rPr>
              <w:t>Switch Request</w:t>
            </w:r>
            <w:r w:rsidR="00451754" w:rsidRPr="00992545">
              <w:rPr>
                <w:szCs w:val="18"/>
              </w:rPr>
              <w:t xml:space="preserve"> status update (confirmed)</w:t>
            </w:r>
          </w:p>
          <w:p w14:paraId="3CB7632E" w14:textId="77777777" w:rsidR="00451754" w:rsidRPr="00992545" w:rsidRDefault="00451754" w:rsidP="00746018">
            <w:pPr>
              <w:pStyle w:val="TableText-Left"/>
              <w:rPr>
                <w:szCs w:val="18"/>
              </w:rPr>
            </w:pPr>
            <w:r w:rsidRPr="00992545">
              <w:rPr>
                <w:szCs w:val="18"/>
              </w:rPr>
              <w:t xml:space="preserve">DCC: </w:t>
            </w:r>
            <w:r>
              <w:rPr>
                <w:szCs w:val="18"/>
              </w:rPr>
              <w:t>Synchronisation</w:t>
            </w:r>
            <w:r w:rsidRPr="00992545">
              <w:rPr>
                <w:szCs w:val="18"/>
              </w:rPr>
              <w:t xml:space="preserve"> of pending switch (used to update access controls)</w:t>
            </w:r>
          </w:p>
          <w:p w14:paraId="6264A37E" w14:textId="34C2495D" w:rsidR="00451754" w:rsidRPr="00992545" w:rsidRDefault="00A1661D" w:rsidP="00746018">
            <w:pPr>
              <w:pStyle w:val="TableText-Left"/>
              <w:rPr>
                <w:szCs w:val="18"/>
              </w:rPr>
            </w:pPr>
            <w:r>
              <w:rPr>
                <w:szCs w:val="18"/>
              </w:rPr>
              <w:t>UK Link</w:t>
            </w:r>
            <w:r w:rsidR="00451754" w:rsidRPr="00992545">
              <w:rPr>
                <w:szCs w:val="18"/>
              </w:rPr>
              <w:t xml:space="preserve">: </w:t>
            </w:r>
            <w:r w:rsidR="00451754">
              <w:rPr>
                <w:szCs w:val="18"/>
              </w:rPr>
              <w:t>Synchronisation</w:t>
            </w:r>
            <w:r w:rsidR="00451754" w:rsidRPr="00992545">
              <w:rPr>
                <w:szCs w:val="18"/>
              </w:rPr>
              <w:t xml:space="preserve"> of pending switch</w:t>
            </w:r>
            <w:r w:rsidR="00D17C83">
              <w:rPr>
                <w:szCs w:val="18"/>
              </w:rPr>
              <w:t xml:space="preserve"> </w:t>
            </w:r>
            <w:r w:rsidR="00451754" w:rsidRPr="00992545">
              <w:rPr>
                <w:szCs w:val="18"/>
              </w:rPr>
              <w:t>(used to update access controls to allow agent/settlement updates)</w:t>
            </w:r>
          </w:p>
          <w:p w14:paraId="49E0F310" w14:textId="46809146" w:rsidR="00451754" w:rsidRPr="00992545" w:rsidRDefault="00DB63D0" w:rsidP="00746018">
            <w:pPr>
              <w:pStyle w:val="TableText-Left"/>
              <w:rPr>
                <w:szCs w:val="18"/>
              </w:rPr>
            </w:pPr>
            <w:r>
              <w:rPr>
                <w:szCs w:val="18"/>
              </w:rPr>
              <w:t>MPAS</w:t>
            </w:r>
            <w:r w:rsidR="00451754" w:rsidRPr="00992545">
              <w:rPr>
                <w:szCs w:val="18"/>
              </w:rPr>
              <w:t xml:space="preserve">: </w:t>
            </w:r>
            <w:r w:rsidR="00451754">
              <w:rPr>
                <w:szCs w:val="18"/>
              </w:rPr>
              <w:t>Synchronisation</w:t>
            </w:r>
            <w:r w:rsidR="00451754" w:rsidRPr="00992545">
              <w:rPr>
                <w:szCs w:val="18"/>
              </w:rPr>
              <w:t xml:space="preserve"> of pending switch (used to update access controls to allow agent/settlement updates)</w:t>
            </w:r>
          </w:p>
        </w:tc>
      </w:tr>
      <w:tr w:rsidR="00451754" w:rsidRPr="00992545" w14:paraId="108FCDEB" w14:textId="77777777" w:rsidTr="00451754">
        <w:tc>
          <w:tcPr>
            <w:tcW w:w="1796" w:type="pct"/>
            <w:tcMar>
              <w:top w:w="0" w:type="dxa"/>
              <w:left w:w="108" w:type="dxa"/>
              <w:bottom w:w="0" w:type="dxa"/>
              <w:right w:w="108" w:type="dxa"/>
            </w:tcMar>
            <w:hideMark/>
          </w:tcPr>
          <w:p w14:paraId="145A6E7E" w14:textId="77777777" w:rsidR="00451754" w:rsidRPr="00992545" w:rsidRDefault="00451754" w:rsidP="00746018">
            <w:pPr>
              <w:pStyle w:val="TableText-Left"/>
              <w:rPr>
                <w:szCs w:val="18"/>
              </w:rPr>
            </w:pPr>
            <w:r w:rsidRPr="00992545">
              <w:rPr>
                <w:szCs w:val="18"/>
              </w:rPr>
              <w:t>Switch request secured (gate closure on D-1)</w:t>
            </w:r>
          </w:p>
        </w:tc>
        <w:tc>
          <w:tcPr>
            <w:tcW w:w="3204" w:type="pct"/>
            <w:tcMar>
              <w:top w:w="0" w:type="dxa"/>
              <w:left w:w="108" w:type="dxa"/>
              <w:bottom w:w="0" w:type="dxa"/>
              <w:right w:w="108" w:type="dxa"/>
            </w:tcMar>
            <w:hideMark/>
          </w:tcPr>
          <w:p w14:paraId="6C4D81E1" w14:textId="1E3C8FDA" w:rsidR="00451754" w:rsidRPr="00992545" w:rsidRDefault="00451754" w:rsidP="00746018">
            <w:pPr>
              <w:pStyle w:val="TableText-Left"/>
              <w:rPr>
                <w:szCs w:val="18"/>
              </w:rPr>
            </w:pPr>
            <w:r w:rsidRPr="00992545">
              <w:rPr>
                <w:szCs w:val="18"/>
              </w:rPr>
              <w:t xml:space="preserve">ECOES: </w:t>
            </w:r>
            <w:r w:rsidR="007D7B9A">
              <w:rPr>
                <w:szCs w:val="18"/>
              </w:rPr>
              <w:t>Switch Request</w:t>
            </w:r>
            <w:r w:rsidRPr="00992545">
              <w:rPr>
                <w:szCs w:val="18"/>
              </w:rPr>
              <w:t xml:space="preserve"> status update (secured)</w:t>
            </w:r>
          </w:p>
          <w:p w14:paraId="747C9816" w14:textId="5A148644" w:rsidR="00451754" w:rsidRPr="00992545" w:rsidRDefault="00A1661D" w:rsidP="00746018">
            <w:pPr>
              <w:pStyle w:val="TableText-Left"/>
              <w:rPr>
                <w:szCs w:val="18"/>
              </w:rPr>
            </w:pPr>
            <w:r>
              <w:rPr>
                <w:szCs w:val="18"/>
              </w:rPr>
              <w:t>DES</w:t>
            </w:r>
            <w:r w:rsidR="00451754" w:rsidRPr="00992545">
              <w:rPr>
                <w:szCs w:val="18"/>
              </w:rPr>
              <w:t xml:space="preserve">: </w:t>
            </w:r>
            <w:r w:rsidR="007D7B9A">
              <w:rPr>
                <w:szCs w:val="18"/>
              </w:rPr>
              <w:t>Switch Request</w:t>
            </w:r>
            <w:r w:rsidR="00451754" w:rsidRPr="00992545">
              <w:rPr>
                <w:szCs w:val="18"/>
              </w:rPr>
              <w:t xml:space="preserve"> state update (secured)</w:t>
            </w:r>
          </w:p>
          <w:p w14:paraId="6AE36DDD" w14:textId="77777777" w:rsidR="00451754" w:rsidRPr="00992545" w:rsidRDefault="00451754" w:rsidP="00746018">
            <w:pPr>
              <w:pStyle w:val="TableText-Left"/>
              <w:rPr>
                <w:szCs w:val="18"/>
              </w:rPr>
            </w:pPr>
            <w:r w:rsidRPr="00992545">
              <w:rPr>
                <w:szCs w:val="18"/>
              </w:rPr>
              <w:t xml:space="preserve">DCC: </w:t>
            </w:r>
            <w:r>
              <w:rPr>
                <w:szCs w:val="18"/>
              </w:rPr>
              <w:t>Synchronisation</w:t>
            </w:r>
            <w:r w:rsidRPr="00992545">
              <w:rPr>
                <w:szCs w:val="18"/>
              </w:rPr>
              <w:t xml:space="preserve"> that </w:t>
            </w:r>
            <w:r w:rsidR="007D7B9A">
              <w:rPr>
                <w:szCs w:val="18"/>
              </w:rPr>
              <w:t>Switch Request</w:t>
            </w:r>
            <w:r w:rsidRPr="00992545">
              <w:rPr>
                <w:szCs w:val="18"/>
              </w:rPr>
              <w:t xml:space="preserve"> has become irrevocable (used to update access controls)</w:t>
            </w:r>
          </w:p>
          <w:p w14:paraId="31FAAA73" w14:textId="4159DF78" w:rsidR="00451754" w:rsidRPr="00992545" w:rsidRDefault="00A1661D" w:rsidP="00746018">
            <w:pPr>
              <w:pStyle w:val="TableText-Left"/>
              <w:rPr>
                <w:szCs w:val="18"/>
              </w:rPr>
            </w:pPr>
            <w:r>
              <w:rPr>
                <w:szCs w:val="18"/>
              </w:rPr>
              <w:t>UK Link</w:t>
            </w:r>
            <w:r w:rsidR="00451754" w:rsidRPr="00992545">
              <w:rPr>
                <w:szCs w:val="18"/>
              </w:rPr>
              <w:t xml:space="preserve">: </w:t>
            </w:r>
            <w:r w:rsidR="00451754">
              <w:rPr>
                <w:szCs w:val="18"/>
              </w:rPr>
              <w:t>Synchronisation</w:t>
            </w:r>
            <w:r w:rsidR="00451754" w:rsidRPr="00992545">
              <w:rPr>
                <w:szCs w:val="18"/>
              </w:rPr>
              <w:t xml:space="preserve"> that </w:t>
            </w:r>
            <w:r w:rsidR="007D7B9A">
              <w:rPr>
                <w:szCs w:val="18"/>
              </w:rPr>
              <w:t>Switch Request</w:t>
            </w:r>
            <w:r w:rsidR="00451754" w:rsidRPr="00992545">
              <w:rPr>
                <w:szCs w:val="18"/>
              </w:rPr>
              <w:t xml:space="preserve"> has become irrevocable (used to update access controls)</w:t>
            </w:r>
          </w:p>
          <w:p w14:paraId="7869DEA8" w14:textId="5E1BC101" w:rsidR="00451754" w:rsidRPr="00992545" w:rsidRDefault="00DB63D0" w:rsidP="00746018">
            <w:pPr>
              <w:pStyle w:val="TableText-Left"/>
              <w:rPr>
                <w:szCs w:val="18"/>
              </w:rPr>
            </w:pPr>
            <w:r>
              <w:rPr>
                <w:szCs w:val="18"/>
              </w:rPr>
              <w:t>MPAS</w:t>
            </w:r>
            <w:r w:rsidR="00451754" w:rsidRPr="00992545">
              <w:rPr>
                <w:szCs w:val="18"/>
              </w:rPr>
              <w:t xml:space="preserve">: </w:t>
            </w:r>
            <w:r w:rsidR="00451754">
              <w:rPr>
                <w:szCs w:val="18"/>
              </w:rPr>
              <w:t>Synchronisation</w:t>
            </w:r>
            <w:r w:rsidR="00451754" w:rsidRPr="00992545">
              <w:rPr>
                <w:szCs w:val="18"/>
              </w:rPr>
              <w:t xml:space="preserve"> that </w:t>
            </w:r>
            <w:r w:rsidR="007D7B9A">
              <w:rPr>
                <w:szCs w:val="18"/>
              </w:rPr>
              <w:t>Switch Request</w:t>
            </w:r>
            <w:r w:rsidR="00451754" w:rsidRPr="00992545">
              <w:rPr>
                <w:szCs w:val="18"/>
              </w:rPr>
              <w:t xml:space="preserve"> has become irrevocable (used to update access controls)</w:t>
            </w:r>
          </w:p>
        </w:tc>
      </w:tr>
      <w:tr w:rsidR="00451754" w:rsidRPr="00992545" w14:paraId="064CFD88" w14:textId="77777777" w:rsidTr="00451754">
        <w:tc>
          <w:tcPr>
            <w:tcW w:w="1796" w:type="pct"/>
            <w:tcMar>
              <w:top w:w="0" w:type="dxa"/>
              <w:left w:w="108" w:type="dxa"/>
              <w:bottom w:w="0" w:type="dxa"/>
              <w:right w:w="108" w:type="dxa"/>
            </w:tcMar>
            <w:hideMark/>
          </w:tcPr>
          <w:p w14:paraId="77DB5FA6" w14:textId="77777777" w:rsidR="00451754" w:rsidRPr="00992545" w:rsidRDefault="00451754" w:rsidP="00746018">
            <w:pPr>
              <w:pStyle w:val="TableText-Left"/>
              <w:rPr>
                <w:szCs w:val="18"/>
              </w:rPr>
            </w:pPr>
            <w:r w:rsidRPr="00992545">
              <w:rPr>
                <w:szCs w:val="18"/>
              </w:rPr>
              <w:t>Agent update</w:t>
            </w:r>
          </w:p>
        </w:tc>
        <w:tc>
          <w:tcPr>
            <w:tcW w:w="3204" w:type="pct"/>
            <w:tcMar>
              <w:top w:w="0" w:type="dxa"/>
              <w:left w:w="108" w:type="dxa"/>
              <w:bottom w:w="0" w:type="dxa"/>
              <w:right w:w="108" w:type="dxa"/>
            </w:tcMar>
            <w:hideMark/>
          </w:tcPr>
          <w:p w14:paraId="35F154BF" w14:textId="77777777" w:rsidR="00451754" w:rsidRPr="00992545" w:rsidRDefault="00451754" w:rsidP="00746018">
            <w:pPr>
              <w:pStyle w:val="TableText-Left"/>
              <w:rPr>
                <w:szCs w:val="18"/>
              </w:rPr>
            </w:pPr>
            <w:r w:rsidRPr="00992545">
              <w:rPr>
                <w:szCs w:val="18"/>
              </w:rPr>
              <w:t>DCC: used to update access controls (for agents)</w:t>
            </w:r>
          </w:p>
        </w:tc>
      </w:tr>
      <w:tr w:rsidR="00451754" w:rsidRPr="00992545" w14:paraId="359E0754" w14:textId="77777777" w:rsidTr="00451754">
        <w:tc>
          <w:tcPr>
            <w:tcW w:w="1796" w:type="pct"/>
            <w:tcMar>
              <w:top w:w="0" w:type="dxa"/>
              <w:left w:w="108" w:type="dxa"/>
              <w:bottom w:w="0" w:type="dxa"/>
              <w:right w:w="108" w:type="dxa"/>
            </w:tcMar>
            <w:hideMark/>
          </w:tcPr>
          <w:p w14:paraId="52A6EB39" w14:textId="77777777" w:rsidR="00451754" w:rsidRPr="00992545" w:rsidRDefault="00451754" w:rsidP="00746018">
            <w:pPr>
              <w:pStyle w:val="TableText-Left"/>
              <w:rPr>
                <w:szCs w:val="18"/>
              </w:rPr>
            </w:pPr>
            <w:r w:rsidRPr="00992545">
              <w:rPr>
                <w:szCs w:val="18"/>
              </w:rPr>
              <w:t>Change of shipper</w:t>
            </w:r>
          </w:p>
        </w:tc>
        <w:tc>
          <w:tcPr>
            <w:tcW w:w="3204" w:type="pct"/>
            <w:tcMar>
              <w:top w:w="0" w:type="dxa"/>
              <w:left w:w="108" w:type="dxa"/>
              <w:bottom w:w="0" w:type="dxa"/>
              <w:right w:w="108" w:type="dxa"/>
            </w:tcMar>
            <w:hideMark/>
          </w:tcPr>
          <w:p w14:paraId="689AD8F9" w14:textId="13726861" w:rsidR="00451754" w:rsidRPr="00992545" w:rsidRDefault="00A1661D" w:rsidP="00746018">
            <w:pPr>
              <w:pStyle w:val="TableText-Left"/>
              <w:rPr>
                <w:szCs w:val="18"/>
              </w:rPr>
            </w:pPr>
            <w:r>
              <w:rPr>
                <w:szCs w:val="18"/>
              </w:rPr>
              <w:t>UK Link</w:t>
            </w:r>
            <w:r w:rsidR="00451754" w:rsidRPr="00992545">
              <w:rPr>
                <w:szCs w:val="18"/>
              </w:rPr>
              <w:t xml:space="preserve">: Used to update access controls </w:t>
            </w:r>
          </w:p>
          <w:p w14:paraId="0DD4BE87" w14:textId="39E1F457" w:rsidR="00451754" w:rsidRPr="00992545" w:rsidRDefault="00A1661D" w:rsidP="00746018">
            <w:pPr>
              <w:pStyle w:val="TableText-Left"/>
              <w:rPr>
                <w:szCs w:val="18"/>
              </w:rPr>
            </w:pPr>
            <w:r>
              <w:rPr>
                <w:szCs w:val="18"/>
              </w:rPr>
              <w:t>DES</w:t>
            </w:r>
            <w:r w:rsidR="00451754" w:rsidRPr="00992545">
              <w:rPr>
                <w:szCs w:val="18"/>
              </w:rPr>
              <w:t>: used to reflect update</w:t>
            </w:r>
          </w:p>
        </w:tc>
      </w:tr>
      <w:tr w:rsidR="00451754" w:rsidRPr="00992545" w14:paraId="2638D304" w14:textId="77777777" w:rsidTr="00451754">
        <w:tc>
          <w:tcPr>
            <w:tcW w:w="1796" w:type="pct"/>
            <w:tcMar>
              <w:top w:w="0" w:type="dxa"/>
              <w:left w:w="108" w:type="dxa"/>
              <w:bottom w:w="0" w:type="dxa"/>
              <w:right w:w="108" w:type="dxa"/>
            </w:tcMar>
            <w:hideMark/>
          </w:tcPr>
          <w:p w14:paraId="0A8BE388" w14:textId="77777777" w:rsidR="00451754" w:rsidRPr="00992545" w:rsidRDefault="00451754" w:rsidP="00746018">
            <w:pPr>
              <w:pStyle w:val="TableText-Left"/>
              <w:rPr>
                <w:szCs w:val="18"/>
              </w:rPr>
            </w:pPr>
            <w:r w:rsidRPr="00992545">
              <w:rPr>
                <w:szCs w:val="18"/>
              </w:rPr>
              <w:t>Change of domestic/non-domestic indicator</w:t>
            </w:r>
          </w:p>
        </w:tc>
        <w:tc>
          <w:tcPr>
            <w:tcW w:w="3204" w:type="pct"/>
            <w:tcMar>
              <w:top w:w="0" w:type="dxa"/>
              <w:left w:w="108" w:type="dxa"/>
              <w:bottom w:w="0" w:type="dxa"/>
              <w:right w:w="108" w:type="dxa"/>
            </w:tcMar>
            <w:hideMark/>
          </w:tcPr>
          <w:p w14:paraId="33A48CDB" w14:textId="5273F372" w:rsidR="00451754" w:rsidRPr="00992545" w:rsidRDefault="00A1661D" w:rsidP="00746018">
            <w:pPr>
              <w:pStyle w:val="TableText-Left"/>
              <w:rPr>
                <w:szCs w:val="18"/>
              </w:rPr>
            </w:pPr>
            <w:r>
              <w:rPr>
                <w:szCs w:val="18"/>
              </w:rPr>
              <w:t>UK Link</w:t>
            </w:r>
            <w:r w:rsidR="00451754" w:rsidRPr="00992545">
              <w:rPr>
                <w:szCs w:val="18"/>
              </w:rPr>
              <w:t>: used to update settlement values</w:t>
            </w:r>
          </w:p>
          <w:p w14:paraId="4ABC8D18" w14:textId="4025E242" w:rsidR="00451754" w:rsidRPr="00992545" w:rsidRDefault="00DB63D0" w:rsidP="00746018">
            <w:pPr>
              <w:pStyle w:val="TableText-Left"/>
              <w:rPr>
                <w:szCs w:val="18"/>
              </w:rPr>
            </w:pPr>
            <w:r>
              <w:rPr>
                <w:szCs w:val="18"/>
              </w:rPr>
              <w:t>MPAS</w:t>
            </w:r>
            <w:r w:rsidR="00451754" w:rsidRPr="00992545">
              <w:rPr>
                <w:szCs w:val="18"/>
              </w:rPr>
              <w:t>: used to update settlement values</w:t>
            </w:r>
          </w:p>
          <w:p w14:paraId="3E7D9BE6" w14:textId="1D25EC44" w:rsidR="00451754" w:rsidRPr="00992545" w:rsidRDefault="00451754" w:rsidP="00746018">
            <w:pPr>
              <w:pStyle w:val="TableText-Left"/>
              <w:rPr>
                <w:szCs w:val="18"/>
              </w:rPr>
            </w:pPr>
            <w:r w:rsidRPr="00992545">
              <w:rPr>
                <w:szCs w:val="18"/>
              </w:rPr>
              <w:t xml:space="preserve">DCC: stored in </w:t>
            </w:r>
            <w:r w:rsidR="003D3FDC">
              <w:rPr>
                <w:szCs w:val="18"/>
              </w:rPr>
              <w:t>service</w:t>
            </w:r>
          </w:p>
          <w:p w14:paraId="73D299A6" w14:textId="1C970F47" w:rsidR="00451754" w:rsidRPr="00992545" w:rsidRDefault="00451754" w:rsidP="00746018">
            <w:pPr>
              <w:pStyle w:val="TableText-Left"/>
              <w:rPr>
                <w:szCs w:val="18"/>
              </w:rPr>
            </w:pPr>
            <w:r w:rsidRPr="00992545">
              <w:rPr>
                <w:szCs w:val="18"/>
              </w:rPr>
              <w:t>ECOES: used to reflect update</w:t>
            </w:r>
          </w:p>
          <w:p w14:paraId="715D6000" w14:textId="19C13DBA" w:rsidR="00451754" w:rsidRPr="00992545" w:rsidRDefault="00A1661D" w:rsidP="00746018">
            <w:pPr>
              <w:pStyle w:val="TableText-Left"/>
              <w:rPr>
                <w:szCs w:val="18"/>
              </w:rPr>
            </w:pPr>
            <w:r>
              <w:rPr>
                <w:szCs w:val="18"/>
              </w:rPr>
              <w:t>DES</w:t>
            </w:r>
            <w:r w:rsidR="00451754" w:rsidRPr="00992545">
              <w:rPr>
                <w:szCs w:val="18"/>
              </w:rPr>
              <w:t>: used to reflect update</w:t>
            </w:r>
          </w:p>
        </w:tc>
      </w:tr>
      <w:tr w:rsidR="00451754" w:rsidRPr="00992545" w14:paraId="2C364427" w14:textId="77777777" w:rsidTr="00451754">
        <w:tc>
          <w:tcPr>
            <w:tcW w:w="1796" w:type="pct"/>
            <w:tcMar>
              <w:top w:w="0" w:type="dxa"/>
              <w:left w:w="108" w:type="dxa"/>
              <w:bottom w:w="0" w:type="dxa"/>
              <w:right w:w="108" w:type="dxa"/>
            </w:tcMar>
            <w:hideMark/>
          </w:tcPr>
          <w:p w14:paraId="6D041365" w14:textId="77777777" w:rsidR="00451754" w:rsidRPr="00992545" w:rsidRDefault="00451754" w:rsidP="00746018">
            <w:pPr>
              <w:pStyle w:val="TableText-Left"/>
              <w:rPr>
                <w:szCs w:val="18"/>
              </w:rPr>
            </w:pPr>
            <w:r w:rsidRPr="00992545">
              <w:rPr>
                <w:szCs w:val="18"/>
              </w:rPr>
              <w:t>Switch Objected</w:t>
            </w:r>
          </w:p>
        </w:tc>
        <w:tc>
          <w:tcPr>
            <w:tcW w:w="3204" w:type="pct"/>
            <w:tcMar>
              <w:top w:w="0" w:type="dxa"/>
              <w:left w:w="108" w:type="dxa"/>
              <w:bottom w:w="0" w:type="dxa"/>
              <w:right w:w="108" w:type="dxa"/>
            </w:tcMar>
            <w:hideMark/>
          </w:tcPr>
          <w:p w14:paraId="50690CD1" w14:textId="1665657F" w:rsidR="00451754" w:rsidRPr="00992545" w:rsidRDefault="00451754" w:rsidP="00746018">
            <w:pPr>
              <w:pStyle w:val="TableText-Left"/>
              <w:rPr>
                <w:szCs w:val="18"/>
              </w:rPr>
            </w:pPr>
            <w:r w:rsidRPr="00992545">
              <w:rPr>
                <w:szCs w:val="18"/>
              </w:rPr>
              <w:t xml:space="preserve">ECOES: </w:t>
            </w:r>
            <w:r>
              <w:rPr>
                <w:szCs w:val="18"/>
              </w:rPr>
              <w:t>Synchronisation</w:t>
            </w:r>
            <w:r w:rsidRPr="00992545">
              <w:rPr>
                <w:szCs w:val="18"/>
              </w:rPr>
              <w:t xml:space="preserve"> of switch </w:t>
            </w:r>
            <w:r w:rsidR="00317DF0" w:rsidRPr="00992545">
              <w:rPr>
                <w:szCs w:val="18"/>
              </w:rPr>
              <w:t>cancellation</w:t>
            </w:r>
          </w:p>
          <w:p w14:paraId="078B23F5" w14:textId="6825BE93" w:rsidR="00774005" w:rsidRDefault="00A1661D" w:rsidP="00774005">
            <w:pPr>
              <w:pStyle w:val="TableText-Left"/>
              <w:rPr>
                <w:szCs w:val="18"/>
              </w:rPr>
            </w:pPr>
            <w:r>
              <w:rPr>
                <w:szCs w:val="18"/>
              </w:rPr>
              <w:t>DES</w:t>
            </w:r>
            <w:r w:rsidR="00451754" w:rsidRPr="00992545">
              <w:rPr>
                <w:szCs w:val="18"/>
              </w:rPr>
              <w:t xml:space="preserve">: </w:t>
            </w:r>
            <w:r w:rsidR="00451754">
              <w:rPr>
                <w:szCs w:val="18"/>
              </w:rPr>
              <w:t>Synchronisation of switch cancellation</w:t>
            </w:r>
            <w:r w:rsidR="00774005">
              <w:rPr>
                <w:szCs w:val="18"/>
              </w:rPr>
              <w:t xml:space="preserve"> </w:t>
            </w:r>
          </w:p>
          <w:p w14:paraId="75029996" w14:textId="09F827C3" w:rsidR="00774005" w:rsidRDefault="00774005" w:rsidP="00774005">
            <w:pPr>
              <w:pStyle w:val="TableText-Left"/>
              <w:rPr>
                <w:szCs w:val="18"/>
              </w:rPr>
            </w:pPr>
            <w:r w:rsidRPr="00992545">
              <w:rPr>
                <w:szCs w:val="18"/>
              </w:rPr>
              <w:t>DCC</w:t>
            </w:r>
            <w:r>
              <w:rPr>
                <w:szCs w:val="18"/>
              </w:rPr>
              <w:t>: Synchronisation</w:t>
            </w:r>
            <w:r w:rsidRPr="00992545">
              <w:rPr>
                <w:szCs w:val="18"/>
              </w:rPr>
              <w:t xml:space="preserve"> of </w:t>
            </w:r>
            <w:r>
              <w:rPr>
                <w:szCs w:val="18"/>
              </w:rPr>
              <w:t xml:space="preserve">Switch </w:t>
            </w:r>
            <w:r w:rsidRPr="00992545">
              <w:rPr>
                <w:szCs w:val="18"/>
              </w:rPr>
              <w:t>cancellation</w:t>
            </w:r>
          </w:p>
          <w:p w14:paraId="7FCAF3F8" w14:textId="0B3D2926" w:rsidR="00774005" w:rsidRPr="00992545" w:rsidRDefault="00A1661D" w:rsidP="00774005">
            <w:pPr>
              <w:pStyle w:val="TableText-Left"/>
              <w:rPr>
                <w:szCs w:val="18"/>
              </w:rPr>
            </w:pPr>
            <w:r>
              <w:rPr>
                <w:szCs w:val="18"/>
              </w:rPr>
              <w:t>UK Link</w:t>
            </w:r>
            <w:r w:rsidR="00774005" w:rsidRPr="00992545">
              <w:rPr>
                <w:szCs w:val="18"/>
              </w:rPr>
              <w:t xml:space="preserve">: </w:t>
            </w:r>
            <w:r w:rsidR="00774005">
              <w:rPr>
                <w:szCs w:val="18"/>
              </w:rPr>
              <w:t>Synchronisation</w:t>
            </w:r>
            <w:r w:rsidR="00774005" w:rsidRPr="00992545">
              <w:rPr>
                <w:szCs w:val="18"/>
              </w:rPr>
              <w:t xml:space="preserve"> of </w:t>
            </w:r>
            <w:r w:rsidR="00774005">
              <w:rPr>
                <w:szCs w:val="18"/>
              </w:rPr>
              <w:t xml:space="preserve">Switch </w:t>
            </w:r>
            <w:r w:rsidR="00774005" w:rsidRPr="00992545">
              <w:rPr>
                <w:szCs w:val="18"/>
              </w:rPr>
              <w:t>cancellation</w:t>
            </w:r>
          </w:p>
          <w:p w14:paraId="691D82F8" w14:textId="4423F4F9" w:rsidR="00451754" w:rsidRPr="00992545" w:rsidRDefault="00DB63D0" w:rsidP="00774005">
            <w:pPr>
              <w:pStyle w:val="TableText-Left"/>
              <w:rPr>
                <w:szCs w:val="18"/>
              </w:rPr>
            </w:pPr>
            <w:r>
              <w:rPr>
                <w:szCs w:val="18"/>
              </w:rPr>
              <w:t>MPAS</w:t>
            </w:r>
            <w:r w:rsidR="00774005" w:rsidRPr="00992545">
              <w:rPr>
                <w:szCs w:val="18"/>
              </w:rPr>
              <w:t xml:space="preserve">: </w:t>
            </w:r>
            <w:r w:rsidR="00774005">
              <w:rPr>
                <w:szCs w:val="18"/>
              </w:rPr>
              <w:t>Synchronisation</w:t>
            </w:r>
            <w:r w:rsidR="00774005" w:rsidRPr="00992545">
              <w:rPr>
                <w:szCs w:val="18"/>
              </w:rPr>
              <w:t xml:space="preserve"> of </w:t>
            </w:r>
            <w:r w:rsidR="00774005">
              <w:rPr>
                <w:szCs w:val="18"/>
              </w:rPr>
              <w:t xml:space="preserve">Switch </w:t>
            </w:r>
            <w:r w:rsidR="00774005" w:rsidRPr="00992545">
              <w:rPr>
                <w:szCs w:val="18"/>
              </w:rPr>
              <w:t>cancellation</w:t>
            </w:r>
          </w:p>
        </w:tc>
      </w:tr>
      <w:tr w:rsidR="00451754" w:rsidRPr="00992545" w14:paraId="6D28C5D5" w14:textId="77777777" w:rsidTr="00451754">
        <w:tc>
          <w:tcPr>
            <w:tcW w:w="1796" w:type="pct"/>
            <w:tcMar>
              <w:top w:w="0" w:type="dxa"/>
              <w:left w:w="108" w:type="dxa"/>
              <w:bottom w:w="0" w:type="dxa"/>
              <w:right w:w="108" w:type="dxa"/>
            </w:tcMar>
            <w:hideMark/>
          </w:tcPr>
          <w:p w14:paraId="38E160C3" w14:textId="77777777" w:rsidR="00451754" w:rsidRPr="00992545" w:rsidRDefault="00451754" w:rsidP="00746018">
            <w:pPr>
              <w:pStyle w:val="TableText-Left"/>
              <w:rPr>
                <w:szCs w:val="18"/>
              </w:rPr>
            </w:pPr>
            <w:r w:rsidRPr="00992545">
              <w:rPr>
                <w:szCs w:val="18"/>
              </w:rPr>
              <w:t>Switch Withdrawn</w:t>
            </w:r>
          </w:p>
          <w:p w14:paraId="3949F574" w14:textId="77777777" w:rsidR="00451754" w:rsidRPr="00992545" w:rsidRDefault="00451754" w:rsidP="00746018">
            <w:pPr>
              <w:pStyle w:val="TableText-Left"/>
              <w:rPr>
                <w:szCs w:val="18"/>
              </w:rPr>
            </w:pPr>
            <w:r w:rsidRPr="00992545">
              <w:rPr>
                <w:szCs w:val="18"/>
              </w:rPr>
              <w:t>Switch Annulled</w:t>
            </w:r>
          </w:p>
        </w:tc>
        <w:tc>
          <w:tcPr>
            <w:tcW w:w="3204" w:type="pct"/>
            <w:tcMar>
              <w:top w:w="0" w:type="dxa"/>
              <w:left w:w="108" w:type="dxa"/>
              <w:bottom w:w="0" w:type="dxa"/>
              <w:right w:w="108" w:type="dxa"/>
            </w:tcMar>
            <w:hideMark/>
          </w:tcPr>
          <w:p w14:paraId="655A2A19" w14:textId="4039195C" w:rsidR="00451754" w:rsidRPr="00992545" w:rsidRDefault="00A1661D" w:rsidP="00746018">
            <w:pPr>
              <w:pStyle w:val="TableText-Left"/>
              <w:rPr>
                <w:szCs w:val="18"/>
              </w:rPr>
            </w:pPr>
            <w:r>
              <w:rPr>
                <w:szCs w:val="18"/>
              </w:rPr>
              <w:t>UK Link</w:t>
            </w:r>
            <w:r w:rsidR="00451754" w:rsidRPr="00992545">
              <w:rPr>
                <w:szCs w:val="18"/>
              </w:rPr>
              <w:t xml:space="preserve">: </w:t>
            </w:r>
            <w:r w:rsidR="00451754">
              <w:rPr>
                <w:szCs w:val="18"/>
              </w:rPr>
              <w:t>Synchronisation</w:t>
            </w:r>
            <w:r w:rsidR="00451754" w:rsidRPr="00992545">
              <w:rPr>
                <w:szCs w:val="18"/>
              </w:rPr>
              <w:t xml:space="preserve"> of switch cancellation</w:t>
            </w:r>
            <w:r w:rsidR="00650A2A">
              <w:rPr>
                <w:szCs w:val="18"/>
              </w:rPr>
              <w:t xml:space="preserve"> (note: </w:t>
            </w:r>
            <w:r w:rsidR="00650A2A">
              <w:t>this does not happen at switch validated)</w:t>
            </w:r>
          </w:p>
          <w:p w14:paraId="4F0DDB72" w14:textId="0376879C" w:rsidR="00451754" w:rsidRPr="00992545" w:rsidRDefault="00DB63D0" w:rsidP="00746018">
            <w:pPr>
              <w:pStyle w:val="TableText-Left"/>
              <w:rPr>
                <w:szCs w:val="18"/>
              </w:rPr>
            </w:pPr>
            <w:r>
              <w:rPr>
                <w:szCs w:val="18"/>
              </w:rPr>
              <w:t>MPAS</w:t>
            </w:r>
            <w:r w:rsidR="00451754" w:rsidRPr="00992545">
              <w:rPr>
                <w:szCs w:val="18"/>
              </w:rPr>
              <w:t xml:space="preserve">: </w:t>
            </w:r>
            <w:r w:rsidR="00451754">
              <w:rPr>
                <w:szCs w:val="18"/>
              </w:rPr>
              <w:t>Synchronisation</w:t>
            </w:r>
            <w:r w:rsidR="00451754" w:rsidRPr="00992545">
              <w:rPr>
                <w:szCs w:val="18"/>
              </w:rPr>
              <w:t xml:space="preserve"> of switch cancellation</w:t>
            </w:r>
            <w:r w:rsidR="00650A2A">
              <w:rPr>
                <w:szCs w:val="18"/>
              </w:rPr>
              <w:t xml:space="preserve"> (note: </w:t>
            </w:r>
            <w:r w:rsidR="00650A2A">
              <w:t>this does not happen at switch validated)</w:t>
            </w:r>
          </w:p>
          <w:p w14:paraId="61A88080" w14:textId="7CDA03CF" w:rsidR="00451754" w:rsidRPr="00992545" w:rsidRDefault="00451754" w:rsidP="00746018">
            <w:pPr>
              <w:pStyle w:val="TableText-Left"/>
              <w:rPr>
                <w:szCs w:val="18"/>
              </w:rPr>
            </w:pPr>
            <w:r w:rsidRPr="00992545">
              <w:rPr>
                <w:szCs w:val="18"/>
              </w:rPr>
              <w:t xml:space="preserve">ECOES: </w:t>
            </w:r>
            <w:r>
              <w:rPr>
                <w:szCs w:val="18"/>
              </w:rPr>
              <w:t>Synchronisation</w:t>
            </w:r>
            <w:r w:rsidRPr="00992545">
              <w:rPr>
                <w:szCs w:val="18"/>
              </w:rPr>
              <w:t xml:space="preserve"> of switch cancellation</w:t>
            </w:r>
          </w:p>
          <w:p w14:paraId="18569168" w14:textId="0E348BF8" w:rsidR="00451754" w:rsidRPr="00992545" w:rsidRDefault="00A1661D" w:rsidP="00746018">
            <w:pPr>
              <w:pStyle w:val="TableText-Left"/>
              <w:rPr>
                <w:szCs w:val="18"/>
              </w:rPr>
            </w:pPr>
            <w:r>
              <w:rPr>
                <w:szCs w:val="18"/>
              </w:rPr>
              <w:t>DES</w:t>
            </w:r>
            <w:r w:rsidR="00451754" w:rsidRPr="00992545">
              <w:rPr>
                <w:szCs w:val="18"/>
              </w:rPr>
              <w:t xml:space="preserve">: </w:t>
            </w:r>
            <w:r w:rsidR="00451754">
              <w:rPr>
                <w:szCs w:val="18"/>
              </w:rPr>
              <w:t>Synchronisation</w:t>
            </w:r>
            <w:r w:rsidR="00451754" w:rsidRPr="00992545">
              <w:rPr>
                <w:szCs w:val="18"/>
              </w:rPr>
              <w:t xml:space="preserve"> of switch cancellation</w:t>
            </w:r>
          </w:p>
          <w:p w14:paraId="5F9EE0F3" w14:textId="2FC92BB6" w:rsidR="00451754" w:rsidRPr="00992545" w:rsidRDefault="00451754" w:rsidP="00746018">
            <w:pPr>
              <w:pStyle w:val="TableText-Left"/>
              <w:rPr>
                <w:szCs w:val="18"/>
              </w:rPr>
            </w:pPr>
            <w:r w:rsidRPr="00992545">
              <w:rPr>
                <w:szCs w:val="18"/>
              </w:rPr>
              <w:t xml:space="preserve">DCC: </w:t>
            </w:r>
            <w:r>
              <w:rPr>
                <w:szCs w:val="18"/>
              </w:rPr>
              <w:t>Synchronisation</w:t>
            </w:r>
            <w:r w:rsidRPr="00992545">
              <w:rPr>
                <w:szCs w:val="18"/>
              </w:rPr>
              <w:t xml:space="preserve"> of switch cancellation </w:t>
            </w:r>
            <w:r w:rsidR="00650A2A">
              <w:rPr>
                <w:szCs w:val="18"/>
              </w:rPr>
              <w:t xml:space="preserve">(note: </w:t>
            </w:r>
            <w:r w:rsidR="00650A2A">
              <w:t>this does not happen at switch validated)</w:t>
            </w:r>
          </w:p>
        </w:tc>
      </w:tr>
      <w:tr w:rsidR="00451754" w:rsidRPr="00992545" w14:paraId="32AD486B" w14:textId="77777777" w:rsidTr="00451754">
        <w:tc>
          <w:tcPr>
            <w:tcW w:w="1796" w:type="pct"/>
            <w:tcMar>
              <w:top w:w="0" w:type="dxa"/>
              <w:left w:w="108" w:type="dxa"/>
              <w:bottom w:w="0" w:type="dxa"/>
              <w:right w:w="108" w:type="dxa"/>
            </w:tcMar>
            <w:hideMark/>
          </w:tcPr>
          <w:p w14:paraId="503A6A5F" w14:textId="77777777" w:rsidR="00451754" w:rsidRPr="00992545" w:rsidRDefault="00451754" w:rsidP="00746018">
            <w:pPr>
              <w:pStyle w:val="TableText-Left"/>
              <w:rPr>
                <w:szCs w:val="18"/>
              </w:rPr>
            </w:pPr>
            <w:r w:rsidRPr="00992545">
              <w:rPr>
                <w:szCs w:val="18"/>
              </w:rPr>
              <w:t>Deactivate registration</w:t>
            </w:r>
          </w:p>
        </w:tc>
        <w:tc>
          <w:tcPr>
            <w:tcW w:w="3204" w:type="pct"/>
            <w:tcMar>
              <w:top w:w="0" w:type="dxa"/>
              <w:left w:w="108" w:type="dxa"/>
              <w:bottom w:w="0" w:type="dxa"/>
              <w:right w:w="108" w:type="dxa"/>
            </w:tcMar>
            <w:hideMark/>
          </w:tcPr>
          <w:p w14:paraId="6C0FB139" w14:textId="77777777" w:rsidR="00451754" w:rsidRPr="00992545" w:rsidRDefault="00451754" w:rsidP="00746018">
            <w:pPr>
              <w:pStyle w:val="TableText-Left"/>
              <w:rPr>
                <w:szCs w:val="18"/>
              </w:rPr>
            </w:pPr>
            <w:r w:rsidRPr="00992545">
              <w:rPr>
                <w:szCs w:val="18"/>
              </w:rPr>
              <w:t xml:space="preserve">DCC: </w:t>
            </w:r>
            <w:r>
              <w:rPr>
                <w:szCs w:val="18"/>
              </w:rPr>
              <w:t>Synchronisation</w:t>
            </w:r>
            <w:r w:rsidRPr="00992545">
              <w:rPr>
                <w:szCs w:val="18"/>
              </w:rPr>
              <w:t xml:space="preserve"> of registration deactivation</w:t>
            </w:r>
          </w:p>
          <w:p w14:paraId="310EDB6F" w14:textId="3824F0A8" w:rsidR="00451754" w:rsidRPr="00992545" w:rsidRDefault="00451754" w:rsidP="00746018">
            <w:pPr>
              <w:pStyle w:val="TableText-Left"/>
              <w:rPr>
                <w:szCs w:val="18"/>
              </w:rPr>
            </w:pPr>
            <w:r w:rsidRPr="00992545">
              <w:rPr>
                <w:szCs w:val="18"/>
              </w:rPr>
              <w:t xml:space="preserve">ECOES: </w:t>
            </w:r>
            <w:r>
              <w:rPr>
                <w:szCs w:val="18"/>
              </w:rPr>
              <w:t>Synchronisation</w:t>
            </w:r>
            <w:r w:rsidRPr="00992545">
              <w:rPr>
                <w:szCs w:val="18"/>
              </w:rPr>
              <w:t xml:space="preserve"> of registration deactivation</w:t>
            </w:r>
          </w:p>
          <w:p w14:paraId="5F76D4F7" w14:textId="08B7ACAF" w:rsidR="00451754" w:rsidRDefault="00A1661D" w:rsidP="00746018">
            <w:pPr>
              <w:pStyle w:val="TableText-Left"/>
              <w:rPr>
                <w:szCs w:val="18"/>
              </w:rPr>
            </w:pPr>
            <w:r>
              <w:rPr>
                <w:szCs w:val="18"/>
              </w:rPr>
              <w:t>DES</w:t>
            </w:r>
            <w:r w:rsidR="00451754" w:rsidRPr="00992545">
              <w:rPr>
                <w:szCs w:val="18"/>
              </w:rPr>
              <w:t xml:space="preserve">: </w:t>
            </w:r>
            <w:r w:rsidR="00451754">
              <w:rPr>
                <w:szCs w:val="18"/>
              </w:rPr>
              <w:t>Synchronisation</w:t>
            </w:r>
            <w:r w:rsidR="00451754" w:rsidRPr="00992545">
              <w:rPr>
                <w:szCs w:val="18"/>
              </w:rPr>
              <w:t xml:space="preserve"> of registration deactivation</w:t>
            </w:r>
          </w:p>
          <w:p w14:paraId="595A092A" w14:textId="217F4830" w:rsidR="00607BFB" w:rsidRPr="00992545" w:rsidRDefault="00A1661D" w:rsidP="00607BFB">
            <w:pPr>
              <w:pStyle w:val="TableText-Left"/>
              <w:rPr>
                <w:szCs w:val="18"/>
              </w:rPr>
            </w:pPr>
            <w:r>
              <w:rPr>
                <w:szCs w:val="18"/>
              </w:rPr>
              <w:t>UK Link</w:t>
            </w:r>
            <w:r w:rsidR="00607BFB" w:rsidRPr="00992545">
              <w:rPr>
                <w:szCs w:val="18"/>
              </w:rPr>
              <w:t xml:space="preserve">: </w:t>
            </w:r>
            <w:r w:rsidR="00607BFB">
              <w:rPr>
                <w:szCs w:val="18"/>
              </w:rPr>
              <w:t>Synchronisation</w:t>
            </w:r>
            <w:r w:rsidR="00607BFB" w:rsidRPr="00992545">
              <w:rPr>
                <w:szCs w:val="18"/>
              </w:rPr>
              <w:t xml:space="preserve"> of registration deactivation</w:t>
            </w:r>
          </w:p>
          <w:p w14:paraId="2204F164" w14:textId="421506AE" w:rsidR="00607BFB" w:rsidRPr="00992545" w:rsidRDefault="00DB63D0" w:rsidP="00746018">
            <w:pPr>
              <w:pStyle w:val="TableText-Left"/>
              <w:rPr>
                <w:szCs w:val="18"/>
              </w:rPr>
            </w:pPr>
            <w:r>
              <w:rPr>
                <w:szCs w:val="18"/>
              </w:rPr>
              <w:t>MPAS</w:t>
            </w:r>
            <w:r w:rsidR="00607BFB" w:rsidRPr="00992545">
              <w:rPr>
                <w:szCs w:val="18"/>
              </w:rPr>
              <w:t xml:space="preserve">: </w:t>
            </w:r>
            <w:r w:rsidR="00607BFB">
              <w:rPr>
                <w:szCs w:val="18"/>
              </w:rPr>
              <w:t>Synchronisation</w:t>
            </w:r>
            <w:r w:rsidR="00607BFB" w:rsidRPr="00992545">
              <w:rPr>
                <w:szCs w:val="18"/>
              </w:rPr>
              <w:t xml:space="preserve"> of registration deactivation</w:t>
            </w:r>
          </w:p>
        </w:tc>
      </w:tr>
    </w:tbl>
    <w:p w14:paraId="3CC00876" w14:textId="77777777" w:rsidR="003C1268" w:rsidRDefault="003C1268" w:rsidP="001B2CCC">
      <w:pPr>
        <w:pStyle w:val="Paragrapgh"/>
      </w:pPr>
      <w:r>
        <w:t xml:space="preserve">Inbound interfaces to CSS follow the </w:t>
      </w:r>
      <w:r w:rsidRPr="00FC37A9">
        <w:rPr>
          <w:b/>
        </w:rPr>
        <w:t>Update</w:t>
      </w:r>
      <w:r>
        <w:t xml:space="preserve"> interaction pattern:</w:t>
      </w:r>
    </w:p>
    <w:p w14:paraId="2E117DAC" w14:textId="2E05EB3F" w:rsidR="003C1268" w:rsidRDefault="001B2CCC" w:rsidP="00176198">
      <w:pPr>
        <w:pStyle w:val="ListBullet"/>
      </w:pPr>
      <w:bookmarkStart w:id="188" w:name="_Hlk495496589"/>
      <w:bookmarkEnd w:id="187"/>
      <w:r w:rsidRPr="001B2CCC">
        <w:rPr>
          <w:b/>
        </w:rPr>
        <w:t>Update</w:t>
      </w:r>
      <w:r>
        <w:t xml:space="preserve"> - </w:t>
      </w:r>
      <w:r w:rsidR="003C1268" w:rsidRPr="001B2CCC">
        <w:t xml:space="preserve">A mechanism to issue notifications of proposed changes to switching related master data which must be processed by </w:t>
      </w:r>
      <w:r w:rsidR="00650A2A">
        <w:t>CSS</w:t>
      </w:r>
      <w:r w:rsidR="008B2338">
        <w:t xml:space="preserve"> </w:t>
      </w:r>
      <w:r w:rsidR="003C1268" w:rsidRPr="001B2CCC">
        <w:t xml:space="preserve">Acknowledgment of receipt is </w:t>
      </w:r>
      <w:r w:rsidR="0047317B" w:rsidRPr="001B2CCC">
        <w:t>mandatory,</w:t>
      </w:r>
      <w:r w:rsidR="003C1268" w:rsidRPr="001B2CCC">
        <w:t xml:space="preserve"> and a formal response message may be required following processing, but is optional.</w:t>
      </w:r>
      <w:r w:rsidR="008B2338">
        <w:t xml:space="preserve"> </w:t>
      </w:r>
      <w:r w:rsidR="00650A2A">
        <w:t xml:space="preserve">CSS </w:t>
      </w:r>
      <w:r w:rsidR="003C1268" w:rsidRPr="001B2CCC">
        <w:t>must maintain a record of all Updates received and applied.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95"/>
        <w:gridCol w:w="6235"/>
      </w:tblGrid>
      <w:tr w:rsidR="00D01F1B" w:rsidRPr="00992545" w14:paraId="35CF5CDC" w14:textId="77777777" w:rsidTr="00F231CF">
        <w:tc>
          <w:tcPr>
            <w:tcW w:w="1796" w:type="pct"/>
            <w:shd w:val="clear" w:color="auto" w:fill="A6A6A6" w:themeFill="background1" w:themeFillShade="A6"/>
            <w:tcMar>
              <w:top w:w="0" w:type="dxa"/>
              <w:left w:w="108" w:type="dxa"/>
              <w:bottom w:w="0" w:type="dxa"/>
              <w:right w:w="108" w:type="dxa"/>
            </w:tcMar>
            <w:hideMark/>
          </w:tcPr>
          <w:p w14:paraId="4E787A92" w14:textId="77777777" w:rsidR="00D01F1B" w:rsidRPr="00992545" w:rsidRDefault="00D01F1B" w:rsidP="00F231CF">
            <w:pPr>
              <w:pStyle w:val="TableHeadings"/>
            </w:pPr>
            <w:r w:rsidRPr="00992545">
              <w:t>Event</w:t>
            </w:r>
          </w:p>
        </w:tc>
        <w:tc>
          <w:tcPr>
            <w:tcW w:w="3204" w:type="pct"/>
            <w:shd w:val="clear" w:color="auto" w:fill="A6A6A6" w:themeFill="background1" w:themeFillShade="A6"/>
            <w:tcMar>
              <w:top w:w="0" w:type="dxa"/>
              <w:left w:w="108" w:type="dxa"/>
              <w:bottom w:w="0" w:type="dxa"/>
              <w:right w:w="108" w:type="dxa"/>
            </w:tcMar>
            <w:hideMark/>
          </w:tcPr>
          <w:p w14:paraId="7F031F29" w14:textId="79130FB8" w:rsidR="00D01F1B" w:rsidRPr="00992545" w:rsidRDefault="00D01F1B" w:rsidP="00F231CF">
            <w:pPr>
              <w:pStyle w:val="TableHeadings"/>
            </w:pPr>
            <w:r>
              <w:t>Update</w:t>
            </w:r>
          </w:p>
        </w:tc>
      </w:tr>
      <w:tr w:rsidR="00D01F1B" w:rsidRPr="00992545" w14:paraId="24DE274B" w14:textId="77777777" w:rsidTr="00F231CF">
        <w:tc>
          <w:tcPr>
            <w:tcW w:w="1796" w:type="pct"/>
            <w:tcMar>
              <w:top w:w="0" w:type="dxa"/>
              <w:left w:w="108" w:type="dxa"/>
              <w:bottom w:w="0" w:type="dxa"/>
              <w:right w:w="108" w:type="dxa"/>
            </w:tcMar>
            <w:vAlign w:val="center"/>
          </w:tcPr>
          <w:p w14:paraId="5F517AA8" w14:textId="73E9F44C" w:rsidR="00D01F1B" w:rsidRPr="00992545" w:rsidRDefault="00D01F1B" w:rsidP="00D01F1B">
            <w:pPr>
              <w:pStyle w:val="TableText-Left"/>
              <w:rPr>
                <w:szCs w:val="18"/>
              </w:rPr>
            </w:pPr>
            <w:r w:rsidRPr="00974A8C">
              <w:rPr>
                <w:szCs w:val="18"/>
              </w:rPr>
              <w:t>PremisesAddress</w:t>
            </w:r>
          </w:p>
        </w:tc>
        <w:tc>
          <w:tcPr>
            <w:tcW w:w="3204" w:type="pct"/>
            <w:tcMar>
              <w:top w:w="0" w:type="dxa"/>
              <w:left w:w="108" w:type="dxa"/>
              <w:bottom w:w="0" w:type="dxa"/>
              <w:right w:w="108" w:type="dxa"/>
            </w:tcMar>
          </w:tcPr>
          <w:p w14:paraId="53DB732B" w14:textId="3FCC1688" w:rsidR="00D01F1B" w:rsidRPr="00992545" w:rsidRDefault="00317DF0" w:rsidP="00D01F1B">
            <w:pPr>
              <w:pStyle w:val="TableText-Left"/>
              <w:rPr>
                <w:szCs w:val="18"/>
              </w:rPr>
            </w:pPr>
            <w:r>
              <w:rPr>
                <w:szCs w:val="18"/>
              </w:rPr>
              <w:t>GB A</w:t>
            </w:r>
            <w:r w:rsidRPr="00974A8C">
              <w:rPr>
                <w:szCs w:val="18"/>
              </w:rPr>
              <w:t xml:space="preserve">ddress </w:t>
            </w:r>
            <w:r>
              <w:rPr>
                <w:szCs w:val="18"/>
              </w:rPr>
              <w:t>list</w:t>
            </w:r>
            <w:r w:rsidRPr="00974A8C">
              <w:rPr>
                <w:szCs w:val="18"/>
              </w:rPr>
              <w:t xml:space="preserve"> updates for CSS</w:t>
            </w:r>
            <w:r>
              <w:rPr>
                <w:szCs w:val="18"/>
              </w:rPr>
              <w:t>, from the Address Service.</w:t>
            </w:r>
          </w:p>
        </w:tc>
      </w:tr>
      <w:tr w:rsidR="00D01F1B" w:rsidRPr="00992545" w14:paraId="2408C621" w14:textId="77777777" w:rsidTr="00D01F1B">
        <w:tc>
          <w:tcPr>
            <w:tcW w:w="1796" w:type="pct"/>
            <w:tcMar>
              <w:top w:w="0" w:type="dxa"/>
              <w:left w:w="108" w:type="dxa"/>
              <w:bottom w:w="0" w:type="dxa"/>
              <w:right w:w="108" w:type="dxa"/>
            </w:tcMar>
          </w:tcPr>
          <w:p w14:paraId="79962695" w14:textId="4BAAD596" w:rsidR="00D01F1B" w:rsidRPr="00992545" w:rsidRDefault="00D01F1B" w:rsidP="00D01F1B">
            <w:pPr>
              <w:pStyle w:val="TableText-Left"/>
              <w:rPr>
                <w:szCs w:val="18"/>
              </w:rPr>
            </w:pPr>
            <w:r w:rsidRPr="00974A8C">
              <w:rPr>
                <w:szCs w:val="18"/>
              </w:rPr>
              <w:t>RegMgmtRequestSubmission</w:t>
            </w:r>
          </w:p>
        </w:tc>
        <w:tc>
          <w:tcPr>
            <w:tcW w:w="3204" w:type="pct"/>
            <w:tcMar>
              <w:top w:w="0" w:type="dxa"/>
              <w:left w:w="108" w:type="dxa"/>
              <w:bottom w:w="0" w:type="dxa"/>
              <w:right w:w="108" w:type="dxa"/>
            </w:tcMar>
          </w:tcPr>
          <w:p w14:paraId="5F7B9B7C" w14:textId="750572E8" w:rsidR="00D01F1B" w:rsidRPr="00992545" w:rsidRDefault="00D01F1B" w:rsidP="00D01F1B">
            <w:pPr>
              <w:pStyle w:val="TableText-Left"/>
              <w:rPr>
                <w:szCs w:val="18"/>
              </w:rPr>
            </w:pPr>
            <w:r>
              <w:rPr>
                <w:szCs w:val="18"/>
              </w:rPr>
              <w:t xml:space="preserve">The submission of </w:t>
            </w:r>
            <w:r w:rsidR="00E2387B">
              <w:rPr>
                <w:szCs w:val="18"/>
              </w:rPr>
              <w:t xml:space="preserve">Initial registration (by a gaining or an </w:t>
            </w:r>
            <w:r w:rsidR="00107797">
              <w:rPr>
                <w:szCs w:val="18"/>
              </w:rPr>
              <w:t>e</w:t>
            </w:r>
            <w:r w:rsidR="00E2387B">
              <w:rPr>
                <w:szCs w:val="18"/>
              </w:rPr>
              <w:t xml:space="preserve">nforcing Energy Supplier), </w:t>
            </w:r>
            <w:r w:rsidRPr="00974A8C">
              <w:rPr>
                <w:szCs w:val="18"/>
              </w:rPr>
              <w:t>Switch req</w:t>
            </w:r>
            <w:r>
              <w:rPr>
                <w:szCs w:val="18"/>
              </w:rPr>
              <w:t>uests</w:t>
            </w:r>
            <w:r w:rsidR="002457CA">
              <w:rPr>
                <w:szCs w:val="18"/>
              </w:rPr>
              <w:t>,</w:t>
            </w:r>
            <w:r>
              <w:rPr>
                <w:szCs w:val="18"/>
              </w:rPr>
              <w:t xml:space="preserve"> Switch Request </w:t>
            </w:r>
            <w:r w:rsidRPr="00974A8C">
              <w:rPr>
                <w:szCs w:val="18"/>
              </w:rPr>
              <w:t>Withdrawals</w:t>
            </w:r>
            <w:r w:rsidR="002457CA">
              <w:rPr>
                <w:szCs w:val="18"/>
              </w:rPr>
              <w:t>, Registration Deactivations, Shipper changes, or domestic/non-domestic premises indicator updates</w:t>
            </w:r>
            <w:r>
              <w:rPr>
                <w:szCs w:val="18"/>
              </w:rPr>
              <w:t xml:space="preserve"> from Suppliers to CSS.</w:t>
            </w:r>
          </w:p>
        </w:tc>
      </w:tr>
      <w:bookmarkEnd w:id="188"/>
    </w:tbl>
    <w:p w14:paraId="700EEB0D" w14:textId="1444956D" w:rsidR="003C1268" w:rsidDel="007B11EB" w:rsidRDefault="003C1268" w:rsidP="003C1268"/>
    <w:p w14:paraId="075C3B13" w14:textId="77777777" w:rsidR="003C1268" w:rsidRPr="003B7FA2" w:rsidRDefault="003C1268" w:rsidP="0064698A">
      <w:pPr>
        <w:pStyle w:val="Heading3"/>
      </w:pPr>
      <w:bookmarkStart w:id="189" w:name="_Toc505257251"/>
      <w:bookmarkStart w:id="190" w:name="_Toc505689979"/>
      <w:bookmarkStart w:id="191" w:name="_Toc9934766"/>
      <w:r w:rsidRPr="003B7FA2">
        <w:t>Interface Operation and Processing</w:t>
      </w:r>
      <w:bookmarkEnd w:id="189"/>
      <w:bookmarkEnd w:id="190"/>
      <w:bookmarkEnd w:id="191"/>
    </w:p>
    <w:p w14:paraId="78530A5C" w14:textId="3315B401" w:rsidR="003C1268" w:rsidRDefault="003C1268" w:rsidP="003C1268">
      <w:pPr>
        <w:pStyle w:val="Paragrapgh"/>
      </w:pPr>
      <w:r>
        <w:t xml:space="preserve">The immediacy with which a </w:t>
      </w:r>
      <w:r w:rsidR="003D3FDC">
        <w:t>service</w:t>
      </w:r>
      <w:r>
        <w:t xml:space="preserve"> (application) is required to </w:t>
      </w:r>
      <w:r w:rsidR="0047317B">
        <w:t>process</w:t>
      </w:r>
      <w:r>
        <w:t xml:space="preserve"> data received via an interface </w:t>
      </w:r>
      <w:r w:rsidR="001E1D90">
        <w:t xml:space="preserve">has been </w:t>
      </w:r>
      <w:r>
        <w:t>determined</w:t>
      </w:r>
      <w:r w:rsidR="001E1D90">
        <w:t xml:space="preserve"> in part</w:t>
      </w:r>
      <w:r>
        <w:t xml:space="preserve"> by the requirements </w:t>
      </w:r>
      <w:r w:rsidR="001C6989">
        <w:t>expressed</w:t>
      </w:r>
      <w:r>
        <w:t xml:space="preserve"> in </w:t>
      </w:r>
      <w:r w:rsidR="007B2892">
        <w:t>D-4.1.6 E2E Operational Choreography</w:t>
      </w:r>
      <w:r w:rsidR="007B2892" w:rsidRPr="0038075D">
        <w:rPr>
          <w:vertAlign w:val="superscript"/>
        </w:rPr>
        <w:fldChar w:fldCharType="begin"/>
      </w:r>
      <w:r w:rsidR="007B2892" w:rsidRPr="0038075D">
        <w:rPr>
          <w:vertAlign w:val="superscript"/>
        </w:rPr>
        <w:instrText xml:space="preserve"> REF D_4_1_6 \h </w:instrText>
      </w:r>
      <w:r w:rsidR="007B2892">
        <w:rPr>
          <w:vertAlign w:val="superscript"/>
        </w:rPr>
        <w:instrText xml:space="preserve"> \* MERGEFORMAT </w:instrText>
      </w:r>
      <w:r w:rsidR="007B2892" w:rsidRPr="0038075D">
        <w:rPr>
          <w:vertAlign w:val="superscript"/>
        </w:rPr>
      </w:r>
      <w:r w:rsidR="007B2892" w:rsidRPr="0038075D">
        <w:rPr>
          <w:vertAlign w:val="superscript"/>
        </w:rPr>
        <w:fldChar w:fldCharType="separate"/>
      </w:r>
      <w:r w:rsidR="005D4843" w:rsidRPr="005D4843">
        <w:rPr>
          <w:vertAlign w:val="superscript"/>
        </w:rPr>
        <w:t>[4]</w:t>
      </w:r>
      <w:r w:rsidR="007B2892" w:rsidRPr="0038075D">
        <w:rPr>
          <w:vertAlign w:val="superscript"/>
        </w:rPr>
        <w:fldChar w:fldCharType="end"/>
      </w:r>
      <w:r w:rsidR="001C6989">
        <w:t>, but mainly by the desire to provide a platform that uses an up-to-date approach and gives a suitable base on which to build future changes</w:t>
      </w:r>
    </w:p>
    <w:p w14:paraId="10E03B4F" w14:textId="153D4D17" w:rsidR="001C6989" w:rsidRDefault="001C6989" w:rsidP="001C6989">
      <w:pPr>
        <w:pStyle w:val="Paragrapgh"/>
      </w:pPr>
      <w:r w:rsidRPr="001C6989">
        <w:t xml:space="preserve"> </w:t>
      </w:r>
      <w:r>
        <w:t>The interfaces used to exchange data between services must also support these requirements and their operation will fall under one of the following categories:</w:t>
      </w:r>
    </w:p>
    <w:p w14:paraId="05500ED5" w14:textId="77777777" w:rsidR="001C6989" w:rsidRDefault="001C6989" w:rsidP="00176198">
      <w:pPr>
        <w:pStyle w:val="ListBullet"/>
      </w:pPr>
      <w:r>
        <w:rPr>
          <w:b/>
        </w:rPr>
        <w:t>Messaging</w:t>
      </w:r>
      <w:r w:rsidRPr="00F13055">
        <w:t xml:space="preserve"> –</w:t>
      </w:r>
      <w:r>
        <w:t>real t</w:t>
      </w:r>
      <w:r w:rsidRPr="00F13055">
        <w:t xml:space="preserve">ime interface operation features mechanism to enable the source </w:t>
      </w:r>
      <w:r>
        <w:t>service</w:t>
      </w:r>
      <w:r w:rsidRPr="00F13055">
        <w:t xml:space="preserve"> to transmit individual (complete) data items/messages/transactions to the </w:t>
      </w:r>
      <w:r>
        <w:t>service</w:t>
      </w:r>
      <w:r w:rsidRPr="00F13055">
        <w:t xml:space="preserve"> as soon as they are generated.</w:t>
      </w:r>
      <w:r>
        <w:t xml:space="preserve"> </w:t>
      </w:r>
    </w:p>
    <w:p w14:paraId="6B55BFA4" w14:textId="77777777" w:rsidR="001C6989" w:rsidRDefault="001C6989" w:rsidP="00176198">
      <w:pPr>
        <w:pStyle w:val="ListBullet"/>
      </w:pPr>
      <w:r>
        <w:rPr>
          <w:b/>
        </w:rPr>
        <w:t>Messaging (buffered)</w:t>
      </w:r>
      <w:r w:rsidRPr="00F13055">
        <w:t xml:space="preserve"> – </w:t>
      </w:r>
      <w:r>
        <w:t xml:space="preserve">as messaging </w:t>
      </w:r>
      <w:r w:rsidRPr="384C30E2">
        <w:rPr>
          <w:rFonts w:eastAsia="MS PGothic"/>
        </w:rPr>
        <w:t>interface operation</w:t>
      </w:r>
      <w:r>
        <w:rPr>
          <w:rFonts w:eastAsia="MS PGothic"/>
        </w:rPr>
        <w:t>, but additionally t</w:t>
      </w:r>
      <w:r w:rsidRPr="384C30E2">
        <w:rPr>
          <w:rFonts w:eastAsia="MS PGothic"/>
        </w:rPr>
        <w:t xml:space="preserve">he </w:t>
      </w:r>
      <w:r>
        <w:rPr>
          <w:rFonts w:eastAsia="MS PGothic"/>
        </w:rPr>
        <w:t xml:space="preserve">source or </w:t>
      </w:r>
      <w:r w:rsidRPr="384C30E2">
        <w:rPr>
          <w:rFonts w:eastAsia="MS PGothic"/>
        </w:rPr>
        <w:t xml:space="preserve">target </w:t>
      </w:r>
      <w:r>
        <w:rPr>
          <w:rFonts w:eastAsia="MS PGothic"/>
        </w:rPr>
        <w:t>data services</w:t>
      </w:r>
      <w:r w:rsidRPr="384C30E2">
        <w:rPr>
          <w:rFonts w:eastAsia="MS PGothic"/>
        </w:rPr>
        <w:t xml:space="preserve"> may employ a holding mechanism </w:t>
      </w:r>
      <w:r>
        <w:rPr>
          <w:rFonts w:eastAsia="MS PGothic"/>
        </w:rPr>
        <w:t xml:space="preserve">(buffer) </w:t>
      </w:r>
      <w:r w:rsidRPr="384C30E2">
        <w:rPr>
          <w:rFonts w:eastAsia="MS PGothic"/>
        </w:rPr>
        <w:t xml:space="preserve">to hold them for later </w:t>
      </w:r>
      <w:r>
        <w:rPr>
          <w:rFonts w:eastAsia="MS PGothic"/>
        </w:rPr>
        <w:t xml:space="preserve">release or </w:t>
      </w:r>
      <w:r w:rsidRPr="384C30E2">
        <w:rPr>
          <w:rFonts w:eastAsia="MS PGothic"/>
        </w:rPr>
        <w:t>processing.</w:t>
      </w:r>
    </w:p>
    <w:p w14:paraId="53A5F49B" w14:textId="236CE937" w:rsidR="001C6989" w:rsidRDefault="001C6989" w:rsidP="001C6989">
      <w:pPr>
        <w:pStyle w:val="Paragrapgh"/>
      </w:pPr>
      <w:r>
        <w:rPr>
          <w:rFonts w:eastAsia="MS PGothic"/>
        </w:rPr>
        <w:t xml:space="preserve">This approach has been adopted in order to future-proof the design.  Batch interfaces will not be provided because of the constraints these would impose on the CSS and the Switching Arrangements as a whole.  </w:t>
      </w:r>
      <w:r>
        <w:t>The following table summarises the new interfaces being implemented as part of the Switching Arrangements, the pattern that each will follow and the type of interface necessary.</w:t>
      </w:r>
      <w:r w:rsidR="00D17C83">
        <w:t xml:space="preserve"> </w:t>
      </w:r>
      <w:r>
        <w:t>Further details of the interface properties, such as data, are held in ABACUS.</w:t>
      </w:r>
    </w:p>
    <w:p w14:paraId="20A5CC3B" w14:textId="77777777" w:rsidR="001C6989" w:rsidRDefault="001C6989" w:rsidP="001C6989">
      <w:pPr>
        <w:pStyle w:val="BodyTextItalic"/>
      </w:pPr>
    </w:p>
    <w:p w14:paraId="1398B8D2" w14:textId="77777777" w:rsidR="001C6989" w:rsidRPr="00F770AB" w:rsidRDefault="001C6989" w:rsidP="001C6989">
      <w:pPr>
        <w:pStyle w:val="BodyTextItalic"/>
        <w:sectPr w:rsidR="001C6989" w:rsidRPr="00F770AB" w:rsidSect="001C6989">
          <w:headerReference w:type="even" r:id="rId38"/>
          <w:headerReference w:type="default" r:id="rId39"/>
          <w:footerReference w:type="even" r:id="rId40"/>
          <w:footerReference w:type="default" r:id="rId41"/>
          <w:headerReference w:type="first" r:id="rId42"/>
          <w:type w:val="continuous"/>
          <w:pgSz w:w="11900" w:h="16840" w:code="9"/>
          <w:pgMar w:top="1440" w:right="1080" w:bottom="1440" w:left="1080" w:header="340" w:footer="397" w:gutter="0"/>
          <w:cols w:space="708"/>
          <w:docGrid w:linePitch="299"/>
        </w:sectPr>
      </w:pPr>
    </w:p>
    <w:tbl>
      <w:tblPr>
        <w:tblW w:w="5000" w:type="pct"/>
        <w:tblLayout w:type="fixed"/>
        <w:tblCellMar>
          <w:left w:w="0" w:type="dxa"/>
          <w:right w:w="0" w:type="dxa"/>
        </w:tblCellMar>
        <w:tblLook w:val="04A0" w:firstRow="1" w:lastRow="0" w:firstColumn="1" w:lastColumn="0" w:noHBand="0" w:noVBand="1"/>
      </w:tblPr>
      <w:tblGrid>
        <w:gridCol w:w="2966"/>
        <w:gridCol w:w="1701"/>
        <w:gridCol w:w="1843"/>
        <w:gridCol w:w="1843"/>
        <w:gridCol w:w="1561"/>
        <w:gridCol w:w="4026"/>
      </w:tblGrid>
      <w:tr w:rsidR="001C6989" w:rsidRPr="00EE17B7" w14:paraId="6D668657" w14:textId="77777777" w:rsidTr="00F47C06">
        <w:trPr>
          <w:tblHeader/>
        </w:trPr>
        <w:tc>
          <w:tcPr>
            <w:tcW w:w="1064" w:type="pct"/>
            <w:tcBorders>
              <w:top w:val="single" w:sz="8" w:space="0" w:color="auto"/>
              <w:left w:val="single" w:sz="8" w:space="0" w:color="auto"/>
              <w:bottom w:val="single" w:sz="8" w:space="0" w:color="auto"/>
              <w:right w:val="single" w:sz="8" w:space="0" w:color="auto"/>
            </w:tcBorders>
            <w:shd w:val="clear" w:color="auto" w:fill="A6A6A6"/>
            <w:tcMar>
              <w:top w:w="0" w:type="dxa"/>
              <w:left w:w="108" w:type="dxa"/>
              <w:bottom w:w="0" w:type="dxa"/>
              <w:right w:w="108" w:type="dxa"/>
            </w:tcMar>
            <w:hideMark/>
          </w:tcPr>
          <w:p w14:paraId="64F70B68" w14:textId="77777777" w:rsidR="001C6989" w:rsidRPr="00EE17B7" w:rsidRDefault="001C6989" w:rsidP="00F47C06">
            <w:pPr>
              <w:pStyle w:val="TableHeadings"/>
              <w:ind w:right="658"/>
            </w:pPr>
            <w:r w:rsidRPr="00EE17B7">
              <w:t>Interface Name</w:t>
            </w:r>
          </w:p>
        </w:tc>
        <w:tc>
          <w:tcPr>
            <w:tcW w:w="610" w:type="pct"/>
            <w:tcBorders>
              <w:top w:val="single" w:sz="8" w:space="0" w:color="auto"/>
              <w:left w:val="nil"/>
              <w:bottom w:val="single" w:sz="8" w:space="0" w:color="auto"/>
              <w:right w:val="single" w:sz="8" w:space="0" w:color="auto"/>
            </w:tcBorders>
            <w:shd w:val="clear" w:color="auto" w:fill="A6A6A6"/>
            <w:hideMark/>
          </w:tcPr>
          <w:p w14:paraId="747D7AAE" w14:textId="77777777" w:rsidR="001C6989" w:rsidRPr="00EE17B7" w:rsidRDefault="001C6989" w:rsidP="00F47C06">
            <w:pPr>
              <w:pStyle w:val="TableHeadings"/>
            </w:pPr>
            <w:r w:rsidRPr="00EE17B7">
              <w:t>From</w:t>
            </w:r>
          </w:p>
        </w:tc>
        <w:tc>
          <w:tcPr>
            <w:tcW w:w="661" w:type="pct"/>
            <w:tcBorders>
              <w:top w:val="single" w:sz="8" w:space="0" w:color="auto"/>
              <w:left w:val="nil"/>
              <w:bottom w:val="single" w:sz="8" w:space="0" w:color="auto"/>
              <w:right w:val="single" w:sz="8" w:space="0" w:color="auto"/>
            </w:tcBorders>
            <w:shd w:val="clear" w:color="auto" w:fill="A6A6A6"/>
            <w:hideMark/>
          </w:tcPr>
          <w:p w14:paraId="0CD8669E" w14:textId="77777777" w:rsidR="001C6989" w:rsidRPr="00EE17B7" w:rsidRDefault="001C6989" w:rsidP="00F47C06">
            <w:pPr>
              <w:pStyle w:val="TableHeadings"/>
            </w:pPr>
            <w:r w:rsidRPr="00EE17B7">
              <w:t>To</w:t>
            </w:r>
          </w:p>
        </w:tc>
        <w:tc>
          <w:tcPr>
            <w:tcW w:w="661" w:type="pct"/>
            <w:tcBorders>
              <w:top w:val="single" w:sz="8" w:space="0" w:color="auto"/>
              <w:left w:val="nil"/>
              <w:bottom w:val="single" w:sz="8" w:space="0" w:color="auto"/>
              <w:right w:val="single" w:sz="8" w:space="0" w:color="auto"/>
            </w:tcBorders>
            <w:shd w:val="clear" w:color="auto" w:fill="A6A6A6"/>
            <w:tcMar>
              <w:top w:w="0" w:type="dxa"/>
              <w:left w:w="108" w:type="dxa"/>
              <w:bottom w:w="0" w:type="dxa"/>
              <w:right w:w="108" w:type="dxa"/>
            </w:tcMar>
            <w:hideMark/>
          </w:tcPr>
          <w:p w14:paraId="64E5632F" w14:textId="77777777" w:rsidR="001C6989" w:rsidRPr="00EE17B7" w:rsidRDefault="001C6989" w:rsidP="00F47C06">
            <w:pPr>
              <w:pStyle w:val="TableHeadings"/>
            </w:pPr>
            <w:r w:rsidRPr="00EE17B7">
              <w:t>Interface Pattern</w:t>
            </w:r>
          </w:p>
        </w:tc>
        <w:tc>
          <w:tcPr>
            <w:tcW w:w="560" w:type="pct"/>
            <w:tcBorders>
              <w:top w:val="single" w:sz="8" w:space="0" w:color="auto"/>
              <w:left w:val="nil"/>
              <w:bottom w:val="single" w:sz="8" w:space="0" w:color="auto"/>
              <w:right w:val="single" w:sz="8" w:space="0" w:color="auto"/>
            </w:tcBorders>
            <w:shd w:val="clear" w:color="auto" w:fill="A6A6A6"/>
            <w:tcMar>
              <w:top w:w="0" w:type="dxa"/>
              <w:left w:w="108" w:type="dxa"/>
              <w:bottom w:w="0" w:type="dxa"/>
              <w:right w:w="108" w:type="dxa"/>
            </w:tcMar>
            <w:hideMark/>
          </w:tcPr>
          <w:p w14:paraId="4F1AED39" w14:textId="77777777" w:rsidR="001C6989" w:rsidRPr="00EE17B7" w:rsidRDefault="001C6989" w:rsidP="00F47C06">
            <w:pPr>
              <w:pStyle w:val="TableHeadings"/>
            </w:pPr>
            <w:r>
              <w:t>INTERFACE TYPE</w:t>
            </w:r>
          </w:p>
        </w:tc>
        <w:tc>
          <w:tcPr>
            <w:tcW w:w="1444" w:type="pct"/>
            <w:tcBorders>
              <w:top w:val="single" w:sz="8" w:space="0" w:color="auto"/>
              <w:left w:val="nil"/>
              <w:bottom w:val="single" w:sz="8" w:space="0" w:color="auto"/>
              <w:right w:val="single" w:sz="8" w:space="0" w:color="auto"/>
            </w:tcBorders>
            <w:shd w:val="clear" w:color="auto" w:fill="A6A6A6"/>
            <w:hideMark/>
          </w:tcPr>
          <w:p w14:paraId="570B73CE" w14:textId="6013E1B7" w:rsidR="001C6989" w:rsidRPr="00EE17B7" w:rsidRDefault="001C6989" w:rsidP="00F47C06">
            <w:pPr>
              <w:pStyle w:val="TableHeadings"/>
            </w:pPr>
            <w:r w:rsidRPr="00EE17B7">
              <w:t>Comment</w:t>
            </w:r>
          </w:p>
        </w:tc>
      </w:tr>
      <w:tr w:rsidR="001C6989" w:rsidRPr="00C476E8" w14:paraId="61186AA8" w14:textId="77777777" w:rsidTr="00F47C06">
        <w:tc>
          <w:tcPr>
            <w:tcW w:w="106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13CB603" w14:textId="77777777" w:rsidR="001C6989" w:rsidRPr="00C476E8" w:rsidRDefault="001C6989" w:rsidP="00F47C06">
            <w:pPr>
              <w:pStyle w:val="TableText-Left"/>
              <w:rPr>
                <w:szCs w:val="18"/>
              </w:rPr>
            </w:pPr>
            <w:r w:rsidRPr="00C476E8">
              <w:rPr>
                <w:szCs w:val="18"/>
              </w:rPr>
              <w:t>CommsHubDataLink</w:t>
            </w:r>
          </w:p>
        </w:tc>
        <w:tc>
          <w:tcPr>
            <w:tcW w:w="610" w:type="pct"/>
            <w:tcBorders>
              <w:top w:val="nil"/>
              <w:left w:val="nil"/>
              <w:bottom w:val="single" w:sz="8" w:space="0" w:color="auto"/>
              <w:right w:val="single" w:sz="8" w:space="0" w:color="auto"/>
            </w:tcBorders>
            <w:hideMark/>
          </w:tcPr>
          <w:p w14:paraId="611F550C" w14:textId="77777777" w:rsidR="001C6989" w:rsidRPr="00C476E8" w:rsidRDefault="001C6989" w:rsidP="00F47C06">
            <w:pPr>
              <w:pStyle w:val="TableText-Left"/>
              <w:rPr>
                <w:szCs w:val="18"/>
              </w:rPr>
            </w:pPr>
            <w:r w:rsidRPr="00C476E8">
              <w:rPr>
                <w:szCs w:val="18"/>
              </w:rPr>
              <w:t>Smart Metering</w:t>
            </w:r>
          </w:p>
        </w:tc>
        <w:tc>
          <w:tcPr>
            <w:tcW w:w="661" w:type="pct"/>
            <w:tcBorders>
              <w:top w:val="nil"/>
              <w:left w:val="nil"/>
              <w:bottom w:val="single" w:sz="8" w:space="0" w:color="auto"/>
              <w:right w:val="single" w:sz="8" w:space="0" w:color="auto"/>
            </w:tcBorders>
            <w:hideMark/>
          </w:tcPr>
          <w:p w14:paraId="0A0EA3E6" w14:textId="77777777" w:rsidR="001C6989" w:rsidRPr="00C476E8" w:rsidRDefault="001C6989" w:rsidP="00F47C06">
            <w:pPr>
              <w:pStyle w:val="TableText-Left"/>
              <w:rPr>
                <w:szCs w:val="18"/>
              </w:rPr>
            </w:pPr>
            <w:r w:rsidRPr="00C476E8">
              <w:rPr>
                <w:szCs w:val="18"/>
              </w:rPr>
              <w:t>CSS</w:t>
            </w:r>
          </w:p>
        </w:tc>
        <w:tc>
          <w:tcPr>
            <w:tcW w:w="661" w:type="pct"/>
            <w:tcBorders>
              <w:top w:val="nil"/>
              <w:left w:val="nil"/>
              <w:bottom w:val="single" w:sz="8" w:space="0" w:color="auto"/>
              <w:right w:val="single" w:sz="8" w:space="0" w:color="auto"/>
            </w:tcBorders>
            <w:tcMar>
              <w:top w:w="0" w:type="dxa"/>
              <w:left w:w="108" w:type="dxa"/>
              <w:bottom w:w="0" w:type="dxa"/>
              <w:right w:w="108" w:type="dxa"/>
            </w:tcMar>
            <w:hideMark/>
          </w:tcPr>
          <w:p w14:paraId="6EB26FAA" w14:textId="77777777" w:rsidR="001C6989" w:rsidRPr="00C476E8" w:rsidRDefault="001C6989" w:rsidP="00F47C06">
            <w:pPr>
              <w:pStyle w:val="TableText-Left"/>
              <w:rPr>
                <w:szCs w:val="18"/>
              </w:rPr>
            </w:pPr>
            <w:r>
              <w:rPr>
                <w:szCs w:val="18"/>
              </w:rPr>
              <w:t>Update</w:t>
            </w:r>
          </w:p>
        </w:tc>
        <w:tc>
          <w:tcPr>
            <w:tcW w:w="560" w:type="pct"/>
            <w:tcBorders>
              <w:top w:val="nil"/>
              <w:left w:val="nil"/>
              <w:bottom w:val="single" w:sz="8" w:space="0" w:color="auto"/>
              <w:right w:val="single" w:sz="8" w:space="0" w:color="auto"/>
            </w:tcBorders>
            <w:tcMar>
              <w:top w:w="0" w:type="dxa"/>
              <w:left w:w="108" w:type="dxa"/>
              <w:bottom w:w="0" w:type="dxa"/>
              <w:right w:w="108" w:type="dxa"/>
            </w:tcMar>
            <w:hideMark/>
          </w:tcPr>
          <w:p w14:paraId="4E72C70A" w14:textId="77777777" w:rsidR="001C6989" w:rsidRPr="00C476E8" w:rsidRDefault="001C6989" w:rsidP="00F47C06">
            <w:pPr>
              <w:pStyle w:val="TableText-Left"/>
              <w:rPr>
                <w:szCs w:val="18"/>
              </w:rPr>
            </w:pPr>
            <w:r>
              <w:rPr>
                <w:szCs w:val="18"/>
              </w:rPr>
              <w:t>Messaging (buffered at source)</w:t>
            </w:r>
          </w:p>
        </w:tc>
        <w:tc>
          <w:tcPr>
            <w:tcW w:w="1444" w:type="pct"/>
            <w:tcBorders>
              <w:top w:val="nil"/>
              <w:left w:val="nil"/>
              <w:bottom w:val="single" w:sz="8" w:space="0" w:color="auto"/>
              <w:right w:val="single" w:sz="8" w:space="0" w:color="auto"/>
            </w:tcBorders>
          </w:tcPr>
          <w:p w14:paraId="244AB542" w14:textId="77777777" w:rsidR="001C6989" w:rsidRPr="00C476E8" w:rsidRDefault="001C6989" w:rsidP="00F47C06">
            <w:pPr>
              <w:pStyle w:val="TableText-Left"/>
              <w:rPr>
                <w:szCs w:val="18"/>
              </w:rPr>
            </w:pPr>
            <w:r>
              <w:t>Mapping of meter points to comms hub to be used in CSS to improve address quality</w:t>
            </w:r>
          </w:p>
        </w:tc>
      </w:tr>
      <w:tr w:rsidR="001C6989" w:rsidRPr="00C476E8" w14:paraId="6150EEBD" w14:textId="77777777" w:rsidTr="00F47C06">
        <w:tc>
          <w:tcPr>
            <w:tcW w:w="106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C0AC64" w14:textId="77777777" w:rsidR="001C6989" w:rsidRPr="00C476E8" w:rsidRDefault="001C6989" w:rsidP="00F47C06">
            <w:pPr>
              <w:pStyle w:val="TableText-Left"/>
              <w:rPr>
                <w:szCs w:val="18"/>
              </w:rPr>
            </w:pPr>
            <w:r w:rsidRPr="00C476E8">
              <w:rPr>
                <w:szCs w:val="18"/>
              </w:rPr>
              <w:t>DADCAppointment</w:t>
            </w:r>
          </w:p>
        </w:tc>
        <w:tc>
          <w:tcPr>
            <w:tcW w:w="610" w:type="pct"/>
            <w:tcBorders>
              <w:top w:val="nil"/>
              <w:left w:val="nil"/>
              <w:bottom w:val="single" w:sz="8" w:space="0" w:color="auto"/>
              <w:right w:val="single" w:sz="8" w:space="0" w:color="auto"/>
            </w:tcBorders>
            <w:hideMark/>
          </w:tcPr>
          <w:p w14:paraId="7AA22761" w14:textId="1FCF64BA" w:rsidR="001C6989" w:rsidRPr="00C476E8" w:rsidRDefault="00DB63D0" w:rsidP="00F47C06">
            <w:pPr>
              <w:pStyle w:val="TableText-Left"/>
              <w:rPr>
                <w:szCs w:val="18"/>
              </w:rPr>
            </w:pPr>
            <w:r>
              <w:rPr>
                <w:szCs w:val="18"/>
              </w:rPr>
              <w:t>MPAS</w:t>
            </w:r>
          </w:p>
        </w:tc>
        <w:tc>
          <w:tcPr>
            <w:tcW w:w="661" w:type="pct"/>
            <w:tcBorders>
              <w:top w:val="nil"/>
              <w:left w:val="nil"/>
              <w:bottom w:val="single" w:sz="8" w:space="0" w:color="auto"/>
              <w:right w:val="single" w:sz="8" w:space="0" w:color="auto"/>
            </w:tcBorders>
            <w:hideMark/>
          </w:tcPr>
          <w:p w14:paraId="39CDB724" w14:textId="77777777" w:rsidR="001C6989" w:rsidRPr="00C476E8" w:rsidRDefault="001C6989" w:rsidP="00F47C06">
            <w:pPr>
              <w:pStyle w:val="TableText-Left"/>
              <w:rPr>
                <w:szCs w:val="18"/>
              </w:rPr>
            </w:pPr>
            <w:r w:rsidRPr="00C476E8">
              <w:rPr>
                <w:szCs w:val="18"/>
              </w:rPr>
              <w:t>CSS</w:t>
            </w:r>
          </w:p>
        </w:tc>
        <w:tc>
          <w:tcPr>
            <w:tcW w:w="661" w:type="pct"/>
            <w:tcBorders>
              <w:top w:val="nil"/>
              <w:left w:val="nil"/>
              <w:bottom w:val="single" w:sz="8" w:space="0" w:color="auto"/>
              <w:right w:val="single" w:sz="8" w:space="0" w:color="auto"/>
            </w:tcBorders>
            <w:tcMar>
              <w:top w:w="0" w:type="dxa"/>
              <w:left w:w="108" w:type="dxa"/>
              <w:bottom w:w="0" w:type="dxa"/>
              <w:right w:w="108" w:type="dxa"/>
            </w:tcMar>
            <w:hideMark/>
          </w:tcPr>
          <w:p w14:paraId="23F7ABAF" w14:textId="77777777" w:rsidR="001C6989" w:rsidRPr="00C476E8" w:rsidRDefault="001C6989" w:rsidP="00F47C06">
            <w:pPr>
              <w:pStyle w:val="TableText-Left"/>
              <w:rPr>
                <w:szCs w:val="18"/>
              </w:rPr>
            </w:pPr>
            <w:r w:rsidRPr="00C476E8">
              <w:rPr>
                <w:szCs w:val="18"/>
              </w:rPr>
              <w:t>Synchronisation</w:t>
            </w:r>
          </w:p>
        </w:tc>
        <w:tc>
          <w:tcPr>
            <w:tcW w:w="560" w:type="pct"/>
            <w:tcBorders>
              <w:top w:val="nil"/>
              <w:left w:val="nil"/>
              <w:bottom w:val="single" w:sz="8" w:space="0" w:color="auto"/>
              <w:right w:val="single" w:sz="8" w:space="0" w:color="auto"/>
            </w:tcBorders>
            <w:tcMar>
              <w:top w:w="0" w:type="dxa"/>
              <w:left w:w="108" w:type="dxa"/>
              <w:bottom w:w="0" w:type="dxa"/>
              <w:right w:w="108" w:type="dxa"/>
            </w:tcMar>
            <w:hideMark/>
          </w:tcPr>
          <w:p w14:paraId="6F82169D" w14:textId="77777777" w:rsidR="001C6989" w:rsidRPr="00C476E8" w:rsidRDefault="001C6989" w:rsidP="00F47C06">
            <w:pPr>
              <w:pStyle w:val="TableText-Left"/>
              <w:rPr>
                <w:szCs w:val="18"/>
              </w:rPr>
            </w:pPr>
            <w:r>
              <w:rPr>
                <w:szCs w:val="18"/>
              </w:rPr>
              <w:t>Messaging (buffered at source)</w:t>
            </w:r>
          </w:p>
        </w:tc>
        <w:tc>
          <w:tcPr>
            <w:tcW w:w="1444" w:type="pct"/>
            <w:tcBorders>
              <w:top w:val="nil"/>
              <w:left w:val="nil"/>
              <w:bottom w:val="single" w:sz="8" w:space="0" w:color="auto"/>
              <w:right w:val="single" w:sz="8" w:space="0" w:color="auto"/>
            </w:tcBorders>
          </w:tcPr>
          <w:p w14:paraId="6CAA6E28" w14:textId="77777777" w:rsidR="001C6989" w:rsidRPr="00C476E8" w:rsidRDefault="001C6989" w:rsidP="00F47C06">
            <w:pPr>
              <w:pStyle w:val="TableText-Left"/>
              <w:rPr>
                <w:szCs w:val="18"/>
              </w:rPr>
            </w:pPr>
            <w:r w:rsidRPr="00C476E8">
              <w:rPr>
                <w:szCs w:val="18"/>
              </w:rPr>
              <w:t>Sync</w:t>
            </w:r>
            <w:r>
              <w:rPr>
                <w:szCs w:val="18"/>
              </w:rPr>
              <w:t>h</w:t>
            </w:r>
            <w:r w:rsidRPr="00C476E8">
              <w:rPr>
                <w:szCs w:val="18"/>
              </w:rPr>
              <w:t>ronisation of DA and/or DC appointments</w:t>
            </w:r>
          </w:p>
        </w:tc>
      </w:tr>
      <w:tr w:rsidR="001C6989" w:rsidRPr="00C476E8" w14:paraId="5E8AA9DF" w14:textId="77777777" w:rsidTr="00F47C06">
        <w:tc>
          <w:tcPr>
            <w:tcW w:w="106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E3AC63" w14:textId="77777777" w:rsidR="001C6989" w:rsidRPr="00C476E8" w:rsidRDefault="001C6989" w:rsidP="00F47C06">
            <w:pPr>
              <w:pStyle w:val="TableText-Left"/>
              <w:rPr>
                <w:szCs w:val="18"/>
              </w:rPr>
            </w:pPr>
            <w:r w:rsidRPr="00C476E8">
              <w:rPr>
                <w:szCs w:val="18"/>
              </w:rPr>
              <w:t>ElectricityRegistration</w:t>
            </w:r>
          </w:p>
        </w:tc>
        <w:tc>
          <w:tcPr>
            <w:tcW w:w="610" w:type="pct"/>
            <w:tcBorders>
              <w:top w:val="nil"/>
              <w:left w:val="nil"/>
              <w:bottom w:val="single" w:sz="8" w:space="0" w:color="auto"/>
              <w:right w:val="single" w:sz="8" w:space="0" w:color="auto"/>
            </w:tcBorders>
            <w:hideMark/>
          </w:tcPr>
          <w:p w14:paraId="5159491A" w14:textId="77777777" w:rsidR="001C6989" w:rsidRPr="00C476E8" w:rsidRDefault="001C6989" w:rsidP="00F47C06">
            <w:pPr>
              <w:pStyle w:val="TableText-Left"/>
              <w:rPr>
                <w:szCs w:val="18"/>
              </w:rPr>
            </w:pPr>
            <w:r w:rsidRPr="00C476E8">
              <w:rPr>
                <w:szCs w:val="18"/>
              </w:rPr>
              <w:t>CSS</w:t>
            </w:r>
          </w:p>
        </w:tc>
        <w:tc>
          <w:tcPr>
            <w:tcW w:w="661" w:type="pct"/>
            <w:tcBorders>
              <w:top w:val="nil"/>
              <w:left w:val="nil"/>
              <w:bottom w:val="single" w:sz="8" w:space="0" w:color="auto"/>
              <w:right w:val="single" w:sz="8" w:space="0" w:color="auto"/>
            </w:tcBorders>
            <w:hideMark/>
          </w:tcPr>
          <w:p w14:paraId="69563D17" w14:textId="77777777" w:rsidR="001C6989" w:rsidRPr="00C476E8" w:rsidRDefault="001C6989" w:rsidP="00F47C06">
            <w:pPr>
              <w:pStyle w:val="TableText-Left"/>
              <w:rPr>
                <w:szCs w:val="18"/>
              </w:rPr>
            </w:pPr>
            <w:r w:rsidRPr="00C476E8">
              <w:rPr>
                <w:szCs w:val="18"/>
              </w:rPr>
              <w:t>ECOES</w:t>
            </w:r>
          </w:p>
        </w:tc>
        <w:tc>
          <w:tcPr>
            <w:tcW w:w="661" w:type="pct"/>
            <w:tcBorders>
              <w:top w:val="nil"/>
              <w:left w:val="nil"/>
              <w:bottom w:val="single" w:sz="8" w:space="0" w:color="auto"/>
              <w:right w:val="single" w:sz="8" w:space="0" w:color="auto"/>
            </w:tcBorders>
            <w:tcMar>
              <w:top w:w="0" w:type="dxa"/>
              <w:left w:w="108" w:type="dxa"/>
              <w:bottom w:w="0" w:type="dxa"/>
              <w:right w:w="108" w:type="dxa"/>
            </w:tcMar>
            <w:hideMark/>
          </w:tcPr>
          <w:p w14:paraId="2C72829C" w14:textId="77777777" w:rsidR="001C6989" w:rsidRPr="00C476E8" w:rsidRDefault="001C6989" w:rsidP="00F47C06">
            <w:pPr>
              <w:pStyle w:val="TableText-Left"/>
              <w:rPr>
                <w:szCs w:val="18"/>
              </w:rPr>
            </w:pPr>
            <w:r w:rsidRPr="00C476E8">
              <w:rPr>
                <w:szCs w:val="18"/>
              </w:rPr>
              <w:t>Synchronisation</w:t>
            </w:r>
          </w:p>
        </w:tc>
        <w:tc>
          <w:tcPr>
            <w:tcW w:w="560" w:type="pct"/>
            <w:tcBorders>
              <w:top w:val="nil"/>
              <w:left w:val="nil"/>
              <w:bottom w:val="single" w:sz="8" w:space="0" w:color="auto"/>
              <w:right w:val="single" w:sz="8" w:space="0" w:color="auto"/>
            </w:tcBorders>
            <w:tcMar>
              <w:top w:w="0" w:type="dxa"/>
              <w:left w:w="108" w:type="dxa"/>
              <w:bottom w:w="0" w:type="dxa"/>
              <w:right w:w="108" w:type="dxa"/>
            </w:tcMar>
            <w:hideMark/>
          </w:tcPr>
          <w:p w14:paraId="400959B0" w14:textId="77777777" w:rsidR="001C6989" w:rsidRPr="00C476E8" w:rsidRDefault="001C6989" w:rsidP="00F47C06">
            <w:pPr>
              <w:pStyle w:val="TableText-Left"/>
              <w:rPr>
                <w:szCs w:val="18"/>
              </w:rPr>
            </w:pPr>
            <w:r>
              <w:rPr>
                <w:szCs w:val="18"/>
              </w:rPr>
              <w:t>Messaging</w:t>
            </w:r>
          </w:p>
        </w:tc>
        <w:tc>
          <w:tcPr>
            <w:tcW w:w="1444" w:type="pct"/>
            <w:tcBorders>
              <w:top w:val="nil"/>
              <w:left w:val="nil"/>
              <w:bottom w:val="single" w:sz="8" w:space="0" w:color="auto"/>
              <w:right w:val="single" w:sz="8" w:space="0" w:color="auto"/>
            </w:tcBorders>
          </w:tcPr>
          <w:p w14:paraId="41C28590" w14:textId="77777777" w:rsidR="001C6989" w:rsidRPr="00C476E8" w:rsidRDefault="001C6989" w:rsidP="00F47C06">
            <w:pPr>
              <w:pStyle w:val="TableText-Left"/>
              <w:rPr>
                <w:szCs w:val="18"/>
              </w:rPr>
            </w:pPr>
            <w:r w:rsidRPr="00C476E8">
              <w:rPr>
                <w:szCs w:val="18"/>
              </w:rPr>
              <w:t>Delivery of electricity enquiry information</w:t>
            </w:r>
            <w:r>
              <w:rPr>
                <w:szCs w:val="18"/>
              </w:rPr>
              <w:t>. Invoked for the following cases: Registration requests, registration changes (including change of shipper and change of domestic/non-domestic premises indicator), agent updates, Retail Energy Location updates</w:t>
            </w:r>
          </w:p>
        </w:tc>
      </w:tr>
      <w:tr w:rsidR="001C6989" w:rsidRPr="00C476E8" w14:paraId="796B0E71" w14:textId="77777777" w:rsidTr="00F47C06">
        <w:tc>
          <w:tcPr>
            <w:tcW w:w="106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A3B192" w14:textId="77777777" w:rsidR="001C6989" w:rsidRPr="00C476E8" w:rsidRDefault="001C6989" w:rsidP="00F47C06">
            <w:pPr>
              <w:pStyle w:val="TableText-Left"/>
              <w:rPr>
                <w:szCs w:val="18"/>
              </w:rPr>
            </w:pPr>
            <w:r w:rsidRPr="00C476E8">
              <w:rPr>
                <w:szCs w:val="18"/>
              </w:rPr>
              <w:t>GasRegistration</w:t>
            </w:r>
          </w:p>
        </w:tc>
        <w:tc>
          <w:tcPr>
            <w:tcW w:w="610" w:type="pct"/>
            <w:tcBorders>
              <w:top w:val="nil"/>
              <w:left w:val="nil"/>
              <w:bottom w:val="single" w:sz="8" w:space="0" w:color="auto"/>
              <w:right w:val="single" w:sz="8" w:space="0" w:color="auto"/>
            </w:tcBorders>
            <w:hideMark/>
          </w:tcPr>
          <w:p w14:paraId="0ADFF48D" w14:textId="77777777" w:rsidR="001C6989" w:rsidRPr="00C476E8" w:rsidRDefault="001C6989" w:rsidP="00F47C06">
            <w:pPr>
              <w:pStyle w:val="TableText-Left"/>
              <w:rPr>
                <w:szCs w:val="18"/>
              </w:rPr>
            </w:pPr>
            <w:r w:rsidRPr="00C476E8">
              <w:rPr>
                <w:szCs w:val="18"/>
              </w:rPr>
              <w:t>CSS</w:t>
            </w:r>
          </w:p>
        </w:tc>
        <w:tc>
          <w:tcPr>
            <w:tcW w:w="661" w:type="pct"/>
            <w:tcBorders>
              <w:top w:val="nil"/>
              <w:left w:val="nil"/>
              <w:bottom w:val="single" w:sz="8" w:space="0" w:color="auto"/>
              <w:right w:val="single" w:sz="8" w:space="0" w:color="auto"/>
            </w:tcBorders>
            <w:hideMark/>
          </w:tcPr>
          <w:p w14:paraId="4CB575C7" w14:textId="0337448F" w:rsidR="001C6989" w:rsidRPr="00C476E8" w:rsidRDefault="00A1661D" w:rsidP="00F47C06">
            <w:pPr>
              <w:pStyle w:val="TableText-Left"/>
              <w:rPr>
                <w:szCs w:val="18"/>
              </w:rPr>
            </w:pPr>
            <w:r>
              <w:rPr>
                <w:szCs w:val="18"/>
              </w:rPr>
              <w:t>DES</w:t>
            </w:r>
          </w:p>
        </w:tc>
        <w:tc>
          <w:tcPr>
            <w:tcW w:w="661" w:type="pct"/>
            <w:tcBorders>
              <w:top w:val="nil"/>
              <w:left w:val="nil"/>
              <w:bottom w:val="single" w:sz="8" w:space="0" w:color="auto"/>
              <w:right w:val="single" w:sz="8" w:space="0" w:color="auto"/>
            </w:tcBorders>
            <w:tcMar>
              <w:top w:w="0" w:type="dxa"/>
              <w:left w:w="108" w:type="dxa"/>
              <w:bottom w:w="0" w:type="dxa"/>
              <w:right w:w="108" w:type="dxa"/>
            </w:tcMar>
            <w:hideMark/>
          </w:tcPr>
          <w:p w14:paraId="687421BE" w14:textId="77777777" w:rsidR="001C6989" w:rsidRPr="00C476E8" w:rsidRDefault="001C6989" w:rsidP="00F47C06">
            <w:pPr>
              <w:pStyle w:val="TableText-Left"/>
              <w:rPr>
                <w:szCs w:val="18"/>
              </w:rPr>
            </w:pPr>
            <w:r w:rsidRPr="00C476E8">
              <w:rPr>
                <w:szCs w:val="18"/>
              </w:rPr>
              <w:t>Synchronisation</w:t>
            </w:r>
          </w:p>
        </w:tc>
        <w:tc>
          <w:tcPr>
            <w:tcW w:w="560" w:type="pct"/>
            <w:tcBorders>
              <w:top w:val="nil"/>
              <w:left w:val="nil"/>
              <w:bottom w:val="single" w:sz="8" w:space="0" w:color="auto"/>
              <w:right w:val="single" w:sz="8" w:space="0" w:color="auto"/>
            </w:tcBorders>
            <w:tcMar>
              <w:top w:w="0" w:type="dxa"/>
              <w:left w:w="108" w:type="dxa"/>
              <w:bottom w:w="0" w:type="dxa"/>
              <w:right w:w="108" w:type="dxa"/>
            </w:tcMar>
            <w:hideMark/>
          </w:tcPr>
          <w:p w14:paraId="4A3F56AE" w14:textId="77777777" w:rsidR="001C6989" w:rsidRPr="00C476E8" w:rsidRDefault="001C6989" w:rsidP="00F47C06">
            <w:pPr>
              <w:pStyle w:val="TableText-Left"/>
              <w:rPr>
                <w:szCs w:val="18"/>
              </w:rPr>
            </w:pPr>
            <w:r>
              <w:rPr>
                <w:szCs w:val="18"/>
              </w:rPr>
              <w:t>Messaging</w:t>
            </w:r>
          </w:p>
        </w:tc>
        <w:tc>
          <w:tcPr>
            <w:tcW w:w="1444" w:type="pct"/>
            <w:tcBorders>
              <w:top w:val="nil"/>
              <w:left w:val="nil"/>
              <w:bottom w:val="single" w:sz="8" w:space="0" w:color="auto"/>
              <w:right w:val="single" w:sz="8" w:space="0" w:color="auto"/>
            </w:tcBorders>
          </w:tcPr>
          <w:p w14:paraId="7AED372F" w14:textId="77777777" w:rsidR="001C6989" w:rsidRPr="00C476E8" w:rsidRDefault="001C6989" w:rsidP="00F47C06">
            <w:pPr>
              <w:pStyle w:val="TableText-Left"/>
              <w:rPr>
                <w:szCs w:val="18"/>
              </w:rPr>
            </w:pPr>
            <w:r w:rsidRPr="00C476E8">
              <w:rPr>
                <w:szCs w:val="18"/>
              </w:rPr>
              <w:t>Delivery of Gas enquiry information</w:t>
            </w:r>
            <w:r>
              <w:rPr>
                <w:szCs w:val="18"/>
              </w:rPr>
              <w:t>. Invoked for the following cases: Registration requests, registration changes (including change of shipper and change of domestic/non-domestic premises indicator), agent updates, Retail Energy Location updates</w:t>
            </w:r>
          </w:p>
        </w:tc>
      </w:tr>
      <w:tr w:rsidR="001C6989" w:rsidRPr="00C476E8" w14:paraId="173A7DC2" w14:textId="77777777" w:rsidTr="00F47C06">
        <w:tc>
          <w:tcPr>
            <w:tcW w:w="106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B15F55F" w14:textId="77777777" w:rsidR="001C6989" w:rsidRPr="00C476E8" w:rsidRDefault="001C6989" w:rsidP="00F47C06">
            <w:pPr>
              <w:pStyle w:val="TableText-Left"/>
              <w:rPr>
                <w:szCs w:val="18"/>
              </w:rPr>
            </w:pPr>
            <w:r w:rsidRPr="00C476E8">
              <w:rPr>
                <w:szCs w:val="18"/>
              </w:rPr>
              <w:t>InvitationToIntervene</w:t>
            </w:r>
          </w:p>
        </w:tc>
        <w:tc>
          <w:tcPr>
            <w:tcW w:w="610" w:type="pct"/>
            <w:tcBorders>
              <w:top w:val="nil"/>
              <w:left w:val="nil"/>
              <w:bottom w:val="single" w:sz="8" w:space="0" w:color="auto"/>
              <w:right w:val="single" w:sz="8" w:space="0" w:color="auto"/>
            </w:tcBorders>
          </w:tcPr>
          <w:p w14:paraId="3472FBC7" w14:textId="77777777" w:rsidR="001C6989" w:rsidRPr="00C476E8" w:rsidRDefault="001C6989" w:rsidP="00F47C06">
            <w:pPr>
              <w:pStyle w:val="TableText-Left"/>
              <w:rPr>
                <w:szCs w:val="18"/>
              </w:rPr>
            </w:pPr>
            <w:r w:rsidRPr="00C476E8">
              <w:rPr>
                <w:szCs w:val="18"/>
              </w:rPr>
              <w:t>CSS</w:t>
            </w:r>
          </w:p>
        </w:tc>
        <w:tc>
          <w:tcPr>
            <w:tcW w:w="661" w:type="pct"/>
            <w:tcBorders>
              <w:top w:val="nil"/>
              <w:left w:val="nil"/>
              <w:bottom w:val="single" w:sz="8" w:space="0" w:color="auto"/>
              <w:right w:val="single" w:sz="8" w:space="0" w:color="auto"/>
            </w:tcBorders>
          </w:tcPr>
          <w:p w14:paraId="3A31D8F6" w14:textId="77777777" w:rsidR="001C6989" w:rsidRPr="00C476E8" w:rsidRDefault="001C6989" w:rsidP="00F47C06">
            <w:pPr>
              <w:pStyle w:val="TableText-Left"/>
              <w:rPr>
                <w:szCs w:val="18"/>
              </w:rPr>
            </w:pPr>
            <w:r w:rsidRPr="00C476E8">
              <w:rPr>
                <w:szCs w:val="18"/>
              </w:rPr>
              <w:t>Losing Supplier</w:t>
            </w:r>
          </w:p>
        </w:tc>
        <w:tc>
          <w:tcPr>
            <w:tcW w:w="661" w:type="pct"/>
            <w:tcBorders>
              <w:top w:val="nil"/>
              <w:left w:val="nil"/>
              <w:bottom w:val="single" w:sz="8" w:space="0" w:color="auto"/>
              <w:right w:val="single" w:sz="8" w:space="0" w:color="auto"/>
            </w:tcBorders>
            <w:tcMar>
              <w:top w:w="0" w:type="dxa"/>
              <w:left w:w="108" w:type="dxa"/>
              <w:bottom w:w="0" w:type="dxa"/>
              <w:right w:w="108" w:type="dxa"/>
            </w:tcMar>
          </w:tcPr>
          <w:p w14:paraId="255D1CC7" w14:textId="77777777" w:rsidR="001C6989" w:rsidRPr="00C476E8" w:rsidRDefault="001C6989" w:rsidP="00F47C06">
            <w:pPr>
              <w:pStyle w:val="TableText-Left"/>
              <w:rPr>
                <w:szCs w:val="18"/>
              </w:rPr>
            </w:pPr>
            <w:r w:rsidRPr="00C476E8">
              <w:rPr>
                <w:szCs w:val="18"/>
              </w:rPr>
              <w:t>Enquiry</w:t>
            </w:r>
          </w:p>
        </w:tc>
        <w:tc>
          <w:tcPr>
            <w:tcW w:w="560" w:type="pct"/>
            <w:tcBorders>
              <w:top w:val="nil"/>
              <w:left w:val="nil"/>
              <w:bottom w:val="single" w:sz="8" w:space="0" w:color="auto"/>
              <w:right w:val="single" w:sz="8" w:space="0" w:color="auto"/>
            </w:tcBorders>
            <w:tcMar>
              <w:top w:w="0" w:type="dxa"/>
              <w:left w:w="108" w:type="dxa"/>
              <w:bottom w:w="0" w:type="dxa"/>
              <w:right w:w="108" w:type="dxa"/>
            </w:tcMar>
          </w:tcPr>
          <w:p w14:paraId="0025B5BE" w14:textId="77777777" w:rsidR="001C6989" w:rsidRPr="00C476E8" w:rsidRDefault="001C6989" w:rsidP="00F47C06">
            <w:pPr>
              <w:pStyle w:val="TableText-Left"/>
              <w:rPr>
                <w:szCs w:val="18"/>
              </w:rPr>
            </w:pPr>
            <w:r>
              <w:rPr>
                <w:szCs w:val="18"/>
              </w:rPr>
              <w:t>Messaging</w:t>
            </w:r>
          </w:p>
        </w:tc>
        <w:tc>
          <w:tcPr>
            <w:tcW w:w="1444" w:type="pct"/>
            <w:tcBorders>
              <w:top w:val="nil"/>
              <w:left w:val="nil"/>
              <w:bottom w:val="single" w:sz="8" w:space="0" w:color="auto"/>
              <w:right w:val="single" w:sz="8" w:space="0" w:color="auto"/>
            </w:tcBorders>
          </w:tcPr>
          <w:p w14:paraId="41B9FD62" w14:textId="77777777" w:rsidR="001C6989" w:rsidRPr="00C476E8" w:rsidRDefault="001C6989" w:rsidP="00F47C06">
            <w:pPr>
              <w:pStyle w:val="TableText-Left"/>
              <w:rPr>
                <w:szCs w:val="18"/>
              </w:rPr>
            </w:pPr>
            <w:r w:rsidRPr="00C476E8">
              <w:rPr>
                <w:szCs w:val="18"/>
              </w:rPr>
              <w:t>Invitation to Losing Supplier to respond with an Objection before the window close</w:t>
            </w:r>
            <w:r>
              <w:rPr>
                <w:szCs w:val="18"/>
              </w:rPr>
              <w:t xml:space="preserve">s </w:t>
            </w:r>
            <w:r w:rsidRPr="00C476E8">
              <w:rPr>
                <w:szCs w:val="18"/>
              </w:rPr>
              <w:t xml:space="preserve">or </w:t>
            </w:r>
            <w:r>
              <w:rPr>
                <w:szCs w:val="18"/>
              </w:rPr>
              <w:t xml:space="preserve">with an </w:t>
            </w:r>
            <w:r w:rsidRPr="00C476E8">
              <w:rPr>
                <w:szCs w:val="18"/>
              </w:rPr>
              <w:t>Annulment</w:t>
            </w:r>
            <w:r>
              <w:rPr>
                <w:szCs w:val="18"/>
              </w:rPr>
              <w:t xml:space="preserve"> before the Switch Request is secured</w:t>
            </w:r>
            <w:r w:rsidRPr="00C476E8">
              <w:rPr>
                <w:szCs w:val="18"/>
              </w:rPr>
              <w:t>.</w:t>
            </w:r>
          </w:p>
        </w:tc>
      </w:tr>
      <w:tr w:rsidR="001C6989" w:rsidRPr="00C476E8" w14:paraId="325B8CB9" w14:textId="77777777" w:rsidTr="00F47C06">
        <w:tc>
          <w:tcPr>
            <w:tcW w:w="1064"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F74595" w14:textId="77777777" w:rsidR="001C6989" w:rsidRPr="00C476E8" w:rsidRDefault="001C6989" w:rsidP="00F47C06">
            <w:pPr>
              <w:pStyle w:val="TableText-Left"/>
              <w:rPr>
                <w:szCs w:val="18"/>
              </w:rPr>
            </w:pPr>
            <w:r w:rsidRPr="00C476E8">
              <w:rPr>
                <w:szCs w:val="18"/>
              </w:rPr>
              <w:t>MEMAppointment</w:t>
            </w:r>
          </w:p>
        </w:tc>
        <w:tc>
          <w:tcPr>
            <w:tcW w:w="610" w:type="pct"/>
            <w:tcBorders>
              <w:top w:val="nil"/>
              <w:left w:val="nil"/>
              <w:bottom w:val="single" w:sz="8" w:space="0" w:color="auto"/>
              <w:right w:val="single" w:sz="8" w:space="0" w:color="auto"/>
            </w:tcBorders>
            <w:hideMark/>
          </w:tcPr>
          <w:p w14:paraId="5E353141" w14:textId="337AEFAF" w:rsidR="001C6989" w:rsidRPr="00C476E8" w:rsidRDefault="00DB63D0" w:rsidP="00F47C06">
            <w:pPr>
              <w:pStyle w:val="TableText-Left"/>
              <w:rPr>
                <w:szCs w:val="18"/>
              </w:rPr>
            </w:pPr>
            <w:r>
              <w:rPr>
                <w:szCs w:val="18"/>
              </w:rPr>
              <w:t>MPAS</w:t>
            </w:r>
          </w:p>
        </w:tc>
        <w:tc>
          <w:tcPr>
            <w:tcW w:w="661" w:type="pct"/>
            <w:tcBorders>
              <w:top w:val="nil"/>
              <w:left w:val="nil"/>
              <w:bottom w:val="single" w:sz="8" w:space="0" w:color="auto"/>
              <w:right w:val="single" w:sz="8" w:space="0" w:color="auto"/>
            </w:tcBorders>
            <w:hideMark/>
          </w:tcPr>
          <w:p w14:paraId="39AF796F" w14:textId="77777777" w:rsidR="001C6989" w:rsidRPr="00C476E8" w:rsidRDefault="001C6989" w:rsidP="00F47C06">
            <w:pPr>
              <w:pStyle w:val="TableText-Left"/>
              <w:rPr>
                <w:szCs w:val="18"/>
              </w:rPr>
            </w:pPr>
            <w:r w:rsidRPr="00C476E8">
              <w:rPr>
                <w:szCs w:val="18"/>
              </w:rPr>
              <w:t>CSS</w:t>
            </w:r>
          </w:p>
        </w:tc>
        <w:tc>
          <w:tcPr>
            <w:tcW w:w="661" w:type="pct"/>
            <w:tcBorders>
              <w:top w:val="nil"/>
              <w:left w:val="nil"/>
              <w:bottom w:val="single" w:sz="8" w:space="0" w:color="auto"/>
              <w:right w:val="single" w:sz="8" w:space="0" w:color="auto"/>
            </w:tcBorders>
            <w:tcMar>
              <w:top w:w="0" w:type="dxa"/>
              <w:left w:w="108" w:type="dxa"/>
              <w:bottom w:w="0" w:type="dxa"/>
              <w:right w:w="108" w:type="dxa"/>
            </w:tcMar>
            <w:hideMark/>
          </w:tcPr>
          <w:p w14:paraId="1BD2639B" w14:textId="77777777" w:rsidR="001C6989" w:rsidRPr="00C476E8" w:rsidRDefault="001C6989" w:rsidP="00F47C06">
            <w:pPr>
              <w:pStyle w:val="TableText-Left"/>
              <w:rPr>
                <w:szCs w:val="18"/>
              </w:rPr>
            </w:pPr>
            <w:r w:rsidRPr="00C476E8">
              <w:rPr>
                <w:szCs w:val="18"/>
              </w:rPr>
              <w:t>Synchronisation</w:t>
            </w:r>
          </w:p>
        </w:tc>
        <w:tc>
          <w:tcPr>
            <w:tcW w:w="560" w:type="pct"/>
            <w:tcBorders>
              <w:top w:val="nil"/>
              <w:left w:val="nil"/>
              <w:bottom w:val="single" w:sz="8" w:space="0" w:color="auto"/>
              <w:right w:val="single" w:sz="8" w:space="0" w:color="auto"/>
            </w:tcBorders>
            <w:tcMar>
              <w:top w:w="0" w:type="dxa"/>
              <w:left w:w="108" w:type="dxa"/>
              <w:bottom w:w="0" w:type="dxa"/>
              <w:right w:w="108" w:type="dxa"/>
            </w:tcMar>
            <w:hideMark/>
          </w:tcPr>
          <w:p w14:paraId="7143E156" w14:textId="77777777" w:rsidR="001C6989" w:rsidRPr="00C476E8" w:rsidRDefault="001C6989" w:rsidP="00F47C06">
            <w:pPr>
              <w:pStyle w:val="TableText-Left"/>
              <w:rPr>
                <w:szCs w:val="18"/>
              </w:rPr>
            </w:pPr>
            <w:r>
              <w:rPr>
                <w:szCs w:val="18"/>
              </w:rPr>
              <w:t>Messaging (buffered at source)</w:t>
            </w:r>
          </w:p>
        </w:tc>
        <w:tc>
          <w:tcPr>
            <w:tcW w:w="1444" w:type="pct"/>
            <w:tcBorders>
              <w:top w:val="nil"/>
              <w:left w:val="nil"/>
              <w:bottom w:val="single" w:sz="8" w:space="0" w:color="auto"/>
              <w:right w:val="single" w:sz="8" w:space="0" w:color="auto"/>
            </w:tcBorders>
            <w:hideMark/>
          </w:tcPr>
          <w:p w14:paraId="54288AA4" w14:textId="6E185A57" w:rsidR="001C6989" w:rsidRPr="00C476E8" w:rsidRDefault="001F708C" w:rsidP="00F47C06">
            <w:pPr>
              <w:pStyle w:val="TableText-Left"/>
              <w:rPr>
                <w:szCs w:val="18"/>
              </w:rPr>
            </w:pPr>
            <w:r>
              <w:rPr>
                <w:szCs w:val="18"/>
              </w:rPr>
              <w:t>Synchronisation of a MEM appointment</w:t>
            </w:r>
          </w:p>
        </w:tc>
      </w:tr>
      <w:tr w:rsidR="001C6989" w:rsidRPr="00C476E8" w14:paraId="0DA17C53" w14:textId="77777777" w:rsidTr="00F47C06">
        <w:tc>
          <w:tcPr>
            <w:tcW w:w="1064" w:type="pct"/>
            <w:vMerge/>
            <w:tcBorders>
              <w:top w:val="nil"/>
              <w:left w:val="single" w:sz="8" w:space="0" w:color="auto"/>
              <w:bottom w:val="single" w:sz="8" w:space="0" w:color="auto"/>
              <w:right w:val="single" w:sz="8" w:space="0" w:color="auto"/>
            </w:tcBorders>
            <w:vAlign w:val="center"/>
            <w:hideMark/>
          </w:tcPr>
          <w:p w14:paraId="7D325232" w14:textId="77777777" w:rsidR="001C6989" w:rsidRPr="00C476E8" w:rsidRDefault="001C6989" w:rsidP="00F47C06">
            <w:pPr>
              <w:pStyle w:val="TableText-Left"/>
              <w:rPr>
                <w:rFonts w:eastAsiaTheme="minorHAnsi"/>
                <w:szCs w:val="18"/>
              </w:rPr>
            </w:pPr>
          </w:p>
        </w:tc>
        <w:tc>
          <w:tcPr>
            <w:tcW w:w="610" w:type="pct"/>
            <w:tcBorders>
              <w:top w:val="nil"/>
              <w:left w:val="nil"/>
              <w:bottom w:val="single" w:sz="8" w:space="0" w:color="auto"/>
              <w:right w:val="single" w:sz="8" w:space="0" w:color="auto"/>
            </w:tcBorders>
            <w:hideMark/>
          </w:tcPr>
          <w:p w14:paraId="0E8842D3" w14:textId="66A34D46" w:rsidR="001C6989" w:rsidRPr="00C476E8" w:rsidRDefault="00A1661D" w:rsidP="00F47C06">
            <w:pPr>
              <w:pStyle w:val="TableText-Left"/>
              <w:rPr>
                <w:szCs w:val="18"/>
              </w:rPr>
            </w:pPr>
            <w:r>
              <w:rPr>
                <w:szCs w:val="18"/>
              </w:rPr>
              <w:t>UK Link</w:t>
            </w:r>
          </w:p>
        </w:tc>
        <w:tc>
          <w:tcPr>
            <w:tcW w:w="661" w:type="pct"/>
            <w:tcBorders>
              <w:top w:val="nil"/>
              <w:left w:val="nil"/>
              <w:bottom w:val="single" w:sz="8" w:space="0" w:color="auto"/>
              <w:right w:val="single" w:sz="8" w:space="0" w:color="auto"/>
            </w:tcBorders>
            <w:hideMark/>
          </w:tcPr>
          <w:p w14:paraId="1C785978" w14:textId="77777777" w:rsidR="001C6989" w:rsidRPr="00C476E8" w:rsidRDefault="001C6989" w:rsidP="00F47C06">
            <w:pPr>
              <w:pStyle w:val="TableText-Left"/>
              <w:rPr>
                <w:szCs w:val="18"/>
              </w:rPr>
            </w:pPr>
            <w:r w:rsidRPr="00C476E8">
              <w:rPr>
                <w:szCs w:val="18"/>
              </w:rPr>
              <w:t>CSS</w:t>
            </w:r>
          </w:p>
        </w:tc>
        <w:tc>
          <w:tcPr>
            <w:tcW w:w="661" w:type="pct"/>
            <w:tcBorders>
              <w:top w:val="nil"/>
              <w:left w:val="nil"/>
              <w:bottom w:val="single" w:sz="8" w:space="0" w:color="auto"/>
              <w:right w:val="single" w:sz="8" w:space="0" w:color="auto"/>
            </w:tcBorders>
            <w:tcMar>
              <w:top w:w="0" w:type="dxa"/>
              <w:left w:w="108" w:type="dxa"/>
              <w:bottom w:w="0" w:type="dxa"/>
              <w:right w:w="108" w:type="dxa"/>
            </w:tcMar>
            <w:hideMark/>
          </w:tcPr>
          <w:p w14:paraId="500D08A4" w14:textId="77777777" w:rsidR="001C6989" w:rsidRPr="00C476E8" w:rsidRDefault="001C6989" w:rsidP="00F47C06">
            <w:pPr>
              <w:pStyle w:val="TableText-Left"/>
              <w:rPr>
                <w:szCs w:val="18"/>
              </w:rPr>
            </w:pPr>
            <w:r w:rsidRPr="00C476E8">
              <w:rPr>
                <w:szCs w:val="18"/>
              </w:rPr>
              <w:t>Synchronisation</w:t>
            </w:r>
          </w:p>
        </w:tc>
        <w:tc>
          <w:tcPr>
            <w:tcW w:w="560" w:type="pct"/>
            <w:tcBorders>
              <w:top w:val="nil"/>
              <w:left w:val="nil"/>
              <w:bottom w:val="single" w:sz="8" w:space="0" w:color="auto"/>
              <w:right w:val="single" w:sz="8" w:space="0" w:color="auto"/>
            </w:tcBorders>
            <w:tcMar>
              <w:top w:w="0" w:type="dxa"/>
              <w:left w:w="108" w:type="dxa"/>
              <w:bottom w:w="0" w:type="dxa"/>
              <w:right w:w="108" w:type="dxa"/>
            </w:tcMar>
            <w:hideMark/>
          </w:tcPr>
          <w:p w14:paraId="1F115053" w14:textId="77777777" w:rsidR="001C6989" w:rsidRPr="00C476E8" w:rsidRDefault="001C6989" w:rsidP="00F47C06">
            <w:pPr>
              <w:pStyle w:val="TableText-Left"/>
              <w:rPr>
                <w:szCs w:val="18"/>
              </w:rPr>
            </w:pPr>
            <w:r>
              <w:rPr>
                <w:szCs w:val="18"/>
              </w:rPr>
              <w:t>Messaging (buffered at source)</w:t>
            </w:r>
          </w:p>
        </w:tc>
        <w:tc>
          <w:tcPr>
            <w:tcW w:w="1444" w:type="pct"/>
            <w:tcBorders>
              <w:top w:val="nil"/>
              <w:left w:val="nil"/>
              <w:bottom w:val="single" w:sz="8" w:space="0" w:color="auto"/>
              <w:right w:val="single" w:sz="8" w:space="0" w:color="auto"/>
            </w:tcBorders>
            <w:hideMark/>
          </w:tcPr>
          <w:p w14:paraId="76434456" w14:textId="0FA89957" w:rsidR="001C6989" w:rsidRPr="00C476E8" w:rsidRDefault="001F708C" w:rsidP="00F47C06">
            <w:pPr>
              <w:pStyle w:val="TableText-Left"/>
              <w:rPr>
                <w:szCs w:val="18"/>
              </w:rPr>
            </w:pPr>
            <w:r>
              <w:rPr>
                <w:szCs w:val="18"/>
              </w:rPr>
              <w:t>Synchronisation of a MEM appointment</w:t>
            </w:r>
          </w:p>
        </w:tc>
      </w:tr>
      <w:tr w:rsidR="001C6989" w:rsidRPr="00C476E8" w14:paraId="27D801C0" w14:textId="77777777" w:rsidTr="00F47C06">
        <w:tc>
          <w:tcPr>
            <w:tcW w:w="106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2B30FB" w14:textId="77777777" w:rsidR="001C6989" w:rsidRPr="00C476E8" w:rsidRDefault="001C6989" w:rsidP="00F47C06">
            <w:pPr>
              <w:pStyle w:val="TableText-Left"/>
              <w:rPr>
                <w:szCs w:val="18"/>
              </w:rPr>
            </w:pPr>
            <w:r w:rsidRPr="00C476E8">
              <w:rPr>
                <w:szCs w:val="18"/>
              </w:rPr>
              <w:t>MeteringPointSync</w:t>
            </w:r>
          </w:p>
        </w:tc>
        <w:tc>
          <w:tcPr>
            <w:tcW w:w="610" w:type="pct"/>
            <w:tcBorders>
              <w:top w:val="nil"/>
              <w:left w:val="nil"/>
              <w:bottom w:val="single" w:sz="8" w:space="0" w:color="auto"/>
              <w:right w:val="single" w:sz="8" w:space="0" w:color="auto"/>
            </w:tcBorders>
            <w:hideMark/>
          </w:tcPr>
          <w:p w14:paraId="1F02C2D6" w14:textId="43BD4651" w:rsidR="001C6989" w:rsidRPr="00C476E8" w:rsidRDefault="00DB63D0" w:rsidP="00F47C06">
            <w:pPr>
              <w:pStyle w:val="TableText-Left"/>
              <w:rPr>
                <w:szCs w:val="18"/>
              </w:rPr>
            </w:pPr>
            <w:r>
              <w:rPr>
                <w:szCs w:val="18"/>
              </w:rPr>
              <w:t>MPAS</w:t>
            </w:r>
          </w:p>
        </w:tc>
        <w:tc>
          <w:tcPr>
            <w:tcW w:w="661" w:type="pct"/>
            <w:tcBorders>
              <w:top w:val="nil"/>
              <w:left w:val="nil"/>
              <w:bottom w:val="single" w:sz="8" w:space="0" w:color="auto"/>
              <w:right w:val="single" w:sz="8" w:space="0" w:color="auto"/>
            </w:tcBorders>
            <w:hideMark/>
          </w:tcPr>
          <w:p w14:paraId="47F94151" w14:textId="77777777" w:rsidR="001C6989" w:rsidRPr="00C476E8" w:rsidRDefault="001C6989" w:rsidP="00F47C06">
            <w:pPr>
              <w:pStyle w:val="TableText-Left"/>
              <w:rPr>
                <w:szCs w:val="18"/>
              </w:rPr>
            </w:pPr>
            <w:r w:rsidRPr="00C476E8">
              <w:rPr>
                <w:szCs w:val="18"/>
              </w:rPr>
              <w:t>CSS</w:t>
            </w:r>
          </w:p>
        </w:tc>
        <w:tc>
          <w:tcPr>
            <w:tcW w:w="661" w:type="pct"/>
            <w:tcBorders>
              <w:top w:val="nil"/>
              <w:left w:val="nil"/>
              <w:bottom w:val="single" w:sz="8" w:space="0" w:color="auto"/>
              <w:right w:val="single" w:sz="8" w:space="0" w:color="auto"/>
            </w:tcBorders>
            <w:tcMar>
              <w:top w:w="0" w:type="dxa"/>
              <w:left w:w="108" w:type="dxa"/>
              <w:bottom w:w="0" w:type="dxa"/>
              <w:right w:w="108" w:type="dxa"/>
            </w:tcMar>
            <w:hideMark/>
          </w:tcPr>
          <w:p w14:paraId="404B9565" w14:textId="77777777" w:rsidR="001C6989" w:rsidRPr="00C476E8" w:rsidRDefault="001C6989" w:rsidP="00F47C06">
            <w:pPr>
              <w:pStyle w:val="TableText-Left"/>
              <w:rPr>
                <w:szCs w:val="18"/>
              </w:rPr>
            </w:pPr>
            <w:r w:rsidRPr="00C476E8">
              <w:rPr>
                <w:szCs w:val="18"/>
              </w:rPr>
              <w:t>Synchronisation</w:t>
            </w:r>
          </w:p>
        </w:tc>
        <w:tc>
          <w:tcPr>
            <w:tcW w:w="560" w:type="pct"/>
            <w:tcBorders>
              <w:top w:val="nil"/>
              <w:left w:val="nil"/>
              <w:bottom w:val="single" w:sz="8" w:space="0" w:color="auto"/>
              <w:right w:val="single" w:sz="8" w:space="0" w:color="auto"/>
            </w:tcBorders>
            <w:tcMar>
              <w:top w:w="0" w:type="dxa"/>
              <w:left w:w="108" w:type="dxa"/>
              <w:bottom w:w="0" w:type="dxa"/>
              <w:right w:w="108" w:type="dxa"/>
            </w:tcMar>
            <w:hideMark/>
          </w:tcPr>
          <w:p w14:paraId="2EAF1CC8" w14:textId="77777777" w:rsidR="001C6989" w:rsidRPr="00C476E8" w:rsidRDefault="001C6989" w:rsidP="00F47C06">
            <w:pPr>
              <w:pStyle w:val="TableText-Left"/>
              <w:rPr>
                <w:szCs w:val="18"/>
              </w:rPr>
            </w:pPr>
            <w:r>
              <w:rPr>
                <w:szCs w:val="18"/>
              </w:rPr>
              <w:t>Messaging (buffered at source)</w:t>
            </w:r>
          </w:p>
        </w:tc>
        <w:tc>
          <w:tcPr>
            <w:tcW w:w="1444" w:type="pct"/>
            <w:tcBorders>
              <w:top w:val="nil"/>
              <w:left w:val="nil"/>
              <w:bottom w:val="single" w:sz="8" w:space="0" w:color="auto"/>
              <w:right w:val="single" w:sz="8" w:space="0" w:color="auto"/>
            </w:tcBorders>
            <w:hideMark/>
          </w:tcPr>
          <w:p w14:paraId="0EEFFD60" w14:textId="3DD469C8" w:rsidR="001C6989" w:rsidRPr="00C476E8" w:rsidRDefault="001C6989" w:rsidP="00F47C06">
            <w:pPr>
              <w:pStyle w:val="TableText-Left"/>
              <w:rPr>
                <w:szCs w:val="18"/>
              </w:rPr>
            </w:pPr>
            <w:r w:rsidRPr="00C476E8">
              <w:rPr>
                <w:szCs w:val="18"/>
              </w:rPr>
              <w:t xml:space="preserve">Synchronisation of </w:t>
            </w:r>
            <w:r>
              <w:rPr>
                <w:szCs w:val="18"/>
              </w:rPr>
              <w:t>electricity</w:t>
            </w:r>
            <w:r w:rsidRPr="00C476E8">
              <w:rPr>
                <w:szCs w:val="18"/>
              </w:rPr>
              <w:t xml:space="preserve"> RMPs</w:t>
            </w:r>
            <w:r>
              <w:rPr>
                <w:szCs w:val="18"/>
              </w:rPr>
              <w:t xml:space="preserve"> and associated data, including </w:t>
            </w:r>
            <w:r w:rsidR="00FA7022">
              <w:t xml:space="preserve">changes of agents, changes of shipper, and </w:t>
            </w:r>
            <w:r>
              <w:t>primary asset MAP ownership</w:t>
            </w:r>
          </w:p>
        </w:tc>
      </w:tr>
      <w:tr w:rsidR="001C6989" w:rsidRPr="00C476E8" w14:paraId="65CFBFA6" w14:textId="77777777" w:rsidTr="00F47C06">
        <w:tc>
          <w:tcPr>
            <w:tcW w:w="106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4C7ED3B" w14:textId="77777777" w:rsidR="001C6989" w:rsidRPr="00C476E8" w:rsidRDefault="001C6989" w:rsidP="00F47C06">
            <w:pPr>
              <w:pStyle w:val="TableText-Left"/>
              <w:rPr>
                <w:szCs w:val="18"/>
              </w:rPr>
            </w:pPr>
            <w:r w:rsidRPr="00C476E8">
              <w:rPr>
                <w:szCs w:val="18"/>
              </w:rPr>
              <w:t>RegistrationSync</w:t>
            </w:r>
          </w:p>
        </w:tc>
        <w:tc>
          <w:tcPr>
            <w:tcW w:w="610" w:type="pct"/>
            <w:tcBorders>
              <w:top w:val="nil"/>
              <w:left w:val="nil"/>
              <w:bottom w:val="single" w:sz="8" w:space="0" w:color="auto"/>
              <w:right w:val="single" w:sz="8" w:space="0" w:color="auto"/>
            </w:tcBorders>
          </w:tcPr>
          <w:p w14:paraId="24E4B90B" w14:textId="77777777" w:rsidR="001C6989" w:rsidRPr="00C476E8" w:rsidRDefault="001C6989" w:rsidP="00F47C06">
            <w:pPr>
              <w:pStyle w:val="TableText-Left"/>
              <w:rPr>
                <w:szCs w:val="18"/>
              </w:rPr>
            </w:pPr>
            <w:r w:rsidRPr="00C476E8">
              <w:rPr>
                <w:szCs w:val="18"/>
              </w:rPr>
              <w:t>CSS</w:t>
            </w:r>
          </w:p>
        </w:tc>
        <w:tc>
          <w:tcPr>
            <w:tcW w:w="661" w:type="pct"/>
            <w:tcBorders>
              <w:top w:val="nil"/>
              <w:left w:val="nil"/>
              <w:bottom w:val="single" w:sz="8" w:space="0" w:color="auto"/>
              <w:right w:val="single" w:sz="8" w:space="0" w:color="auto"/>
            </w:tcBorders>
          </w:tcPr>
          <w:p w14:paraId="759B8ED8" w14:textId="5175852E" w:rsidR="001C6989" w:rsidRPr="00C476E8" w:rsidRDefault="00DB63D0" w:rsidP="00F47C06">
            <w:pPr>
              <w:pStyle w:val="TableText-Left"/>
              <w:rPr>
                <w:szCs w:val="18"/>
              </w:rPr>
            </w:pPr>
            <w:r>
              <w:rPr>
                <w:szCs w:val="18"/>
              </w:rPr>
              <w:t>MPAS</w:t>
            </w:r>
          </w:p>
          <w:p w14:paraId="6BC3E8FB" w14:textId="0806F9A2" w:rsidR="001C6989" w:rsidRPr="00C476E8" w:rsidRDefault="00A1661D" w:rsidP="00F47C06">
            <w:pPr>
              <w:pStyle w:val="TableText-Left"/>
              <w:rPr>
                <w:szCs w:val="18"/>
              </w:rPr>
            </w:pPr>
            <w:r>
              <w:rPr>
                <w:szCs w:val="18"/>
              </w:rPr>
              <w:t>UK Link</w:t>
            </w:r>
          </w:p>
        </w:tc>
        <w:tc>
          <w:tcPr>
            <w:tcW w:w="661" w:type="pct"/>
            <w:tcBorders>
              <w:top w:val="nil"/>
              <w:left w:val="nil"/>
              <w:bottom w:val="single" w:sz="8" w:space="0" w:color="auto"/>
              <w:right w:val="single" w:sz="8" w:space="0" w:color="auto"/>
            </w:tcBorders>
            <w:tcMar>
              <w:top w:w="0" w:type="dxa"/>
              <w:left w:w="108" w:type="dxa"/>
              <w:bottom w:w="0" w:type="dxa"/>
              <w:right w:w="108" w:type="dxa"/>
            </w:tcMar>
          </w:tcPr>
          <w:p w14:paraId="55CDD068" w14:textId="77777777" w:rsidR="001C6989" w:rsidRPr="00C476E8" w:rsidRDefault="001C6989" w:rsidP="00F47C06">
            <w:pPr>
              <w:pStyle w:val="TableText-Left"/>
              <w:rPr>
                <w:szCs w:val="18"/>
              </w:rPr>
            </w:pPr>
            <w:r w:rsidRPr="00C476E8">
              <w:rPr>
                <w:szCs w:val="18"/>
              </w:rPr>
              <w:t>Synchronisation</w:t>
            </w:r>
          </w:p>
        </w:tc>
        <w:tc>
          <w:tcPr>
            <w:tcW w:w="560" w:type="pct"/>
            <w:tcBorders>
              <w:top w:val="nil"/>
              <w:left w:val="nil"/>
              <w:bottom w:val="single" w:sz="8" w:space="0" w:color="auto"/>
              <w:right w:val="single" w:sz="8" w:space="0" w:color="auto"/>
            </w:tcBorders>
            <w:tcMar>
              <w:top w:w="0" w:type="dxa"/>
              <w:left w:w="108" w:type="dxa"/>
              <w:bottom w:w="0" w:type="dxa"/>
              <w:right w:w="108" w:type="dxa"/>
            </w:tcMar>
          </w:tcPr>
          <w:p w14:paraId="53C0FCEC" w14:textId="77777777" w:rsidR="001C6989" w:rsidRPr="00C476E8" w:rsidRDefault="001C6989" w:rsidP="00F47C06">
            <w:pPr>
              <w:pStyle w:val="TableText-Left"/>
              <w:rPr>
                <w:szCs w:val="18"/>
              </w:rPr>
            </w:pPr>
            <w:r>
              <w:rPr>
                <w:szCs w:val="18"/>
              </w:rPr>
              <w:t>Messaging (buffered at destination)</w:t>
            </w:r>
          </w:p>
        </w:tc>
        <w:tc>
          <w:tcPr>
            <w:tcW w:w="1444" w:type="pct"/>
            <w:tcBorders>
              <w:top w:val="nil"/>
              <w:left w:val="nil"/>
              <w:bottom w:val="single" w:sz="8" w:space="0" w:color="auto"/>
              <w:right w:val="single" w:sz="8" w:space="0" w:color="auto"/>
            </w:tcBorders>
          </w:tcPr>
          <w:p w14:paraId="2DB3CD17" w14:textId="18EAE36B" w:rsidR="001C6989" w:rsidRPr="00C476E8" w:rsidRDefault="001C6989" w:rsidP="00F47C06">
            <w:pPr>
              <w:pStyle w:val="TableText-Left"/>
              <w:rPr>
                <w:szCs w:val="18"/>
              </w:rPr>
            </w:pPr>
            <w:r w:rsidRPr="00C476E8">
              <w:rPr>
                <w:szCs w:val="18"/>
              </w:rPr>
              <w:t>Synchronisation of Registration</w:t>
            </w:r>
            <w:r>
              <w:rPr>
                <w:szCs w:val="18"/>
              </w:rPr>
              <w:t xml:space="preserve"> changes</w:t>
            </w:r>
            <w:r w:rsidRPr="00C476E8">
              <w:rPr>
                <w:szCs w:val="18"/>
              </w:rPr>
              <w:t xml:space="preserve"> </w:t>
            </w:r>
            <w:r>
              <w:rPr>
                <w:szCs w:val="18"/>
              </w:rPr>
              <w:t xml:space="preserve">including updates (e.g. shipper changes) </w:t>
            </w:r>
            <w:r w:rsidRPr="00C476E8">
              <w:rPr>
                <w:szCs w:val="18"/>
              </w:rPr>
              <w:t xml:space="preserve">between CSS and </w:t>
            </w:r>
            <w:r w:rsidR="00DB63D0">
              <w:rPr>
                <w:szCs w:val="18"/>
              </w:rPr>
              <w:t>MPAS</w:t>
            </w:r>
            <w:r w:rsidRPr="00C476E8">
              <w:rPr>
                <w:szCs w:val="18"/>
              </w:rPr>
              <w:t xml:space="preserve">, </w:t>
            </w:r>
            <w:r w:rsidR="00A1661D">
              <w:rPr>
                <w:szCs w:val="18"/>
              </w:rPr>
              <w:t>UK Link</w:t>
            </w:r>
            <w:r w:rsidRPr="00C476E8">
              <w:rPr>
                <w:szCs w:val="18"/>
              </w:rPr>
              <w:t>.</w:t>
            </w:r>
          </w:p>
        </w:tc>
      </w:tr>
      <w:tr w:rsidR="001C6989" w:rsidRPr="00C476E8" w14:paraId="5FD8F310" w14:textId="77777777" w:rsidTr="00F47C06">
        <w:tc>
          <w:tcPr>
            <w:tcW w:w="106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DF82A67" w14:textId="77777777" w:rsidR="001C6989" w:rsidRDefault="001C6989" w:rsidP="00F47C06">
            <w:pPr>
              <w:pStyle w:val="TableText-Left"/>
              <w:rPr>
                <w:szCs w:val="18"/>
              </w:rPr>
            </w:pPr>
            <w:r w:rsidRPr="00C476E8">
              <w:rPr>
                <w:szCs w:val="18"/>
              </w:rPr>
              <w:t>RegistrationSync</w:t>
            </w:r>
          </w:p>
          <w:p w14:paraId="647FAF38" w14:textId="77777777" w:rsidR="001C6989" w:rsidRDefault="001C6989" w:rsidP="00F47C06">
            <w:pPr>
              <w:pStyle w:val="TableText-Left"/>
              <w:rPr>
                <w:szCs w:val="18"/>
              </w:rPr>
            </w:pPr>
          </w:p>
          <w:p w14:paraId="1171F6A6" w14:textId="77777777" w:rsidR="001C6989" w:rsidRPr="00C476E8" w:rsidRDefault="001C6989" w:rsidP="00F47C06">
            <w:pPr>
              <w:pStyle w:val="TableText-Left"/>
              <w:rPr>
                <w:szCs w:val="18"/>
              </w:rPr>
            </w:pPr>
            <w:r>
              <w:rPr>
                <w:szCs w:val="18"/>
              </w:rPr>
              <w:t>Change of Shipper</w:t>
            </w:r>
          </w:p>
        </w:tc>
        <w:tc>
          <w:tcPr>
            <w:tcW w:w="610" w:type="pct"/>
            <w:tcBorders>
              <w:top w:val="nil"/>
              <w:left w:val="nil"/>
              <w:bottom w:val="single" w:sz="8" w:space="0" w:color="auto"/>
              <w:right w:val="single" w:sz="8" w:space="0" w:color="auto"/>
            </w:tcBorders>
          </w:tcPr>
          <w:p w14:paraId="5C100915" w14:textId="77777777" w:rsidR="001C6989" w:rsidRPr="00C476E8" w:rsidRDefault="001C6989" w:rsidP="00F47C06">
            <w:pPr>
              <w:pStyle w:val="TableText-Left"/>
              <w:rPr>
                <w:szCs w:val="18"/>
              </w:rPr>
            </w:pPr>
            <w:r w:rsidRPr="00C476E8">
              <w:rPr>
                <w:szCs w:val="18"/>
              </w:rPr>
              <w:t>CSS</w:t>
            </w:r>
          </w:p>
        </w:tc>
        <w:tc>
          <w:tcPr>
            <w:tcW w:w="661" w:type="pct"/>
            <w:tcBorders>
              <w:top w:val="nil"/>
              <w:left w:val="nil"/>
              <w:bottom w:val="single" w:sz="8" w:space="0" w:color="auto"/>
              <w:right w:val="single" w:sz="8" w:space="0" w:color="auto"/>
            </w:tcBorders>
          </w:tcPr>
          <w:p w14:paraId="6E394F1B" w14:textId="24667B3B" w:rsidR="001C6989" w:rsidRPr="00C476E8" w:rsidRDefault="00A1661D" w:rsidP="00F47C06">
            <w:pPr>
              <w:pStyle w:val="TableText-Left"/>
              <w:rPr>
                <w:szCs w:val="18"/>
              </w:rPr>
            </w:pPr>
            <w:r>
              <w:rPr>
                <w:szCs w:val="18"/>
              </w:rPr>
              <w:t>UK Link</w:t>
            </w:r>
          </w:p>
        </w:tc>
        <w:tc>
          <w:tcPr>
            <w:tcW w:w="661" w:type="pct"/>
            <w:tcBorders>
              <w:top w:val="nil"/>
              <w:left w:val="nil"/>
              <w:bottom w:val="single" w:sz="8" w:space="0" w:color="auto"/>
              <w:right w:val="single" w:sz="8" w:space="0" w:color="auto"/>
            </w:tcBorders>
            <w:tcMar>
              <w:top w:w="0" w:type="dxa"/>
              <w:left w:w="108" w:type="dxa"/>
              <w:bottom w:w="0" w:type="dxa"/>
              <w:right w:w="108" w:type="dxa"/>
            </w:tcMar>
          </w:tcPr>
          <w:p w14:paraId="279CAEE7" w14:textId="77777777" w:rsidR="001C6989" w:rsidRPr="00C476E8" w:rsidRDefault="001C6989" w:rsidP="00F47C06">
            <w:pPr>
              <w:pStyle w:val="TableText-Left"/>
              <w:rPr>
                <w:szCs w:val="18"/>
              </w:rPr>
            </w:pPr>
            <w:r w:rsidRPr="00C476E8">
              <w:rPr>
                <w:szCs w:val="18"/>
              </w:rPr>
              <w:t>Synchronisation</w:t>
            </w:r>
          </w:p>
        </w:tc>
        <w:tc>
          <w:tcPr>
            <w:tcW w:w="560" w:type="pct"/>
            <w:tcBorders>
              <w:top w:val="nil"/>
              <w:left w:val="nil"/>
              <w:bottom w:val="single" w:sz="8" w:space="0" w:color="auto"/>
              <w:right w:val="single" w:sz="8" w:space="0" w:color="auto"/>
            </w:tcBorders>
            <w:tcMar>
              <w:top w:w="0" w:type="dxa"/>
              <w:left w:w="108" w:type="dxa"/>
              <w:bottom w:w="0" w:type="dxa"/>
              <w:right w:w="108" w:type="dxa"/>
            </w:tcMar>
          </w:tcPr>
          <w:p w14:paraId="40EEA391" w14:textId="77777777" w:rsidR="001C6989" w:rsidRPr="00C476E8" w:rsidRDefault="001C6989" w:rsidP="00F47C06">
            <w:pPr>
              <w:pStyle w:val="TableText-Left"/>
              <w:rPr>
                <w:szCs w:val="18"/>
              </w:rPr>
            </w:pPr>
            <w:r>
              <w:rPr>
                <w:szCs w:val="18"/>
              </w:rPr>
              <w:t>Messaging (buffered at destination)</w:t>
            </w:r>
          </w:p>
        </w:tc>
        <w:tc>
          <w:tcPr>
            <w:tcW w:w="1444" w:type="pct"/>
            <w:tcBorders>
              <w:top w:val="nil"/>
              <w:left w:val="nil"/>
              <w:bottom w:val="single" w:sz="8" w:space="0" w:color="auto"/>
              <w:right w:val="single" w:sz="8" w:space="0" w:color="auto"/>
            </w:tcBorders>
          </w:tcPr>
          <w:p w14:paraId="1E05CEBD" w14:textId="26D5B08B" w:rsidR="001C6989" w:rsidRPr="00C476E8" w:rsidRDefault="001C6989" w:rsidP="00F47C06">
            <w:pPr>
              <w:pStyle w:val="TableText-Left"/>
              <w:rPr>
                <w:szCs w:val="18"/>
              </w:rPr>
            </w:pPr>
            <w:r w:rsidRPr="00C476E8">
              <w:rPr>
                <w:szCs w:val="18"/>
              </w:rPr>
              <w:t xml:space="preserve">Synchronisation of </w:t>
            </w:r>
            <w:r>
              <w:rPr>
                <w:szCs w:val="18"/>
              </w:rPr>
              <w:t xml:space="preserve">registration Changes </w:t>
            </w:r>
            <w:r w:rsidRPr="00C476E8">
              <w:rPr>
                <w:szCs w:val="18"/>
              </w:rPr>
              <w:t xml:space="preserve">between CSS and </w:t>
            </w:r>
            <w:r w:rsidR="00A1661D">
              <w:rPr>
                <w:szCs w:val="18"/>
              </w:rPr>
              <w:t>UK Link</w:t>
            </w:r>
            <w:r w:rsidRPr="00C476E8">
              <w:rPr>
                <w:szCs w:val="18"/>
              </w:rPr>
              <w:t>.</w:t>
            </w:r>
          </w:p>
        </w:tc>
      </w:tr>
      <w:tr w:rsidR="001C6989" w:rsidRPr="00C476E8" w14:paraId="08000C09" w14:textId="77777777" w:rsidTr="00F47C06">
        <w:tc>
          <w:tcPr>
            <w:tcW w:w="106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0F194D1" w14:textId="77777777" w:rsidR="001C6989" w:rsidRPr="00C476E8" w:rsidRDefault="001C6989" w:rsidP="00F47C06">
            <w:pPr>
              <w:pStyle w:val="TableText-Left"/>
              <w:rPr>
                <w:szCs w:val="18"/>
              </w:rPr>
            </w:pPr>
            <w:r w:rsidRPr="00C476E8">
              <w:rPr>
                <w:szCs w:val="18"/>
              </w:rPr>
              <w:t>RegMgmtRequestNotification:</w:t>
            </w:r>
          </w:p>
          <w:p w14:paraId="6EE6CDE5" w14:textId="77777777" w:rsidR="001C6989" w:rsidRPr="00C476E8" w:rsidRDefault="001C6989" w:rsidP="00F47C06">
            <w:pPr>
              <w:pStyle w:val="TableText-Left"/>
              <w:rPr>
                <w:szCs w:val="18"/>
              </w:rPr>
            </w:pPr>
          </w:p>
          <w:p w14:paraId="2775BE55" w14:textId="77777777" w:rsidR="001C6989" w:rsidRPr="00C476E8" w:rsidRDefault="001C6989" w:rsidP="00F47C06">
            <w:pPr>
              <w:pStyle w:val="TableText-Left"/>
              <w:rPr>
                <w:szCs w:val="18"/>
              </w:rPr>
            </w:pPr>
            <w:r w:rsidRPr="00C476E8">
              <w:rPr>
                <w:szCs w:val="18"/>
              </w:rPr>
              <w:t>Switch request validated</w:t>
            </w:r>
          </w:p>
        </w:tc>
        <w:tc>
          <w:tcPr>
            <w:tcW w:w="610" w:type="pct"/>
            <w:tcBorders>
              <w:top w:val="nil"/>
              <w:left w:val="nil"/>
              <w:bottom w:val="single" w:sz="8" w:space="0" w:color="auto"/>
              <w:right w:val="single" w:sz="8" w:space="0" w:color="auto"/>
            </w:tcBorders>
          </w:tcPr>
          <w:p w14:paraId="6B138B55" w14:textId="77777777" w:rsidR="001C6989" w:rsidRPr="00C476E8" w:rsidRDefault="001C6989" w:rsidP="00F47C06">
            <w:pPr>
              <w:pStyle w:val="TableText-Left"/>
              <w:rPr>
                <w:szCs w:val="18"/>
              </w:rPr>
            </w:pPr>
            <w:r w:rsidRPr="00C476E8">
              <w:rPr>
                <w:szCs w:val="18"/>
              </w:rPr>
              <w:t>CSS</w:t>
            </w:r>
          </w:p>
        </w:tc>
        <w:tc>
          <w:tcPr>
            <w:tcW w:w="661" w:type="pct"/>
            <w:tcBorders>
              <w:top w:val="nil"/>
              <w:left w:val="nil"/>
              <w:bottom w:val="single" w:sz="8" w:space="0" w:color="auto"/>
              <w:right w:val="single" w:sz="8" w:space="0" w:color="auto"/>
            </w:tcBorders>
          </w:tcPr>
          <w:p w14:paraId="67D52E84" w14:textId="77777777" w:rsidR="001C6989" w:rsidRPr="00C476E8" w:rsidRDefault="001C6989" w:rsidP="00F47C06">
            <w:pPr>
              <w:pStyle w:val="TableText-Left"/>
              <w:rPr>
                <w:szCs w:val="18"/>
              </w:rPr>
            </w:pPr>
            <w:r w:rsidRPr="00C476E8">
              <w:rPr>
                <w:szCs w:val="18"/>
              </w:rPr>
              <w:t>Gaining supplier</w:t>
            </w:r>
          </w:p>
          <w:p w14:paraId="78667ADB" w14:textId="77777777" w:rsidR="001C6989" w:rsidRPr="00C476E8" w:rsidRDefault="001C6989" w:rsidP="00F47C06">
            <w:pPr>
              <w:pStyle w:val="TableText-Left"/>
              <w:rPr>
                <w:szCs w:val="18"/>
              </w:rPr>
            </w:pPr>
            <w:r w:rsidRPr="00C476E8">
              <w:rPr>
                <w:szCs w:val="18"/>
              </w:rPr>
              <w:t>Gaining shipper</w:t>
            </w:r>
          </w:p>
          <w:p w14:paraId="0E841BE6" w14:textId="77777777" w:rsidR="001C6989" w:rsidRPr="00C476E8" w:rsidRDefault="001C6989" w:rsidP="00F47C06">
            <w:pPr>
              <w:pStyle w:val="TableText-Left"/>
              <w:rPr>
                <w:szCs w:val="18"/>
              </w:rPr>
            </w:pPr>
            <w:r w:rsidRPr="00C476E8">
              <w:rPr>
                <w:szCs w:val="18"/>
              </w:rPr>
              <w:t>Losing supplier</w:t>
            </w:r>
          </w:p>
          <w:p w14:paraId="7D2EEF3D" w14:textId="77777777" w:rsidR="001C6989" w:rsidRPr="00C476E8" w:rsidRDefault="001C6989" w:rsidP="00F47C06">
            <w:pPr>
              <w:pStyle w:val="TableText-Left"/>
              <w:rPr>
                <w:szCs w:val="18"/>
              </w:rPr>
            </w:pPr>
            <w:r w:rsidRPr="00C476E8">
              <w:rPr>
                <w:szCs w:val="18"/>
              </w:rPr>
              <w:t>Losing shipper</w:t>
            </w:r>
          </w:p>
        </w:tc>
        <w:tc>
          <w:tcPr>
            <w:tcW w:w="661" w:type="pct"/>
            <w:tcBorders>
              <w:top w:val="nil"/>
              <w:left w:val="nil"/>
              <w:bottom w:val="single" w:sz="8" w:space="0" w:color="auto"/>
              <w:right w:val="single" w:sz="8" w:space="0" w:color="auto"/>
            </w:tcBorders>
            <w:tcMar>
              <w:top w:w="0" w:type="dxa"/>
              <w:left w:w="108" w:type="dxa"/>
              <w:bottom w:w="0" w:type="dxa"/>
              <w:right w:w="108" w:type="dxa"/>
            </w:tcMar>
          </w:tcPr>
          <w:p w14:paraId="0C9CE934" w14:textId="77777777" w:rsidR="001C6989" w:rsidRPr="00C476E8" w:rsidRDefault="001C6989" w:rsidP="00F47C06">
            <w:pPr>
              <w:pStyle w:val="TableText-Left"/>
              <w:rPr>
                <w:szCs w:val="18"/>
              </w:rPr>
            </w:pPr>
            <w:r w:rsidRPr="00C476E8">
              <w:rPr>
                <w:szCs w:val="18"/>
              </w:rPr>
              <w:t>Notification</w:t>
            </w:r>
          </w:p>
        </w:tc>
        <w:tc>
          <w:tcPr>
            <w:tcW w:w="560" w:type="pct"/>
            <w:tcBorders>
              <w:top w:val="nil"/>
              <w:left w:val="nil"/>
              <w:bottom w:val="single" w:sz="8" w:space="0" w:color="auto"/>
              <w:right w:val="single" w:sz="8" w:space="0" w:color="auto"/>
            </w:tcBorders>
            <w:tcMar>
              <w:top w:w="0" w:type="dxa"/>
              <w:left w:w="108" w:type="dxa"/>
              <w:bottom w:w="0" w:type="dxa"/>
              <w:right w:w="108" w:type="dxa"/>
            </w:tcMar>
          </w:tcPr>
          <w:p w14:paraId="7AAB350C" w14:textId="77777777" w:rsidR="001C6989" w:rsidRPr="00C476E8" w:rsidRDefault="001C6989" w:rsidP="00F47C06">
            <w:pPr>
              <w:pStyle w:val="TableText-Left"/>
              <w:rPr>
                <w:szCs w:val="18"/>
              </w:rPr>
            </w:pPr>
            <w:r>
              <w:rPr>
                <w:szCs w:val="18"/>
              </w:rPr>
              <w:t>Messaging</w:t>
            </w:r>
          </w:p>
        </w:tc>
        <w:tc>
          <w:tcPr>
            <w:tcW w:w="1444" w:type="pct"/>
            <w:tcBorders>
              <w:top w:val="nil"/>
              <w:left w:val="nil"/>
              <w:bottom w:val="single" w:sz="8" w:space="0" w:color="auto"/>
              <w:right w:val="single" w:sz="8" w:space="0" w:color="auto"/>
            </w:tcBorders>
          </w:tcPr>
          <w:p w14:paraId="151F004D" w14:textId="77777777" w:rsidR="001C6989" w:rsidRPr="00C476E8" w:rsidRDefault="001C6989" w:rsidP="00F47C06">
            <w:pPr>
              <w:pStyle w:val="TableText-Left"/>
              <w:rPr>
                <w:szCs w:val="18"/>
              </w:rPr>
            </w:pPr>
            <w:r w:rsidRPr="00C476E8">
              <w:rPr>
                <w:szCs w:val="18"/>
              </w:rPr>
              <w:t xml:space="preserve">Notification of status changes to registration. </w:t>
            </w:r>
          </w:p>
          <w:p w14:paraId="615B5606" w14:textId="77777777" w:rsidR="001C6989" w:rsidRPr="00C476E8" w:rsidRDefault="001C6989" w:rsidP="00F47C06">
            <w:pPr>
              <w:pStyle w:val="TableText-Left"/>
              <w:rPr>
                <w:szCs w:val="18"/>
                <w:highlight w:val="yellow"/>
              </w:rPr>
            </w:pPr>
            <w:r w:rsidRPr="00C476E8">
              <w:rPr>
                <w:szCs w:val="18"/>
              </w:rPr>
              <w:t xml:space="preserve">Issued from CSS in </w:t>
            </w:r>
            <w:r>
              <w:rPr>
                <w:szCs w:val="18"/>
              </w:rPr>
              <w:t>near real time</w:t>
            </w:r>
            <w:r w:rsidRPr="00C476E8">
              <w:rPr>
                <w:szCs w:val="18"/>
              </w:rPr>
              <w:t>, no dependency on processing.</w:t>
            </w:r>
          </w:p>
        </w:tc>
      </w:tr>
      <w:tr w:rsidR="001C6989" w:rsidRPr="00C476E8" w14:paraId="1669E96A" w14:textId="77777777" w:rsidTr="00F47C06">
        <w:tc>
          <w:tcPr>
            <w:tcW w:w="106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4DA5F4F" w14:textId="77777777" w:rsidR="001C6989" w:rsidRPr="00C476E8" w:rsidRDefault="001C6989" w:rsidP="00F47C06">
            <w:pPr>
              <w:pStyle w:val="TableText-Left"/>
              <w:rPr>
                <w:szCs w:val="18"/>
              </w:rPr>
            </w:pPr>
            <w:r w:rsidRPr="00C476E8">
              <w:rPr>
                <w:szCs w:val="18"/>
              </w:rPr>
              <w:t>RegMgmtRequestNotification:</w:t>
            </w:r>
          </w:p>
          <w:p w14:paraId="4887095A" w14:textId="77777777" w:rsidR="001C6989" w:rsidRPr="00C476E8" w:rsidRDefault="001C6989" w:rsidP="00F47C06">
            <w:pPr>
              <w:pStyle w:val="TableText-Left"/>
              <w:rPr>
                <w:szCs w:val="18"/>
              </w:rPr>
            </w:pPr>
          </w:p>
          <w:p w14:paraId="7F7EAF9D" w14:textId="77777777" w:rsidR="001C6989" w:rsidRPr="00C476E8" w:rsidRDefault="001C6989" w:rsidP="00F47C06">
            <w:pPr>
              <w:pStyle w:val="TableText-Left"/>
              <w:rPr>
                <w:szCs w:val="18"/>
              </w:rPr>
            </w:pPr>
            <w:r w:rsidRPr="00C476E8">
              <w:rPr>
                <w:szCs w:val="18"/>
              </w:rPr>
              <w:t>Switch request confirmed (no objection raised)</w:t>
            </w:r>
          </w:p>
        </w:tc>
        <w:tc>
          <w:tcPr>
            <w:tcW w:w="610" w:type="pct"/>
            <w:tcBorders>
              <w:top w:val="nil"/>
              <w:left w:val="nil"/>
              <w:bottom w:val="single" w:sz="8" w:space="0" w:color="auto"/>
              <w:right w:val="single" w:sz="8" w:space="0" w:color="auto"/>
            </w:tcBorders>
          </w:tcPr>
          <w:p w14:paraId="3A2405C8" w14:textId="77777777" w:rsidR="001C6989" w:rsidRPr="00C476E8" w:rsidRDefault="001C6989" w:rsidP="00F47C06">
            <w:pPr>
              <w:pStyle w:val="TableText-Left"/>
              <w:rPr>
                <w:szCs w:val="18"/>
              </w:rPr>
            </w:pPr>
            <w:r w:rsidRPr="00C476E8">
              <w:rPr>
                <w:szCs w:val="18"/>
              </w:rPr>
              <w:t>CSS</w:t>
            </w:r>
          </w:p>
        </w:tc>
        <w:tc>
          <w:tcPr>
            <w:tcW w:w="661" w:type="pct"/>
            <w:tcBorders>
              <w:top w:val="nil"/>
              <w:left w:val="nil"/>
              <w:bottom w:val="single" w:sz="8" w:space="0" w:color="auto"/>
              <w:right w:val="single" w:sz="8" w:space="0" w:color="auto"/>
            </w:tcBorders>
          </w:tcPr>
          <w:p w14:paraId="12FEAB4A" w14:textId="77777777" w:rsidR="001C6989" w:rsidRPr="00C476E8" w:rsidRDefault="001C6989" w:rsidP="00F47C06">
            <w:pPr>
              <w:pStyle w:val="TableText-Left"/>
              <w:rPr>
                <w:szCs w:val="18"/>
              </w:rPr>
            </w:pPr>
            <w:r w:rsidRPr="00C476E8">
              <w:rPr>
                <w:szCs w:val="18"/>
              </w:rPr>
              <w:t>Gaining supplier</w:t>
            </w:r>
          </w:p>
          <w:p w14:paraId="4EFE035C" w14:textId="77777777" w:rsidR="001C6989" w:rsidRPr="00C476E8" w:rsidRDefault="001C6989" w:rsidP="00F47C06">
            <w:pPr>
              <w:pStyle w:val="TableText-Left"/>
              <w:rPr>
                <w:szCs w:val="18"/>
              </w:rPr>
            </w:pPr>
            <w:r w:rsidRPr="00C476E8">
              <w:rPr>
                <w:szCs w:val="18"/>
              </w:rPr>
              <w:t>Gaining shipper</w:t>
            </w:r>
          </w:p>
          <w:p w14:paraId="01D3B339" w14:textId="77777777" w:rsidR="001C6989" w:rsidRPr="00C476E8" w:rsidRDefault="001C6989" w:rsidP="00F47C06">
            <w:pPr>
              <w:pStyle w:val="TableText-Left"/>
              <w:rPr>
                <w:szCs w:val="18"/>
              </w:rPr>
            </w:pPr>
            <w:r w:rsidRPr="00C476E8">
              <w:rPr>
                <w:szCs w:val="18"/>
              </w:rPr>
              <w:t>Losing supplier</w:t>
            </w:r>
          </w:p>
          <w:p w14:paraId="318F3A2B" w14:textId="77777777" w:rsidR="001C6989" w:rsidRPr="00C476E8" w:rsidRDefault="001C6989" w:rsidP="00F47C06">
            <w:pPr>
              <w:pStyle w:val="TableText-Left"/>
              <w:rPr>
                <w:szCs w:val="18"/>
              </w:rPr>
            </w:pPr>
            <w:r w:rsidRPr="00C476E8">
              <w:rPr>
                <w:szCs w:val="18"/>
              </w:rPr>
              <w:t>Losing shipper</w:t>
            </w:r>
          </w:p>
          <w:p w14:paraId="7EA6DE0C" w14:textId="77777777" w:rsidR="001F708C" w:rsidRDefault="001F708C" w:rsidP="001F708C">
            <w:pPr>
              <w:pStyle w:val="TableText-Left"/>
              <w:rPr>
                <w:szCs w:val="18"/>
              </w:rPr>
            </w:pPr>
            <w:r w:rsidRPr="00C476E8">
              <w:rPr>
                <w:szCs w:val="18"/>
              </w:rPr>
              <w:t xml:space="preserve">Losing </w:t>
            </w:r>
            <w:r>
              <w:rPr>
                <w:szCs w:val="18"/>
              </w:rPr>
              <w:t>DA/DC</w:t>
            </w:r>
          </w:p>
          <w:p w14:paraId="5EB760C2" w14:textId="5CA73035" w:rsidR="001C6989" w:rsidRPr="00C476E8" w:rsidRDefault="001F708C" w:rsidP="00F47C06">
            <w:pPr>
              <w:pStyle w:val="TableText-Left"/>
              <w:rPr>
                <w:szCs w:val="18"/>
              </w:rPr>
            </w:pPr>
            <w:r>
              <w:rPr>
                <w:szCs w:val="18"/>
              </w:rPr>
              <w:t>Losing MEM</w:t>
            </w:r>
          </w:p>
        </w:tc>
        <w:tc>
          <w:tcPr>
            <w:tcW w:w="661" w:type="pct"/>
            <w:tcBorders>
              <w:top w:val="nil"/>
              <w:left w:val="nil"/>
              <w:bottom w:val="single" w:sz="8" w:space="0" w:color="auto"/>
              <w:right w:val="single" w:sz="8" w:space="0" w:color="auto"/>
            </w:tcBorders>
            <w:tcMar>
              <w:top w:w="0" w:type="dxa"/>
              <w:left w:w="108" w:type="dxa"/>
              <w:bottom w:w="0" w:type="dxa"/>
              <w:right w:w="108" w:type="dxa"/>
            </w:tcMar>
          </w:tcPr>
          <w:p w14:paraId="3C07DADA" w14:textId="77777777" w:rsidR="001C6989" w:rsidRPr="00C476E8" w:rsidRDefault="001C6989" w:rsidP="00F47C06">
            <w:pPr>
              <w:pStyle w:val="TableText-Left"/>
              <w:rPr>
                <w:szCs w:val="18"/>
              </w:rPr>
            </w:pPr>
            <w:r w:rsidRPr="00C476E8">
              <w:rPr>
                <w:szCs w:val="18"/>
              </w:rPr>
              <w:t>Notification</w:t>
            </w:r>
          </w:p>
        </w:tc>
        <w:tc>
          <w:tcPr>
            <w:tcW w:w="560" w:type="pct"/>
            <w:tcBorders>
              <w:top w:val="nil"/>
              <w:left w:val="nil"/>
              <w:bottom w:val="single" w:sz="8" w:space="0" w:color="auto"/>
              <w:right w:val="single" w:sz="8" w:space="0" w:color="auto"/>
            </w:tcBorders>
            <w:tcMar>
              <w:top w:w="0" w:type="dxa"/>
              <w:left w:w="108" w:type="dxa"/>
              <w:bottom w:w="0" w:type="dxa"/>
              <w:right w:w="108" w:type="dxa"/>
            </w:tcMar>
          </w:tcPr>
          <w:p w14:paraId="1463B803" w14:textId="77777777" w:rsidR="001C6989" w:rsidRPr="00C476E8" w:rsidRDefault="001C6989" w:rsidP="00F47C06">
            <w:pPr>
              <w:pStyle w:val="TableText-Left"/>
              <w:rPr>
                <w:szCs w:val="18"/>
              </w:rPr>
            </w:pPr>
            <w:r>
              <w:rPr>
                <w:szCs w:val="18"/>
              </w:rPr>
              <w:t>Messaging</w:t>
            </w:r>
          </w:p>
        </w:tc>
        <w:tc>
          <w:tcPr>
            <w:tcW w:w="1444" w:type="pct"/>
            <w:tcBorders>
              <w:top w:val="nil"/>
              <w:left w:val="nil"/>
              <w:bottom w:val="single" w:sz="8" w:space="0" w:color="auto"/>
              <w:right w:val="single" w:sz="8" w:space="0" w:color="auto"/>
            </w:tcBorders>
          </w:tcPr>
          <w:p w14:paraId="50970442" w14:textId="77777777" w:rsidR="001C6989" w:rsidRPr="00C476E8" w:rsidRDefault="001C6989" w:rsidP="00F47C06">
            <w:pPr>
              <w:pStyle w:val="TableText-Left"/>
              <w:rPr>
                <w:szCs w:val="18"/>
              </w:rPr>
            </w:pPr>
            <w:r w:rsidRPr="00C476E8">
              <w:rPr>
                <w:szCs w:val="18"/>
              </w:rPr>
              <w:t>Notification of status changes to registration.</w:t>
            </w:r>
            <w:r>
              <w:rPr>
                <w:szCs w:val="18"/>
              </w:rPr>
              <w:t xml:space="preserve"> </w:t>
            </w:r>
          </w:p>
          <w:p w14:paraId="4C8B4885" w14:textId="77777777" w:rsidR="001C6989" w:rsidRPr="00C476E8" w:rsidRDefault="001C6989" w:rsidP="00F47C06">
            <w:pPr>
              <w:pStyle w:val="TableText-Left"/>
              <w:rPr>
                <w:szCs w:val="18"/>
              </w:rPr>
            </w:pPr>
            <w:r w:rsidRPr="00C476E8">
              <w:rPr>
                <w:szCs w:val="18"/>
              </w:rPr>
              <w:t xml:space="preserve">Issued from CSS in </w:t>
            </w:r>
            <w:r>
              <w:rPr>
                <w:szCs w:val="18"/>
              </w:rPr>
              <w:t>near real time</w:t>
            </w:r>
            <w:r w:rsidRPr="00C476E8">
              <w:rPr>
                <w:szCs w:val="18"/>
              </w:rPr>
              <w:t>, no dependency on processing.</w:t>
            </w:r>
          </w:p>
        </w:tc>
      </w:tr>
      <w:tr w:rsidR="001C6989" w:rsidRPr="00C476E8" w14:paraId="714C75C3" w14:textId="77777777" w:rsidTr="00F47C06">
        <w:tc>
          <w:tcPr>
            <w:tcW w:w="106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82C4BD7" w14:textId="77777777" w:rsidR="001C6989" w:rsidRPr="00C476E8" w:rsidRDefault="001C6989" w:rsidP="00F47C06">
            <w:pPr>
              <w:pStyle w:val="TableText-Left"/>
              <w:rPr>
                <w:szCs w:val="18"/>
              </w:rPr>
            </w:pPr>
            <w:r w:rsidRPr="00C476E8">
              <w:rPr>
                <w:szCs w:val="18"/>
              </w:rPr>
              <w:t>RegMgmtRequestNotification:</w:t>
            </w:r>
          </w:p>
          <w:p w14:paraId="56666A1F" w14:textId="77777777" w:rsidR="001C6989" w:rsidRPr="00C476E8" w:rsidRDefault="001C6989" w:rsidP="00F47C06">
            <w:pPr>
              <w:pStyle w:val="TableText-Left"/>
              <w:rPr>
                <w:szCs w:val="18"/>
              </w:rPr>
            </w:pPr>
          </w:p>
          <w:p w14:paraId="3201FA35" w14:textId="77777777" w:rsidR="001C6989" w:rsidRPr="00C476E8" w:rsidRDefault="001C6989" w:rsidP="00F47C06">
            <w:pPr>
              <w:pStyle w:val="TableText-Left"/>
              <w:rPr>
                <w:szCs w:val="18"/>
              </w:rPr>
            </w:pPr>
            <w:r w:rsidRPr="00C476E8">
              <w:rPr>
                <w:szCs w:val="18"/>
              </w:rPr>
              <w:t>Switch request secured (gate closure on D-1)</w:t>
            </w:r>
          </w:p>
        </w:tc>
        <w:tc>
          <w:tcPr>
            <w:tcW w:w="610" w:type="pct"/>
            <w:tcBorders>
              <w:top w:val="nil"/>
              <w:left w:val="nil"/>
              <w:bottom w:val="single" w:sz="8" w:space="0" w:color="auto"/>
              <w:right w:val="single" w:sz="8" w:space="0" w:color="auto"/>
            </w:tcBorders>
          </w:tcPr>
          <w:p w14:paraId="10E8A005" w14:textId="77777777" w:rsidR="001C6989" w:rsidRPr="00C476E8" w:rsidRDefault="001C6989" w:rsidP="00F47C06">
            <w:pPr>
              <w:pStyle w:val="TableText-Left"/>
              <w:rPr>
                <w:szCs w:val="18"/>
              </w:rPr>
            </w:pPr>
            <w:r w:rsidRPr="00C476E8">
              <w:rPr>
                <w:szCs w:val="18"/>
              </w:rPr>
              <w:t>CSS</w:t>
            </w:r>
          </w:p>
        </w:tc>
        <w:tc>
          <w:tcPr>
            <w:tcW w:w="661" w:type="pct"/>
            <w:tcBorders>
              <w:top w:val="nil"/>
              <w:left w:val="nil"/>
              <w:bottom w:val="single" w:sz="8" w:space="0" w:color="auto"/>
              <w:right w:val="single" w:sz="8" w:space="0" w:color="auto"/>
            </w:tcBorders>
          </w:tcPr>
          <w:p w14:paraId="474F8E59" w14:textId="77777777" w:rsidR="001C6989" w:rsidRPr="00C476E8" w:rsidRDefault="001C6989" w:rsidP="00F47C06">
            <w:pPr>
              <w:pStyle w:val="TableText-Left"/>
              <w:rPr>
                <w:szCs w:val="18"/>
              </w:rPr>
            </w:pPr>
            <w:r w:rsidRPr="00C476E8">
              <w:rPr>
                <w:szCs w:val="18"/>
              </w:rPr>
              <w:t>Gaining supplier</w:t>
            </w:r>
          </w:p>
          <w:p w14:paraId="5214BE74" w14:textId="77777777" w:rsidR="001C6989" w:rsidRPr="00C476E8" w:rsidRDefault="001C6989" w:rsidP="00F47C06">
            <w:pPr>
              <w:pStyle w:val="TableText-Left"/>
              <w:rPr>
                <w:szCs w:val="18"/>
              </w:rPr>
            </w:pPr>
            <w:r w:rsidRPr="00C476E8">
              <w:rPr>
                <w:szCs w:val="18"/>
              </w:rPr>
              <w:t>Gaining shipper</w:t>
            </w:r>
          </w:p>
          <w:p w14:paraId="00DB44FB" w14:textId="77777777" w:rsidR="001C6989" w:rsidRPr="00C476E8" w:rsidRDefault="001C6989" w:rsidP="00F47C06">
            <w:pPr>
              <w:pStyle w:val="TableText-Left"/>
              <w:rPr>
                <w:szCs w:val="18"/>
              </w:rPr>
            </w:pPr>
            <w:r w:rsidRPr="00C476E8">
              <w:rPr>
                <w:szCs w:val="18"/>
              </w:rPr>
              <w:t>Losing supplier</w:t>
            </w:r>
          </w:p>
          <w:p w14:paraId="76F206AE" w14:textId="77777777" w:rsidR="001C6989" w:rsidRPr="00C476E8" w:rsidRDefault="001C6989" w:rsidP="00F47C06">
            <w:pPr>
              <w:pStyle w:val="TableText-Left"/>
              <w:rPr>
                <w:szCs w:val="18"/>
              </w:rPr>
            </w:pPr>
            <w:r w:rsidRPr="00C476E8">
              <w:rPr>
                <w:szCs w:val="18"/>
              </w:rPr>
              <w:t>Losing shipper</w:t>
            </w:r>
          </w:p>
          <w:p w14:paraId="3DF73594" w14:textId="28F7D7EE" w:rsidR="001C6989" w:rsidRDefault="001C6989" w:rsidP="00F47C06">
            <w:pPr>
              <w:pStyle w:val="TableText-Left"/>
              <w:rPr>
                <w:szCs w:val="18"/>
              </w:rPr>
            </w:pPr>
            <w:r w:rsidRPr="00C476E8">
              <w:rPr>
                <w:szCs w:val="18"/>
              </w:rPr>
              <w:t xml:space="preserve">Losing </w:t>
            </w:r>
            <w:r w:rsidR="001F708C">
              <w:rPr>
                <w:szCs w:val="18"/>
              </w:rPr>
              <w:t>DA/DC</w:t>
            </w:r>
          </w:p>
          <w:p w14:paraId="167D97AA" w14:textId="069151C3" w:rsidR="001F708C" w:rsidRPr="00C476E8" w:rsidRDefault="001F708C" w:rsidP="00F47C06">
            <w:pPr>
              <w:pStyle w:val="TableText-Left"/>
              <w:rPr>
                <w:szCs w:val="18"/>
              </w:rPr>
            </w:pPr>
            <w:r>
              <w:rPr>
                <w:szCs w:val="18"/>
              </w:rPr>
              <w:t>Losing MEM</w:t>
            </w:r>
          </w:p>
          <w:p w14:paraId="4FCF313A" w14:textId="77777777" w:rsidR="001C6989" w:rsidRPr="00C476E8" w:rsidRDefault="001C6989" w:rsidP="00F47C06">
            <w:pPr>
              <w:pStyle w:val="TableText-Left"/>
              <w:rPr>
                <w:szCs w:val="18"/>
              </w:rPr>
            </w:pPr>
            <w:r w:rsidRPr="00C476E8">
              <w:rPr>
                <w:szCs w:val="18"/>
              </w:rPr>
              <w:t>MAP</w:t>
            </w:r>
          </w:p>
        </w:tc>
        <w:tc>
          <w:tcPr>
            <w:tcW w:w="661" w:type="pct"/>
            <w:tcBorders>
              <w:top w:val="nil"/>
              <w:left w:val="nil"/>
              <w:bottom w:val="single" w:sz="8" w:space="0" w:color="auto"/>
              <w:right w:val="single" w:sz="8" w:space="0" w:color="auto"/>
            </w:tcBorders>
            <w:tcMar>
              <w:top w:w="0" w:type="dxa"/>
              <w:left w:w="108" w:type="dxa"/>
              <w:bottom w:w="0" w:type="dxa"/>
              <w:right w:w="108" w:type="dxa"/>
            </w:tcMar>
          </w:tcPr>
          <w:p w14:paraId="5AA05C54" w14:textId="77777777" w:rsidR="001C6989" w:rsidRPr="00C476E8" w:rsidRDefault="001C6989" w:rsidP="00F47C06">
            <w:pPr>
              <w:pStyle w:val="TableText-Left"/>
              <w:rPr>
                <w:szCs w:val="18"/>
              </w:rPr>
            </w:pPr>
            <w:r w:rsidRPr="00C476E8">
              <w:rPr>
                <w:szCs w:val="18"/>
              </w:rPr>
              <w:t>Notification</w:t>
            </w:r>
          </w:p>
        </w:tc>
        <w:tc>
          <w:tcPr>
            <w:tcW w:w="560" w:type="pct"/>
            <w:tcBorders>
              <w:top w:val="nil"/>
              <w:left w:val="nil"/>
              <w:bottom w:val="single" w:sz="8" w:space="0" w:color="auto"/>
              <w:right w:val="single" w:sz="8" w:space="0" w:color="auto"/>
            </w:tcBorders>
            <w:tcMar>
              <w:top w:w="0" w:type="dxa"/>
              <w:left w:w="108" w:type="dxa"/>
              <w:bottom w:w="0" w:type="dxa"/>
              <w:right w:w="108" w:type="dxa"/>
            </w:tcMar>
          </w:tcPr>
          <w:p w14:paraId="5502EFAF" w14:textId="77777777" w:rsidR="001C6989" w:rsidRPr="00C476E8" w:rsidRDefault="001C6989" w:rsidP="00F47C06">
            <w:pPr>
              <w:pStyle w:val="TableText-Left"/>
              <w:rPr>
                <w:szCs w:val="18"/>
              </w:rPr>
            </w:pPr>
            <w:r>
              <w:rPr>
                <w:szCs w:val="18"/>
              </w:rPr>
              <w:t>Messaging</w:t>
            </w:r>
          </w:p>
        </w:tc>
        <w:tc>
          <w:tcPr>
            <w:tcW w:w="1444" w:type="pct"/>
            <w:tcBorders>
              <w:top w:val="nil"/>
              <w:left w:val="nil"/>
              <w:bottom w:val="single" w:sz="8" w:space="0" w:color="auto"/>
              <w:right w:val="single" w:sz="8" w:space="0" w:color="auto"/>
            </w:tcBorders>
          </w:tcPr>
          <w:p w14:paraId="6CB1FF5D" w14:textId="77777777" w:rsidR="001C6989" w:rsidRPr="00C476E8" w:rsidRDefault="001C6989" w:rsidP="00F47C06">
            <w:pPr>
              <w:pStyle w:val="TableText-Left"/>
              <w:rPr>
                <w:szCs w:val="18"/>
              </w:rPr>
            </w:pPr>
            <w:r w:rsidRPr="00C476E8">
              <w:rPr>
                <w:szCs w:val="18"/>
              </w:rPr>
              <w:t xml:space="preserve">Notification of status changes to registration. </w:t>
            </w:r>
          </w:p>
          <w:p w14:paraId="039E771E" w14:textId="77777777" w:rsidR="001C6989" w:rsidRPr="00C476E8" w:rsidRDefault="001C6989" w:rsidP="00F47C06">
            <w:pPr>
              <w:pStyle w:val="TableText-Left"/>
              <w:rPr>
                <w:szCs w:val="18"/>
              </w:rPr>
            </w:pPr>
            <w:r w:rsidRPr="00C476E8">
              <w:rPr>
                <w:szCs w:val="18"/>
              </w:rPr>
              <w:t xml:space="preserve">Issued from CSS in </w:t>
            </w:r>
            <w:r>
              <w:rPr>
                <w:szCs w:val="18"/>
              </w:rPr>
              <w:t>near real time</w:t>
            </w:r>
            <w:r w:rsidRPr="00C476E8">
              <w:rPr>
                <w:szCs w:val="18"/>
              </w:rPr>
              <w:t>, no dependency on processing.</w:t>
            </w:r>
          </w:p>
        </w:tc>
      </w:tr>
      <w:tr w:rsidR="001C6989" w:rsidRPr="00C476E8" w14:paraId="36388CDA" w14:textId="77777777" w:rsidTr="00F47C06">
        <w:tc>
          <w:tcPr>
            <w:tcW w:w="106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D4EBF11" w14:textId="6B30206F" w:rsidR="001C6989" w:rsidRPr="00C476E8" w:rsidRDefault="001C6989" w:rsidP="00F47C06">
            <w:pPr>
              <w:pStyle w:val="TableText-Left"/>
              <w:rPr>
                <w:szCs w:val="18"/>
              </w:rPr>
            </w:pPr>
            <w:r w:rsidRPr="00C476E8">
              <w:rPr>
                <w:szCs w:val="18"/>
              </w:rPr>
              <w:t>RegMgmtRequestNotification:</w:t>
            </w:r>
          </w:p>
          <w:p w14:paraId="7104A126" w14:textId="77777777" w:rsidR="001C6989" w:rsidRPr="00C476E8" w:rsidRDefault="001C6989" w:rsidP="00F47C06">
            <w:pPr>
              <w:pStyle w:val="TableText-Left"/>
              <w:rPr>
                <w:szCs w:val="18"/>
              </w:rPr>
            </w:pPr>
          </w:p>
          <w:p w14:paraId="59A734ED" w14:textId="77777777" w:rsidR="001C6989" w:rsidRDefault="001C6989" w:rsidP="00F47C06">
            <w:pPr>
              <w:pStyle w:val="TableText-Left"/>
              <w:rPr>
                <w:szCs w:val="18"/>
              </w:rPr>
            </w:pPr>
            <w:r w:rsidRPr="00C476E8">
              <w:rPr>
                <w:szCs w:val="18"/>
              </w:rPr>
              <w:t>Initial registration</w:t>
            </w:r>
            <w:r>
              <w:rPr>
                <w:szCs w:val="18"/>
              </w:rPr>
              <w:t xml:space="preserve"> confirmed</w:t>
            </w:r>
          </w:p>
          <w:p w14:paraId="7EA64754" w14:textId="77777777" w:rsidR="001C6989" w:rsidRPr="00C476E8" w:rsidRDefault="001C6989" w:rsidP="00F47C06">
            <w:pPr>
              <w:pStyle w:val="TableText-Left"/>
              <w:rPr>
                <w:szCs w:val="18"/>
              </w:rPr>
            </w:pPr>
            <w:r>
              <w:rPr>
                <w:szCs w:val="18"/>
              </w:rPr>
              <w:t>Initial registration secured</w:t>
            </w:r>
          </w:p>
        </w:tc>
        <w:tc>
          <w:tcPr>
            <w:tcW w:w="610" w:type="pct"/>
            <w:tcBorders>
              <w:top w:val="nil"/>
              <w:left w:val="nil"/>
              <w:bottom w:val="single" w:sz="8" w:space="0" w:color="auto"/>
              <w:right w:val="single" w:sz="8" w:space="0" w:color="auto"/>
            </w:tcBorders>
          </w:tcPr>
          <w:p w14:paraId="4C0B5C8C" w14:textId="77777777" w:rsidR="001C6989" w:rsidRPr="00C476E8" w:rsidRDefault="001C6989" w:rsidP="00F47C06">
            <w:pPr>
              <w:pStyle w:val="TableText-Left"/>
              <w:rPr>
                <w:szCs w:val="18"/>
              </w:rPr>
            </w:pPr>
            <w:r w:rsidRPr="00C476E8">
              <w:rPr>
                <w:szCs w:val="18"/>
              </w:rPr>
              <w:t>CSS</w:t>
            </w:r>
          </w:p>
        </w:tc>
        <w:tc>
          <w:tcPr>
            <w:tcW w:w="661" w:type="pct"/>
            <w:tcBorders>
              <w:top w:val="nil"/>
              <w:left w:val="nil"/>
              <w:bottom w:val="single" w:sz="8" w:space="0" w:color="auto"/>
              <w:right w:val="single" w:sz="8" w:space="0" w:color="auto"/>
            </w:tcBorders>
          </w:tcPr>
          <w:p w14:paraId="6AEA4A96" w14:textId="77777777" w:rsidR="001C6989" w:rsidRPr="00C476E8" w:rsidRDefault="001C6989" w:rsidP="00F47C06">
            <w:pPr>
              <w:pStyle w:val="TableText-Left"/>
              <w:rPr>
                <w:szCs w:val="18"/>
              </w:rPr>
            </w:pPr>
            <w:r w:rsidRPr="00C476E8">
              <w:rPr>
                <w:szCs w:val="18"/>
              </w:rPr>
              <w:t>Gaining Supplier</w:t>
            </w:r>
          </w:p>
          <w:p w14:paraId="393C53A1" w14:textId="77777777" w:rsidR="001C6989" w:rsidRPr="00C476E8" w:rsidRDefault="001C6989" w:rsidP="00F47C06">
            <w:pPr>
              <w:pStyle w:val="TableText-Left"/>
              <w:rPr>
                <w:szCs w:val="18"/>
              </w:rPr>
            </w:pPr>
            <w:r w:rsidRPr="00C476E8">
              <w:rPr>
                <w:szCs w:val="18"/>
              </w:rPr>
              <w:t>Gaining Shipper</w:t>
            </w:r>
          </w:p>
        </w:tc>
        <w:tc>
          <w:tcPr>
            <w:tcW w:w="661" w:type="pct"/>
            <w:tcBorders>
              <w:top w:val="nil"/>
              <w:left w:val="nil"/>
              <w:bottom w:val="single" w:sz="8" w:space="0" w:color="auto"/>
              <w:right w:val="single" w:sz="8" w:space="0" w:color="auto"/>
            </w:tcBorders>
            <w:tcMar>
              <w:top w:w="0" w:type="dxa"/>
              <w:left w:w="108" w:type="dxa"/>
              <w:bottom w:w="0" w:type="dxa"/>
              <w:right w:w="108" w:type="dxa"/>
            </w:tcMar>
          </w:tcPr>
          <w:p w14:paraId="5A611A22" w14:textId="77777777" w:rsidR="001C6989" w:rsidRPr="00C476E8" w:rsidRDefault="001C6989" w:rsidP="00F47C06">
            <w:pPr>
              <w:pStyle w:val="TableText-Left"/>
              <w:rPr>
                <w:szCs w:val="18"/>
              </w:rPr>
            </w:pPr>
            <w:r w:rsidRPr="00C476E8">
              <w:rPr>
                <w:szCs w:val="18"/>
              </w:rPr>
              <w:t>Notification</w:t>
            </w:r>
          </w:p>
        </w:tc>
        <w:tc>
          <w:tcPr>
            <w:tcW w:w="560" w:type="pct"/>
            <w:tcBorders>
              <w:top w:val="nil"/>
              <w:left w:val="nil"/>
              <w:bottom w:val="single" w:sz="8" w:space="0" w:color="auto"/>
              <w:right w:val="single" w:sz="8" w:space="0" w:color="auto"/>
            </w:tcBorders>
            <w:tcMar>
              <w:top w:w="0" w:type="dxa"/>
              <w:left w:w="108" w:type="dxa"/>
              <w:bottom w:w="0" w:type="dxa"/>
              <w:right w:w="108" w:type="dxa"/>
            </w:tcMar>
          </w:tcPr>
          <w:p w14:paraId="5A34719A" w14:textId="77777777" w:rsidR="001C6989" w:rsidRPr="00C476E8" w:rsidRDefault="001C6989" w:rsidP="00F47C06">
            <w:pPr>
              <w:pStyle w:val="TableText-Left"/>
              <w:rPr>
                <w:szCs w:val="18"/>
              </w:rPr>
            </w:pPr>
            <w:r>
              <w:rPr>
                <w:szCs w:val="18"/>
              </w:rPr>
              <w:t>Messaging</w:t>
            </w:r>
          </w:p>
        </w:tc>
        <w:tc>
          <w:tcPr>
            <w:tcW w:w="1444" w:type="pct"/>
            <w:tcBorders>
              <w:top w:val="nil"/>
              <w:left w:val="nil"/>
              <w:bottom w:val="single" w:sz="8" w:space="0" w:color="auto"/>
              <w:right w:val="single" w:sz="8" w:space="0" w:color="auto"/>
            </w:tcBorders>
          </w:tcPr>
          <w:p w14:paraId="28F70653" w14:textId="77777777" w:rsidR="001C6989" w:rsidRPr="00C476E8" w:rsidRDefault="001C6989" w:rsidP="00F47C06">
            <w:pPr>
              <w:pStyle w:val="TableText-Left"/>
              <w:rPr>
                <w:szCs w:val="18"/>
              </w:rPr>
            </w:pPr>
            <w:r w:rsidRPr="00C476E8">
              <w:rPr>
                <w:szCs w:val="18"/>
              </w:rPr>
              <w:t>Notification of status changes to registration.</w:t>
            </w:r>
            <w:r>
              <w:rPr>
                <w:szCs w:val="18"/>
              </w:rPr>
              <w:t xml:space="preserve"> </w:t>
            </w:r>
          </w:p>
          <w:p w14:paraId="27BA6EC7" w14:textId="77777777" w:rsidR="001C6989" w:rsidRPr="00C476E8" w:rsidRDefault="001C6989" w:rsidP="00F47C06">
            <w:pPr>
              <w:pStyle w:val="TableText-Left"/>
              <w:rPr>
                <w:szCs w:val="18"/>
              </w:rPr>
            </w:pPr>
            <w:r w:rsidRPr="00C476E8">
              <w:rPr>
                <w:szCs w:val="18"/>
              </w:rPr>
              <w:t xml:space="preserve">Issued from CSS in </w:t>
            </w:r>
            <w:r>
              <w:rPr>
                <w:szCs w:val="18"/>
              </w:rPr>
              <w:t>near real time</w:t>
            </w:r>
            <w:r w:rsidRPr="00C476E8">
              <w:rPr>
                <w:szCs w:val="18"/>
              </w:rPr>
              <w:t>, no dependency on processing.</w:t>
            </w:r>
          </w:p>
        </w:tc>
      </w:tr>
      <w:tr w:rsidR="00CB3913" w:rsidRPr="00C476E8" w14:paraId="421753B2" w14:textId="77777777" w:rsidTr="00F47C06">
        <w:tc>
          <w:tcPr>
            <w:tcW w:w="1064"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28068C1" w14:textId="77777777" w:rsidR="00CB3913" w:rsidRPr="00C476E8" w:rsidRDefault="00CB3913" w:rsidP="00CB3913">
            <w:pPr>
              <w:pStyle w:val="TableText-Left"/>
              <w:rPr>
                <w:szCs w:val="18"/>
              </w:rPr>
            </w:pPr>
            <w:r w:rsidRPr="00C476E8">
              <w:rPr>
                <w:szCs w:val="18"/>
              </w:rPr>
              <w:t>RegMgmtRequestNotification:</w:t>
            </w:r>
          </w:p>
          <w:p w14:paraId="033F7AA0" w14:textId="77777777" w:rsidR="00CB3913" w:rsidRPr="00C476E8" w:rsidRDefault="00CB3913" w:rsidP="00CB3913">
            <w:pPr>
              <w:pStyle w:val="TableText-Left"/>
              <w:rPr>
                <w:szCs w:val="18"/>
              </w:rPr>
            </w:pPr>
          </w:p>
          <w:p w14:paraId="354FFCAE" w14:textId="77777777" w:rsidR="00CB3913" w:rsidRPr="00C476E8" w:rsidRDefault="00CB3913" w:rsidP="00CB3913">
            <w:pPr>
              <w:pStyle w:val="TableText-Left"/>
              <w:rPr>
                <w:szCs w:val="18"/>
              </w:rPr>
            </w:pPr>
            <w:r w:rsidRPr="00C476E8">
              <w:rPr>
                <w:szCs w:val="18"/>
              </w:rPr>
              <w:t>Switch Objected</w:t>
            </w:r>
          </w:p>
        </w:tc>
        <w:tc>
          <w:tcPr>
            <w:tcW w:w="610" w:type="pct"/>
            <w:tcBorders>
              <w:top w:val="nil"/>
              <w:left w:val="nil"/>
              <w:bottom w:val="single" w:sz="8" w:space="0" w:color="auto"/>
              <w:right w:val="single" w:sz="8" w:space="0" w:color="auto"/>
            </w:tcBorders>
          </w:tcPr>
          <w:p w14:paraId="589D6DA9" w14:textId="77777777" w:rsidR="00CB3913" w:rsidRPr="00C476E8" w:rsidRDefault="00CB3913" w:rsidP="00CB3913">
            <w:pPr>
              <w:pStyle w:val="TableText-Left"/>
              <w:rPr>
                <w:szCs w:val="18"/>
              </w:rPr>
            </w:pPr>
            <w:r w:rsidRPr="00C476E8">
              <w:rPr>
                <w:szCs w:val="18"/>
              </w:rPr>
              <w:t>CSS</w:t>
            </w:r>
          </w:p>
        </w:tc>
        <w:tc>
          <w:tcPr>
            <w:tcW w:w="661" w:type="pct"/>
            <w:tcBorders>
              <w:top w:val="nil"/>
              <w:left w:val="nil"/>
              <w:bottom w:val="single" w:sz="8" w:space="0" w:color="auto"/>
              <w:right w:val="single" w:sz="8" w:space="0" w:color="auto"/>
            </w:tcBorders>
          </w:tcPr>
          <w:p w14:paraId="2A84E40F" w14:textId="77777777" w:rsidR="00CB3913" w:rsidRPr="00C476E8" w:rsidRDefault="00CB3913" w:rsidP="00CB3913">
            <w:pPr>
              <w:pStyle w:val="TableText-Left"/>
              <w:rPr>
                <w:szCs w:val="18"/>
              </w:rPr>
            </w:pPr>
            <w:r w:rsidRPr="00C476E8">
              <w:rPr>
                <w:szCs w:val="18"/>
              </w:rPr>
              <w:t>Gaining supplier</w:t>
            </w:r>
          </w:p>
          <w:p w14:paraId="472DC9FF" w14:textId="77777777" w:rsidR="00CB3913" w:rsidRPr="00C476E8" w:rsidRDefault="00CB3913" w:rsidP="00CB3913">
            <w:pPr>
              <w:pStyle w:val="TableText-Left"/>
              <w:rPr>
                <w:szCs w:val="18"/>
              </w:rPr>
            </w:pPr>
            <w:r w:rsidRPr="00C476E8">
              <w:rPr>
                <w:szCs w:val="18"/>
              </w:rPr>
              <w:t>Gaining shipper</w:t>
            </w:r>
          </w:p>
          <w:p w14:paraId="42AB1E78" w14:textId="77777777" w:rsidR="00CB3913" w:rsidRPr="00C476E8" w:rsidRDefault="00CB3913" w:rsidP="00CB3913">
            <w:pPr>
              <w:pStyle w:val="TableText-Left"/>
              <w:rPr>
                <w:szCs w:val="18"/>
              </w:rPr>
            </w:pPr>
            <w:r w:rsidRPr="00C476E8">
              <w:rPr>
                <w:szCs w:val="18"/>
              </w:rPr>
              <w:t>Losing supplier</w:t>
            </w:r>
          </w:p>
          <w:p w14:paraId="39BCAB79" w14:textId="77777777" w:rsidR="00CB3913" w:rsidRPr="00C476E8" w:rsidRDefault="00CB3913" w:rsidP="00CB3913">
            <w:pPr>
              <w:pStyle w:val="TableText-Left"/>
              <w:rPr>
                <w:szCs w:val="18"/>
              </w:rPr>
            </w:pPr>
            <w:r w:rsidRPr="00C476E8">
              <w:rPr>
                <w:szCs w:val="18"/>
              </w:rPr>
              <w:t>Losing shipper</w:t>
            </w:r>
          </w:p>
        </w:tc>
        <w:tc>
          <w:tcPr>
            <w:tcW w:w="661" w:type="pct"/>
            <w:tcBorders>
              <w:top w:val="nil"/>
              <w:left w:val="nil"/>
              <w:bottom w:val="single" w:sz="8" w:space="0" w:color="auto"/>
              <w:right w:val="single" w:sz="8" w:space="0" w:color="auto"/>
            </w:tcBorders>
            <w:tcMar>
              <w:top w:w="0" w:type="dxa"/>
              <w:left w:w="108" w:type="dxa"/>
              <w:bottom w:w="0" w:type="dxa"/>
              <w:right w:w="108" w:type="dxa"/>
            </w:tcMar>
          </w:tcPr>
          <w:p w14:paraId="160B1E8C" w14:textId="77777777" w:rsidR="00CB3913" w:rsidRPr="00C476E8" w:rsidRDefault="00CB3913" w:rsidP="00CB3913">
            <w:pPr>
              <w:pStyle w:val="TableText-Left"/>
              <w:rPr>
                <w:szCs w:val="18"/>
              </w:rPr>
            </w:pPr>
            <w:r w:rsidRPr="00C476E8">
              <w:rPr>
                <w:szCs w:val="18"/>
              </w:rPr>
              <w:t>Notification</w:t>
            </w:r>
          </w:p>
        </w:tc>
        <w:tc>
          <w:tcPr>
            <w:tcW w:w="560" w:type="pct"/>
            <w:tcBorders>
              <w:top w:val="nil"/>
              <w:left w:val="nil"/>
              <w:bottom w:val="single" w:sz="8" w:space="0" w:color="auto"/>
              <w:right w:val="single" w:sz="8" w:space="0" w:color="auto"/>
            </w:tcBorders>
            <w:tcMar>
              <w:top w:w="0" w:type="dxa"/>
              <w:left w:w="108" w:type="dxa"/>
              <w:bottom w:w="0" w:type="dxa"/>
              <w:right w:w="108" w:type="dxa"/>
            </w:tcMar>
          </w:tcPr>
          <w:p w14:paraId="439F8F51" w14:textId="77777777" w:rsidR="00CB3913" w:rsidRPr="00C476E8" w:rsidRDefault="00CB3913" w:rsidP="00CB3913">
            <w:pPr>
              <w:pStyle w:val="TableText-Left"/>
              <w:rPr>
                <w:szCs w:val="18"/>
              </w:rPr>
            </w:pPr>
            <w:r>
              <w:rPr>
                <w:szCs w:val="18"/>
              </w:rPr>
              <w:t>Messaging</w:t>
            </w:r>
          </w:p>
        </w:tc>
        <w:tc>
          <w:tcPr>
            <w:tcW w:w="1444" w:type="pct"/>
            <w:tcBorders>
              <w:top w:val="nil"/>
              <w:left w:val="nil"/>
              <w:bottom w:val="single" w:sz="8" w:space="0" w:color="auto"/>
              <w:right w:val="single" w:sz="8" w:space="0" w:color="auto"/>
            </w:tcBorders>
          </w:tcPr>
          <w:p w14:paraId="5B49E194" w14:textId="77777777" w:rsidR="00CB3913" w:rsidRPr="00C476E8" w:rsidRDefault="00CB3913" w:rsidP="00CB3913">
            <w:pPr>
              <w:pStyle w:val="TableText-Left"/>
              <w:rPr>
                <w:szCs w:val="18"/>
              </w:rPr>
            </w:pPr>
            <w:r w:rsidRPr="00C476E8">
              <w:rPr>
                <w:szCs w:val="18"/>
              </w:rPr>
              <w:t>Notification of status changes to registration.</w:t>
            </w:r>
            <w:r>
              <w:rPr>
                <w:szCs w:val="18"/>
              </w:rPr>
              <w:t xml:space="preserve"> </w:t>
            </w:r>
          </w:p>
          <w:p w14:paraId="3C5FCBB9" w14:textId="77777777" w:rsidR="00CB3913" w:rsidRPr="00C476E8" w:rsidRDefault="00CB3913" w:rsidP="00CB3913">
            <w:pPr>
              <w:pStyle w:val="TableText-Left"/>
              <w:rPr>
                <w:szCs w:val="18"/>
              </w:rPr>
            </w:pPr>
            <w:r w:rsidRPr="00C476E8">
              <w:rPr>
                <w:szCs w:val="18"/>
              </w:rPr>
              <w:t xml:space="preserve">Issued from CSS in </w:t>
            </w:r>
            <w:r>
              <w:rPr>
                <w:szCs w:val="18"/>
              </w:rPr>
              <w:t>near real time</w:t>
            </w:r>
            <w:r w:rsidRPr="00C476E8">
              <w:rPr>
                <w:szCs w:val="18"/>
              </w:rPr>
              <w:t>, no dependency on processing.</w:t>
            </w:r>
          </w:p>
        </w:tc>
      </w:tr>
      <w:tr w:rsidR="00CB3913" w:rsidRPr="00C476E8" w14:paraId="1C666BDB" w14:textId="77777777" w:rsidTr="00F47C06">
        <w:tc>
          <w:tcPr>
            <w:tcW w:w="106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3F2A530" w14:textId="77777777" w:rsidR="00CB3913" w:rsidRPr="00C476E8" w:rsidRDefault="00CB3913" w:rsidP="00CB3913">
            <w:pPr>
              <w:pStyle w:val="TableText-Left"/>
              <w:rPr>
                <w:szCs w:val="18"/>
              </w:rPr>
            </w:pPr>
            <w:r w:rsidRPr="00C476E8">
              <w:rPr>
                <w:szCs w:val="18"/>
              </w:rPr>
              <w:t>RegMgmtRequestNotification:</w:t>
            </w:r>
          </w:p>
          <w:p w14:paraId="5EB7EDE4" w14:textId="77777777" w:rsidR="00CB3913" w:rsidRPr="00C476E8" w:rsidRDefault="00CB3913" w:rsidP="00CB3913">
            <w:pPr>
              <w:pStyle w:val="TableText-Left"/>
              <w:rPr>
                <w:szCs w:val="18"/>
              </w:rPr>
            </w:pPr>
          </w:p>
          <w:p w14:paraId="512E1A4B" w14:textId="77777777" w:rsidR="00CB3913" w:rsidRPr="00C476E8" w:rsidRDefault="00CB3913" w:rsidP="00CB3913">
            <w:pPr>
              <w:pStyle w:val="TableText-Left"/>
              <w:rPr>
                <w:szCs w:val="18"/>
              </w:rPr>
            </w:pPr>
            <w:r w:rsidRPr="00C476E8">
              <w:rPr>
                <w:szCs w:val="18"/>
              </w:rPr>
              <w:t>Switch Withdrawn,</w:t>
            </w:r>
          </w:p>
          <w:p w14:paraId="70B3A09C" w14:textId="77777777" w:rsidR="00CB3913" w:rsidRPr="00C476E8" w:rsidRDefault="00CB3913" w:rsidP="00CB3913">
            <w:pPr>
              <w:pStyle w:val="TableText-Left"/>
              <w:rPr>
                <w:szCs w:val="18"/>
              </w:rPr>
            </w:pPr>
            <w:r w:rsidRPr="00C476E8">
              <w:rPr>
                <w:szCs w:val="18"/>
              </w:rPr>
              <w:t>Switch Annulled</w:t>
            </w:r>
          </w:p>
        </w:tc>
        <w:tc>
          <w:tcPr>
            <w:tcW w:w="610" w:type="pct"/>
            <w:tcBorders>
              <w:top w:val="nil"/>
              <w:left w:val="nil"/>
              <w:bottom w:val="single" w:sz="8" w:space="0" w:color="auto"/>
              <w:right w:val="single" w:sz="8" w:space="0" w:color="auto"/>
            </w:tcBorders>
          </w:tcPr>
          <w:p w14:paraId="36257A0E" w14:textId="77777777" w:rsidR="00CB3913" w:rsidRPr="00C476E8" w:rsidRDefault="00CB3913" w:rsidP="00CB3913">
            <w:pPr>
              <w:pStyle w:val="TableText-Left"/>
              <w:rPr>
                <w:szCs w:val="18"/>
              </w:rPr>
            </w:pPr>
            <w:r w:rsidRPr="00C476E8">
              <w:rPr>
                <w:szCs w:val="18"/>
              </w:rPr>
              <w:t>CSS</w:t>
            </w:r>
          </w:p>
        </w:tc>
        <w:tc>
          <w:tcPr>
            <w:tcW w:w="661" w:type="pct"/>
            <w:tcBorders>
              <w:top w:val="nil"/>
              <w:left w:val="nil"/>
              <w:bottom w:val="single" w:sz="8" w:space="0" w:color="auto"/>
              <w:right w:val="single" w:sz="8" w:space="0" w:color="auto"/>
            </w:tcBorders>
          </w:tcPr>
          <w:p w14:paraId="56C84ED0" w14:textId="77777777" w:rsidR="00CB3913" w:rsidRPr="00C476E8" w:rsidRDefault="00CB3913" w:rsidP="00CB3913">
            <w:pPr>
              <w:pStyle w:val="TableText-Left"/>
              <w:rPr>
                <w:szCs w:val="18"/>
              </w:rPr>
            </w:pPr>
            <w:r w:rsidRPr="00C476E8">
              <w:rPr>
                <w:szCs w:val="18"/>
              </w:rPr>
              <w:t>Gaining supplier</w:t>
            </w:r>
          </w:p>
          <w:p w14:paraId="5D8478B2" w14:textId="77777777" w:rsidR="00CB3913" w:rsidRPr="00C476E8" w:rsidRDefault="00CB3913" w:rsidP="00CB3913">
            <w:pPr>
              <w:pStyle w:val="TableText-Left"/>
              <w:rPr>
                <w:szCs w:val="18"/>
              </w:rPr>
            </w:pPr>
            <w:r w:rsidRPr="00C476E8">
              <w:rPr>
                <w:szCs w:val="18"/>
              </w:rPr>
              <w:t>Losing supplier</w:t>
            </w:r>
          </w:p>
          <w:p w14:paraId="3E173D86" w14:textId="77777777" w:rsidR="00CB3913" w:rsidRPr="00C476E8" w:rsidRDefault="00CB3913" w:rsidP="00CB3913">
            <w:pPr>
              <w:pStyle w:val="TableText-Left"/>
              <w:rPr>
                <w:szCs w:val="18"/>
              </w:rPr>
            </w:pPr>
            <w:r w:rsidRPr="00C476E8">
              <w:rPr>
                <w:szCs w:val="18"/>
              </w:rPr>
              <w:t>Gaining shipper</w:t>
            </w:r>
          </w:p>
          <w:p w14:paraId="1CA016FF" w14:textId="77777777" w:rsidR="00CB3913" w:rsidRPr="00C476E8" w:rsidRDefault="00CB3913" w:rsidP="00CB3913">
            <w:pPr>
              <w:pStyle w:val="TableText-Left"/>
              <w:rPr>
                <w:szCs w:val="18"/>
              </w:rPr>
            </w:pPr>
            <w:r w:rsidRPr="00C476E8">
              <w:rPr>
                <w:szCs w:val="18"/>
              </w:rPr>
              <w:t>Losing shipper</w:t>
            </w:r>
          </w:p>
          <w:p w14:paraId="449EFBE5" w14:textId="77777777" w:rsidR="00CB3913" w:rsidRPr="00C476E8" w:rsidRDefault="00CB3913" w:rsidP="00CB3913">
            <w:pPr>
              <w:pStyle w:val="TableText-Left"/>
              <w:rPr>
                <w:szCs w:val="18"/>
              </w:rPr>
            </w:pPr>
            <w:r w:rsidRPr="00C476E8">
              <w:rPr>
                <w:szCs w:val="18"/>
              </w:rPr>
              <w:t>Losing DC/DA</w:t>
            </w:r>
          </w:p>
          <w:p w14:paraId="22325011" w14:textId="77777777" w:rsidR="00CB3913" w:rsidRPr="00C476E8" w:rsidRDefault="00CB3913" w:rsidP="00CB3913">
            <w:pPr>
              <w:pStyle w:val="TableText-Left"/>
              <w:rPr>
                <w:szCs w:val="18"/>
              </w:rPr>
            </w:pPr>
            <w:r w:rsidRPr="00C476E8">
              <w:rPr>
                <w:szCs w:val="18"/>
              </w:rPr>
              <w:t xml:space="preserve">Losing MEM </w:t>
            </w:r>
          </w:p>
        </w:tc>
        <w:tc>
          <w:tcPr>
            <w:tcW w:w="661" w:type="pct"/>
            <w:tcBorders>
              <w:top w:val="nil"/>
              <w:left w:val="nil"/>
              <w:bottom w:val="single" w:sz="8" w:space="0" w:color="auto"/>
              <w:right w:val="single" w:sz="8" w:space="0" w:color="auto"/>
            </w:tcBorders>
            <w:tcMar>
              <w:top w:w="0" w:type="dxa"/>
              <w:left w:w="108" w:type="dxa"/>
              <w:bottom w:w="0" w:type="dxa"/>
              <w:right w:w="108" w:type="dxa"/>
            </w:tcMar>
          </w:tcPr>
          <w:p w14:paraId="7F3667C6" w14:textId="77777777" w:rsidR="00CB3913" w:rsidRPr="00C476E8" w:rsidRDefault="00CB3913" w:rsidP="00CB3913">
            <w:pPr>
              <w:pStyle w:val="TableText-Left"/>
              <w:rPr>
                <w:szCs w:val="18"/>
              </w:rPr>
            </w:pPr>
            <w:r w:rsidRPr="00C476E8">
              <w:rPr>
                <w:szCs w:val="18"/>
              </w:rPr>
              <w:t>Notification</w:t>
            </w:r>
          </w:p>
        </w:tc>
        <w:tc>
          <w:tcPr>
            <w:tcW w:w="560" w:type="pct"/>
            <w:tcBorders>
              <w:top w:val="nil"/>
              <w:left w:val="nil"/>
              <w:bottom w:val="single" w:sz="8" w:space="0" w:color="auto"/>
              <w:right w:val="single" w:sz="8" w:space="0" w:color="auto"/>
            </w:tcBorders>
            <w:tcMar>
              <w:top w:w="0" w:type="dxa"/>
              <w:left w:w="108" w:type="dxa"/>
              <w:bottom w:w="0" w:type="dxa"/>
              <w:right w:w="108" w:type="dxa"/>
            </w:tcMar>
          </w:tcPr>
          <w:p w14:paraId="653821B2" w14:textId="77777777" w:rsidR="00CB3913" w:rsidRPr="00C476E8" w:rsidRDefault="00CB3913" w:rsidP="00CB3913">
            <w:pPr>
              <w:pStyle w:val="TableText-Left"/>
              <w:rPr>
                <w:szCs w:val="18"/>
              </w:rPr>
            </w:pPr>
            <w:r>
              <w:rPr>
                <w:szCs w:val="18"/>
              </w:rPr>
              <w:t>Messaging</w:t>
            </w:r>
          </w:p>
        </w:tc>
        <w:tc>
          <w:tcPr>
            <w:tcW w:w="1444" w:type="pct"/>
            <w:tcBorders>
              <w:top w:val="nil"/>
              <w:left w:val="nil"/>
              <w:bottom w:val="single" w:sz="8" w:space="0" w:color="auto"/>
              <w:right w:val="single" w:sz="8" w:space="0" w:color="auto"/>
            </w:tcBorders>
          </w:tcPr>
          <w:p w14:paraId="357192CA" w14:textId="77777777" w:rsidR="00CB3913" w:rsidRPr="00C476E8" w:rsidRDefault="00CB3913" w:rsidP="00CB3913">
            <w:pPr>
              <w:pStyle w:val="TableText-Left"/>
              <w:rPr>
                <w:szCs w:val="18"/>
              </w:rPr>
            </w:pPr>
            <w:r w:rsidRPr="00C476E8">
              <w:rPr>
                <w:szCs w:val="18"/>
              </w:rPr>
              <w:t>Notification of status changes to registration.</w:t>
            </w:r>
            <w:r>
              <w:rPr>
                <w:szCs w:val="18"/>
              </w:rPr>
              <w:t xml:space="preserve"> </w:t>
            </w:r>
          </w:p>
          <w:p w14:paraId="61192327" w14:textId="77777777" w:rsidR="00CB3913" w:rsidRPr="00C476E8" w:rsidRDefault="00CB3913" w:rsidP="00CB3913">
            <w:pPr>
              <w:pStyle w:val="TableText-Left"/>
              <w:rPr>
                <w:szCs w:val="18"/>
              </w:rPr>
            </w:pPr>
            <w:r w:rsidRPr="00C476E8">
              <w:rPr>
                <w:szCs w:val="18"/>
              </w:rPr>
              <w:t xml:space="preserve">Issued from CSS in </w:t>
            </w:r>
            <w:r>
              <w:rPr>
                <w:szCs w:val="18"/>
              </w:rPr>
              <w:t>near real time</w:t>
            </w:r>
            <w:r w:rsidRPr="00C476E8">
              <w:rPr>
                <w:szCs w:val="18"/>
              </w:rPr>
              <w:t>, no dependency on processing.</w:t>
            </w:r>
          </w:p>
        </w:tc>
      </w:tr>
      <w:tr w:rsidR="00CB3913" w:rsidRPr="00C476E8" w14:paraId="70822219" w14:textId="77777777" w:rsidTr="00F47C06">
        <w:tc>
          <w:tcPr>
            <w:tcW w:w="106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0447E7C" w14:textId="77777777" w:rsidR="00CB3913" w:rsidRPr="00C476E8" w:rsidRDefault="00CB3913" w:rsidP="00CB3913">
            <w:pPr>
              <w:pStyle w:val="TableText-Left"/>
              <w:rPr>
                <w:szCs w:val="18"/>
              </w:rPr>
            </w:pPr>
            <w:r w:rsidRPr="00C476E8">
              <w:rPr>
                <w:szCs w:val="18"/>
              </w:rPr>
              <w:t>RegMgmtRequestNotification:</w:t>
            </w:r>
          </w:p>
          <w:p w14:paraId="7EB53149" w14:textId="77777777" w:rsidR="00CB3913" w:rsidRPr="00C476E8" w:rsidRDefault="00CB3913" w:rsidP="00CB3913">
            <w:pPr>
              <w:pStyle w:val="TableText-Left"/>
              <w:rPr>
                <w:szCs w:val="18"/>
              </w:rPr>
            </w:pPr>
          </w:p>
          <w:p w14:paraId="0830C059" w14:textId="77777777" w:rsidR="00CB3913" w:rsidRPr="00C476E8" w:rsidRDefault="00CB3913" w:rsidP="00CB3913">
            <w:pPr>
              <w:pStyle w:val="TableText-Left"/>
              <w:rPr>
                <w:szCs w:val="18"/>
              </w:rPr>
            </w:pPr>
            <w:r w:rsidRPr="00C476E8">
              <w:rPr>
                <w:szCs w:val="18"/>
              </w:rPr>
              <w:t>Deactivate</w:t>
            </w:r>
          </w:p>
          <w:p w14:paraId="514FCF80" w14:textId="77777777" w:rsidR="00CB3913" w:rsidRPr="00C476E8" w:rsidRDefault="00CB3913" w:rsidP="00CB3913">
            <w:pPr>
              <w:pStyle w:val="TableText-Left"/>
              <w:rPr>
                <w:szCs w:val="18"/>
              </w:rPr>
            </w:pPr>
            <w:r w:rsidRPr="00C476E8">
              <w:rPr>
                <w:szCs w:val="18"/>
              </w:rPr>
              <w:t>Registration</w:t>
            </w:r>
          </w:p>
        </w:tc>
        <w:tc>
          <w:tcPr>
            <w:tcW w:w="610" w:type="pct"/>
            <w:tcBorders>
              <w:top w:val="nil"/>
              <w:left w:val="nil"/>
              <w:bottom w:val="single" w:sz="8" w:space="0" w:color="auto"/>
              <w:right w:val="single" w:sz="8" w:space="0" w:color="auto"/>
            </w:tcBorders>
          </w:tcPr>
          <w:p w14:paraId="7DD8520A" w14:textId="77777777" w:rsidR="00CB3913" w:rsidRPr="00C476E8" w:rsidRDefault="00CB3913" w:rsidP="00CB3913">
            <w:pPr>
              <w:pStyle w:val="TableText-Left"/>
              <w:rPr>
                <w:szCs w:val="18"/>
              </w:rPr>
            </w:pPr>
            <w:r w:rsidRPr="00C476E8">
              <w:rPr>
                <w:szCs w:val="18"/>
              </w:rPr>
              <w:t>CSS</w:t>
            </w:r>
          </w:p>
        </w:tc>
        <w:tc>
          <w:tcPr>
            <w:tcW w:w="661" w:type="pct"/>
            <w:tcBorders>
              <w:top w:val="nil"/>
              <w:left w:val="nil"/>
              <w:bottom w:val="single" w:sz="8" w:space="0" w:color="auto"/>
              <w:right w:val="single" w:sz="8" w:space="0" w:color="auto"/>
            </w:tcBorders>
          </w:tcPr>
          <w:p w14:paraId="6ED04317" w14:textId="77777777" w:rsidR="00CB3913" w:rsidRPr="00C476E8" w:rsidRDefault="00CB3913" w:rsidP="00CB3913">
            <w:pPr>
              <w:pStyle w:val="TableText-Left"/>
              <w:rPr>
                <w:szCs w:val="18"/>
              </w:rPr>
            </w:pPr>
            <w:r w:rsidRPr="00C476E8">
              <w:rPr>
                <w:szCs w:val="18"/>
              </w:rPr>
              <w:t>Current supplier</w:t>
            </w:r>
          </w:p>
          <w:p w14:paraId="46AAB421" w14:textId="77777777" w:rsidR="00CB3913" w:rsidRPr="00C476E8" w:rsidRDefault="00CB3913" w:rsidP="00CB3913">
            <w:pPr>
              <w:pStyle w:val="TableText-Left"/>
              <w:rPr>
                <w:szCs w:val="18"/>
              </w:rPr>
            </w:pPr>
            <w:r w:rsidRPr="00C476E8">
              <w:rPr>
                <w:szCs w:val="18"/>
              </w:rPr>
              <w:t>Current shipper</w:t>
            </w:r>
          </w:p>
          <w:p w14:paraId="1DCD29B0" w14:textId="77777777" w:rsidR="00CB3913" w:rsidRPr="00C476E8" w:rsidRDefault="00CB3913" w:rsidP="00CB3913">
            <w:pPr>
              <w:pStyle w:val="TableText-Left"/>
              <w:rPr>
                <w:szCs w:val="18"/>
              </w:rPr>
            </w:pPr>
            <w:r w:rsidRPr="00C476E8">
              <w:rPr>
                <w:szCs w:val="18"/>
              </w:rPr>
              <w:t>MEM</w:t>
            </w:r>
          </w:p>
          <w:p w14:paraId="14F1455C" w14:textId="77777777" w:rsidR="00CB3913" w:rsidRDefault="00CB3913" w:rsidP="00CB3913">
            <w:pPr>
              <w:pStyle w:val="TableText-Left"/>
              <w:rPr>
                <w:szCs w:val="18"/>
              </w:rPr>
            </w:pPr>
            <w:r w:rsidRPr="00C476E8">
              <w:rPr>
                <w:szCs w:val="18"/>
              </w:rPr>
              <w:t>DC/DA</w:t>
            </w:r>
          </w:p>
          <w:p w14:paraId="62C4F44A" w14:textId="06FEA7AD" w:rsidR="00CB3913" w:rsidRPr="00C476E8" w:rsidRDefault="00CB3913" w:rsidP="00CB3913">
            <w:pPr>
              <w:pStyle w:val="TableText-Left"/>
              <w:rPr>
                <w:szCs w:val="18"/>
              </w:rPr>
            </w:pPr>
            <w:r w:rsidRPr="00C476E8">
              <w:rPr>
                <w:szCs w:val="18"/>
              </w:rPr>
              <w:t>MAP</w:t>
            </w:r>
          </w:p>
        </w:tc>
        <w:tc>
          <w:tcPr>
            <w:tcW w:w="661" w:type="pct"/>
            <w:tcBorders>
              <w:top w:val="nil"/>
              <w:left w:val="nil"/>
              <w:bottom w:val="single" w:sz="8" w:space="0" w:color="auto"/>
              <w:right w:val="single" w:sz="8" w:space="0" w:color="auto"/>
            </w:tcBorders>
            <w:tcMar>
              <w:top w:w="0" w:type="dxa"/>
              <w:left w:w="108" w:type="dxa"/>
              <w:bottom w:w="0" w:type="dxa"/>
              <w:right w:w="108" w:type="dxa"/>
            </w:tcMar>
          </w:tcPr>
          <w:p w14:paraId="38DCB34B" w14:textId="77777777" w:rsidR="00CB3913" w:rsidRPr="00C476E8" w:rsidRDefault="00CB3913" w:rsidP="00CB3913">
            <w:pPr>
              <w:pStyle w:val="TableText-Left"/>
              <w:rPr>
                <w:szCs w:val="18"/>
              </w:rPr>
            </w:pPr>
            <w:r w:rsidRPr="00C476E8">
              <w:rPr>
                <w:szCs w:val="18"/>
              </w:rPr>
              <w:t>Notification</w:t>
            </w:r>
          </w:p>
        </w:tc>
        <w:tc>
          <w:tcPr>
            <w:tcW w:w="560" w:type="pct"/>
            <w:tcBorders>
              <w:top w:val="nil"/>
              <w:left w:val="nil"/>
              <w:bottom w:val="single" w:sz="8" w:space="0" w:color="auto"/>
              <w:right w:val="single" w:sz="8" w:space="0" w:color="auto"/>
            </w:tcBorders>
            <w:tcMar>
              <w:top w:w="0" w:type="dxa"/>
              <w:left w:w="108" w:type="dxa"/>
              <w:bottom w:w="0" w:type="dxa"/>
              <w:right w:w="108" w:type="dxa"/>
            </w:tcMar>
          </w:tcPr>
          <w:p w14:paraId="05D71A1E" w14:textId="77777777" w:rsidR="00CB3913" w:rsidRPr="00C476E8" w:rsidRDefault="00CB3913" w:rsidP="00CB3913">
            <w:pPr>
              <w:pStyle w:val="TableText-Left"/>
              <w:rPr>
                <w:szCs w:val="18"/>
              </w:rPr>
            </w:pPr>
            <w:r>
              <w:rPr>
                <w:szCs w:val="18"/>
              </w:rPr>
              <w:t>Messaging</w:t>
            </w:r>
          </w:p>
        </w:tc>
        <w:tc>
          <w:tcPr>
            <w:tcW w:w="1444" w:type="pct"/>
            <w:tcBorders>
              <w:top w:val="nil"/>
              <w:left w:val="nil"/>
              <w:bottom w:val="single" w:sz="8" w:space="0" w:color="auto"/>
              <w:right w:val="single" w:sz="8" w:space="0" w:color="auto"/>
            </w:tcBorders>
          </w:tcPr>
          <w:p w14:paraId="2811AA85" w14:textId="77777777" w:rsidR="00CB3913" w:rsidRPr="00C476E8" w:rsidRDefault="00CB3913" w:rsidP="00CB3913">
            <w:pPr>
              <w:pStyle w:val="TableText-Left"/>
              <w:rPr>
                <w:szCs w:val="18"/>
              </w:rPr>
            </w:pPr>
            <w:r w:rsidRPr="00C476E8">
              <w:rPr>
                <w:szCs w:val="18"/>
              </w:rPr>
              <w:t>Notification of status changes to registration.</w:t>
            </w:r>
            <w:r>
              <w:rPr>
                <w:szCs w:val="18"/>
              </w:rPr>
              <w:t xml:space="preserve"> </w:t>
            </w:r>
          </w:p>
          <w:p w14:paraId="48C77DF1" w14:textId="77777777" w:rsidR="00CB3913" w:rsidRDefault="00CB3913" w:rsidP="00CB3913">
            <w:pPr>
              <w:pStyle w:val="TableText-Left"/>
              <w:rPr>
                <w:szCs w:val="18"/>
              </w:rPr>
            </w:pPr>
            <w:r w:rsidRPr="00C476E8">
              <w:rPr>
                <w:szCs w:val="18"/>
              </w:rPr>
              <w:t xml:space="preserve">Issued from CSS in </w:t>
            </w:r>
            <w:r>
              <w:rPr>
                <w:szCs w:val="18"/>
              </w:rPr>
              <w:t>near real time</w:t>
            </w:r>
            <w:r w:rsidRPr="00C476E8">
              <w:rPr>
                <w:szCs w:val="18"/>
              </w:rPr>
              <w:t>, no dependency on processing.</w:t>
            </w:r>
          </w:p>
          <w:p w14:paraId="28376749" w14:textId="77777777" w:rsidR="00CB3913" w:rsidRPr="00C476E8" w:rsidRDefault="00CB3913" w:rsidP="00CB3913">
            <w:pPr>
              <w:pStyle w:val="TableText-Left"/>
              <w:rPr>
                <w:szCs w:val="18"/>
              </w:rPr>
            </w:pPr>
            <w:r>
              <w:rPr>
                <w:szCs w:val="18"/>
              </w:rPr>
              <w:t>Note Deactivate Registration is analogous to the existing Shipper Withdrawal.</w:t>
            </w:r>
          </w:p>
        </w:tc>
      </w:tr>
      <w:tr w:rsidR="00CB3913" w:rsidRPr="00C476E8" w14:paraId="1ABF9BA0" w14:textId="77777777" w:rsidTr="00F47C06">
        <w:tc>
          <w:tcPr>
            <w:tcW w:w="106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631D55" w14:textId="77777777" w:rsidR="00CB3913" w:rsidRPr="00C476E8" w:rsidRDefault="00CB3913" w:rsidP="00CB3913">
            <w:pPr>
              <w:pStyle w:val="TableText-Left"/>
              <w:rPr>
                <w:szCs w:val="18"/>
              </w:rPr>
            </w:pPr>
            <w:r w:rsidRPr="00C476E8">
              <w:rPr>
                <w:szCs w:val="18"/>
              </w:rPr>
              <w:t>RegMgmtRequestSubmission</w:t>
            </w:r>
          </w:p>
        </w:tc>
        <w:tc>
          <w:tcPr>
            <w:tcW w:w="610" w:type="pct"/>
            <w:tcBorders>
              <w:top w:val="nil"/>
              <w:left w:val="nil"/>
              <w:bottom w:val="single" w:sz="8" w:space="0" w:color="auto"/>
              <w:right w:val="single" w:sz="8" w:space="0" w:color="auto"/>
            </w:tcBorders>
            <w:hideMark/>
          </w:tcPr>
          <w:p w14:paraId="34691049" w14:textId="77777777" w:rsidR="00CB3913" w:rsidRPr="00C476E8" w:rsidRDefault="00CB3913" w:rsidP="00CB3913">
            <w:pPr>
              <w:pStyle w:val="TableText-Left"/>
              <w:rPr>
                <w:szCs w:val="18"/>
              </w:rPr>
            </w:pPr>
            <w:r w:rsidRPr="00C476E8">
              <w:rPr>
                <w:szCs w:val="18"/>
              </w:rPr>
              <w:t>Supplier</w:t>
            </w:r>
          </w:p>
        </w:tc>
        <w:tc>
          <w:tcPr>
            <w:tcW w:w="661" w:type="pct"/>
            <w:tcBorders>
              <w:top w:val="nil"/>
              <w:left w:val="nil"/>
              <w:bottom w:val="single" w:sz="8" w:space="0" w:color="auto"/>
              <w:right w:val="single" w:sz="8" w:space="0" w:color="auto"/>
            </w:tcBorders>
            <w:hideMark/>
          </w:tcPr>
          <w:p w14:paraId="3DA28228" w14:textId="77777777" w:rsidR="00CB3913" w:rsidRPr="00C476E8" w:rsidRDefault="00CB3913" w:rsidP="00CB3913">
            <w:pPr>
              <w:pStyle w:val="TableText-Left"/>
              <w:rPr>
                <w:szCs w:val="18"/>
              </w:rPr>
            </w:pPr>
            <w:r w:rsidRPr="00C476E8">
              <w:rPr>
                <w:szCs w:val="18"/>
              </w:rPr>
              <w:t>CSS</w:t>
            </w:r>
          </w:p>
        </w:tc>
        <w:tc>
          <w:tcPr>
            <w:tcW w:w="661" w:type="pct"/>
            <w:tcBorders>
              <w:top w:val="nil"/>
              <w:left w:val="nil"/>
              <w:bottom w:val="single" w:sz="8" w:space="0" w:color="auto"/>
              <w:right w:val="single" w:sz="8" w:space="0" w:color="auto"/>
            </w:tcBorders>
            <w:tcMar>
              <w:top w:w="0" w:type="dxa"/>
              <w:left w:w="108" w:type="dxa"/>
              <w:bottom w:w="0" w:type="dxa"/>
              <w:right w:w="108" w:type="dxa"/>
            </w:tcMar>
            <w:hideMark/>
          </w:tcPr>
          <w:p w14:paraId="1E6816DE" w14:textId="77777777" w:rsidR="00CB3913" w:rsidRPr="00C476E8" w:rsidRDefault="00CB3913" w:rsidP="00CB3913">
            <w:pPr>
              <w:pStyle w:val="TableText-Left"/>
              <w:rPr>
                <w:szCs w:val="18"/>
              </w:rPr>
            </w:pPr>
            <w:r w:rsidRPr="00C476E8">
              <w:rPr>
                <w:szCs w:val="18"/>
              </w:rPr>
              <w:t>Update</w:t>
            </w:r>
          </w:p>
        </w:tc>
        <w:tc>
          <w:tcPr>
            <w:tcW w:w="560" w:type="pct"/>
            <w:tcBorders>
              <w:top w:val="nil"/>
              <w:left w:val="nil"/>
              <w:bottom w:val="single" w:sz="8" w:space="0" w:color="auto"/>
              <w:right w:val="single" w:sz="8" w:space="0" w:color="auto"/>
            </w:tcBorders>
            <w:tcMar>
              <w:top w:w="0" w:type="dxa"/>
              <w:left w:w="108" w:type="dxa"/>
              <w:bottom w:w="0" w:type="dxa"/>
              <w:right w:w="108" w:type="dxa"/>
            </w:tcMar>
            <w:hideMark/>
          </w:tcPr>
          <w:p w14:paraId="1A42106D" w14:textId="77777777" w:rsidR="00CB3913" w:rsidRPr="00C476E8" w:rsidRDefault="00CB3913" w:rsidP="00CB3913">
            <w:pPr>
              <w:pStyle w:val="TableText-Left"/>
              <w:rPr>
                <w:szCs w:val="18"/>
              </w:rPr>
            </w:pPr>
            <w:r>
              <w:rPr>
                <w:szCs w:val="18"/>
              </w:rPr>
              <w:t>Messaging</w:t>
            </w:r>
          </w:p>
        </w:tc>
        <w:tc>
          <w:tcPr>
            <w:tcW w:w="1444" w:type="pct"/>
            <w:tcBorders>
              <w:top w:val="nil"/>
              <w:left w:val="nil"/>
              <w:bottom w:val="single" w:sz="8" w:space="0" w:color="auto"/>
              <w:right w:val="single" w:sz="8" w:space="0" w:color="auto"/>
            </w:tcBorders>
          </w:tcPr>
          <w:p w14:paraId="737CEDE7" w14:textId="4037E789" w:rsidR="00CB3913" w:rsidRPr="00C476E8" w:rsidRDefault="00CB3913" w:rsidP="00CB3913">
            <w:pPr>
              <w:pStyle w:val="TableText-Left"/>
              <w:rPr>
                <w:szCs w:val="18"/>
              </w:rPr>
            </w:pPr>
            <w:r w:rsidRPr="00C476E8">
              <w:rPr>
                <w:szCs w:val="18"/>
              </w:rPr>
              <w:t>Switch requests, Switch Request Withdrawals</w:t>
            </w:r>
            <w:r>
              <w:rPr>
                <w:szCs w:val="18"/>
              </w:rPr>
              <w:t>, Registration Deactivations, Shipper changes, or domestic/non-domestic premises indicator updates</w:t>
            </w:r>
          </w:p>
        </w:tc>
      </w:tr>
      <w:tr w:rsidR="00360118" w:rsidRPr="00C476E8" w14:paraId="2036BD1E" w14:textId="77777777" w:rsidTr="00FE5CBD">
        <w:tc>
          <w:tcPr>
            <w:tcW w:w="1064" w:type="pct"/>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43C20165" w14:textId="77777777" w:rsidR="00360118" w:rsidRPr="00C476E8" w:rsidRDefault="00360118" w:rsidP="00CB3913">
            <w:pPr>
              <w:pStyle w:val="TableText-Left"/>
              <w:rPr>
                <w:szCs w:val="18"/>
              </w:rPr>
            </w:pPr>
            <w:r w:rsidRPr="00C476E8">
              <w:rPr>
                <w:szCs w:val="18"/>
              </w:rPr>
              <w:t>RetailEnergyLocation</w:t>
            </w:r>
          </w:p>
        </w:tc>
        <w:tc>
          <w:tcPr>
            <w:tcW w:w="610" w:type="pct"/>
            <w:tcBorders>
              <w:top w:val="nil"/>
              <w:left w:val="nil"/>
              <w:bottom w:val="single" w:sz="8" w:space="0" w:color="auto"/>
              <w:right w:val="single" w:sz="8" w:space="0" w:color="auto"/>
            </w:tcBorders>
            <w:hideMark/>
          </w:tcPr>
          <w:p w14:paraId="04BC6958" w14:textId="77777777" w:rsidR="00360118" w:rsidRPr="00C476E8" w:rsidRDefault="00360118" w:rsidP="00CB3913">
            <w:pPr>
              <w:pStyle w:val="TableText-Left"/>
              <w:rPr>
                <w:szCs w:val="18"/>
              </w:rPr>
            </w:pPr>
            <w:r w:rsidRPr="00C476E8">
              <w:rPr>
                <w:szCs w:val="18"/>
              </w:rPr>
              <w:t>CSS</w:t>
            </w:r>
          </w:p>
        </w:tc>
        <w:tc>
          <w:tcPr>
            <w:tcW w:w="661" w:type="pct"/>
            <w:tcBorders>
              <w:top w:val="nil"/>
              <w:left w:val="nil"/>
              <w:bottom w:val="single" w:sz="8" w:space="0" w:color="auto"/>
              <w:right w:val="single" w:sz="8" w:space="0" w:color="auto"/>
            </w:tcBorders>
            <w:hideMark/>
          </w:tcPr>
          <w:p w14:paraId="4B220CCA" w14:textId="77777777" w:rsidR="00360118" w:rsidRPr="00C476E8" w:rsidRDefault="00360118" w:rsidP="00CB3913">
            <w:pPr>
              <w:pStyle w:val="TableText-Left"/>
              <w:rPr>
                <w:szCs w:val="18"/>
              </w:rPr>
            </w:pPr>
            <w:r w:rsidRPr="00C476E8">
              <w:rPr>
                <w:szCs w:val="18"/>
              </w:rPr>
              <w:t>ECOES</w:t>
            </w:r>
          </w:p>
        </w:tc>
        <w:tc>
          <w:tcPr>
            <w:tcW w:w="661" w:type="pct"/>
            <w:tcBorders>
              <w:top w:val="nil"/>
              <w:left w:val="nil"/>
              <w:bottom w:val="single" w:sz="8" w:space="0" w:color="auto"/>
              <w:right w:val="single" w:sz="8" w:space="0" w:color="auto"/>
            </w:tcBorders>
            <w:tcMar>
              <w:top w:w="0" w:type="dxa"/>
              <w:left w:w="108" w:type="dxa"/>
              <w:bottom w:w="0" w:type="dxa"/>
              <w:right w:w="108" w:type="dxa"/>
            </w:tcMar>
            <w:hideMark/>
          </w:tcPr>
          <w:p w14:paraId="74518795" w14:textId="77777777" w:rsidR="00360118" w:rsidRPr="00C476E8" w:rsidRDefault="00360118" w:rsidP="00CB3913">
            <w:pPr>
              <w:pStyle w:val="TableText-Left"/>
              <w:rPr>
                <w:szCs w:val="18"/>
              </w:rPr>
            </w:pPr>
            <w:r w:rsidRPr="00C476E8">
              <w:rPr>
                <w:szCs w:val="18"/>
              </w:rPr>
              <w:t>Synchronisation</w:t>
            </w:r>
          </w:p>
        </w:tc>
        <w:tc>
          <w:tcPr>
            <w:tcW w:w="560" w:type="pct"/>
            <w:tcBorders>
              <w:top w:val="nil"/>
              <w:left w:val="nil"/>
              <w:bottom w:val="single" w:sz="8" w:space="0" w:color="auto"/>
              <w:right w:val="single" w:sz="8" w:space="0" w:color="auto"/>
            </w:tcBorders>
            <w:tcMar>
              <w:top w:w="0" w:type="dxa"/>
              <w:left w:w="108" w:type="dxa"/>
              <w:bottom w:w="0" w:type="dxa"/>
              <w:right w:w="108" w:type="dxa"/>
            </w:tcMar>
            <w:hideMark/>
          </w:tcPr>
          <w:p w14:paraId="76CB5609" w14:textId="77777777" w:rsidR="00360118" w:rsidRPr="00C476E8" w:rsidRDefault="00360118" w:rsidP="00CB3913">
            <w:pPr>
              <w:pStyle w:val="TableText-Left"/>
              <w:rPr>
                <w:szCs w:val="18"/>
              </w:rPr>
            </w:pPr>
            <w:r>
              <w:rPr>
                <w:szCs w:val="18"/>
              </w:rPr>
              <w:t>Messaging</w:t>
            </w:r>
          </w:p>
        </w:tc>
        <w:tc>
          <w:tcPr>
            <w:tcW w:w="1444" w:type="pct"/>
            <w:tcBorders>
              <w:top w:val="nil"/>
              <w:left w:val="nil"/>
              <w:bottom w:val="single" w:sz="8" w:space="0" w:color="auto"/>
              <w:right w:val="single" w:sz="8" w:space="0" w:color="auto"/>
            </w:tcBorders>
            <w:hideMark/>
          </w:tcPr>
          <w:p w14:paraId="71B0A1A9" w14:textId="77777777" w:rsidR="00360118" w:rsidRPr="00C476E8" w:rsidRDefault="00360118" w:rsidP="00CB3913">
            <w:pPr>
              <w:pStyle w:val="TableText-Left"/>
              <w:rPr>
                <w:szCs w:val="18"/>
              </w:rPr>
            </w:pPr>
            <w:r w:rsidRPr="00C476E8">
              <w:rPr>
                <w:szCs w:val="18"/>
              </w:rPr>
              <w:t>Updating Retail</w:t>
            </w:r>
            <w:r>
              <w:rPr>
                <w:szCs w:val="18"/>
              </w:rPr>
              <w:t xml:space="preserve"> </w:t>
            </w:r>
            <w:r w:rsidRPr="00C476E8">
              <w:rPr>
                <w:szCs w:val="18"/>
              </w:rPr>
              <w:t>Energy</w:t>
            </w:r>
            <w:r>
              <w:rPr>
                <w:szCs w:val="18"/>
              </w:rPr>
              <w:t xml:space="preserve"> </w:t>
            </w:r>
            <w:r w:rsidRPr="00C476E8">
              <w:rPr>
                <w:szCs w:val="18"/>
              </w:rPr>
              <w:t>Location</w:t>
            </w:r>
            <w:r w:rsidRPr="00C476E8" w:rsidDel="00435F2E">
              <w:rPr>
                <w:szCs w:val="18"/>
              </w:rPr>
              <w:t xml:space="preserve"> </w:t>
            </w:r>
            <w:r w:rsidRPr="00C476E8">
              <w:rPr>
                <w:szCs w:val="18"/>
              </w:rPr>
              <w:t>in ECOES</w:t>
            </w:r>
          </w:p>
        </w:tc>
      </w:tr>
      <w:tr w:rsidR="00360118" w:rsidRPr="00C476E8" w14:paraId="5F490391" w14:textId="77777777" w:rsidTr="00FE5CBD">
        <w:tc>
          <w:tcPr>
            <w:tcW w:w="1064" w:type="pct"/>
            <w:vMerge/>
            <w:tcBorders>
              <w:left w:val="single" w:sz="8" w:space="0" w:color="auto"/>
              <w:right w:val="single" w:sz="8" w:space="0" w:color="auto"/>
            </w:tcBorders>
            <w:vAlign w:val="center"/>
            <w:hideMark/>
          </w:tcPr>
          <w:p w14:paraId="6F01F0F3" w14:textId="77777777" w:rsidR="00360118" w:rsidRPr="00C476E8" w:rsidRDefault="00360118" w:rsidP="00CB3913">
            <w:pPr>
              <w:pStyle w:val="TableText-Left"/>
              <w:rPr>
                <w:rFonts w:eastAsiaTheme="minorHAnsi"/>
                <w:szCs w:val="18"/>
              </w:rPr>
            </w:pPr>
          </w:p>
        </w:tc>
        <w:tc>
          <w:tcPr>
            <w:tcW w:w="610" w:type="pct"/>
            <w:tcBorders>
              <w:top w:val="nil"/>
              <w:left w:val="nil"/>
              <w:bottom w:val="single" w:sz="8" w:space="0" w:color="auto"/>
              <w:right w:val="single" w:sz="8" w:space="0" w:color="auto"/>
            </w:tcBorders>
            <w:hideMark/>
          </w:tcPr>
          <w:p w14:paraId="38859E4D" w14:textId="77777777" w:rsidR="00360118" w:rsidRPr="00C476E8" w:rsidRDefault="00360118" w:rsidP="00CB3913">
            <w:pPr>
              <w:pStyle w:val="TableText-Left"/>
              <w:rPr>
                <w:szCs w:val="18"/>
              </w:rPr>
            </w:pPr>
            <w:r w:rsidRPr="00C476E8">
              <w:rPr>
                <w:szCs w:val="18"/>
              </w:rPr>
              <w:t>CSS</w:t>
            </w:r>
          </w:p>
        </w:tc>
        <w:tc>
          <w:tcPr>
            <w:tcW w:w="661" w:type="pct"/>
            <w:tcBorders>
              <w:top w:val="nil"/>
              <w:left w:val="nil"/>
              <w:bottom w:val="single" w:sz="8" w:space="0" w:color="auto"/>
              <w:right w:val="single" w:sz="8" w:space="0" w:color="auto"/>
            </w:tcBorders>
            <w:hideMark/>
          </w:tcPr>
          <w:p w14:paraId="7916CBE8" w14:textId="1466A647" w:rsidR="00360118" w:rsidRPr="00C476E8" w:rsidRDefault="00360118" w:rsidP="00CB3913">
            <w:pPr>
              <w:pStyle w:val="TableText-Left"/>
              <w:rPr>
                <w:szCs w:val="18"/>
              </w:rPr>
            </w:pPr>
            <w:r>
              <w:rPr>
                <w:szCs w:val="18"/>
              </w:rPr>
              <w:t>DES</w:t>
            </w:r>
          </w:p>
        </w:tc>
        <w:tc>
          <w:tcPr>
            <w:tcW w:w="661" w:type="pct"/>
            <w:tcBorders>
              <w:top w:val="nil"/>
              <w:left w:val="nil"/>
              <w:bottom w:val="single" w:sz="8" w:space="0" w:color="auto"/>
              <w:right w:val="single" w:sz="8" w:space="0" w:color="auto"/>
            </w:tcBorders>
            <w:tcMar>
              <w:top w:w="0" w:type="dxa"/>
              <w:left w:w="108" w:type="dxa"/>
              <w:bottom w:w="0" w:type="dxa"/>
              <w:right w:w="108" w:type="dxa"/>
            </w:tcMar>
            <w:hideMark/>
          </w:tcPr>
          <w:p w14:paraId="7A997E9C" w14:textId="77777777" w:rsidR="00360118" w:rsidRPr="00C476E8" w:rsidRDefault="00360118" w:rsidP="00CB3913">
            <w:pPr>
              <w:pStyle w:val="TableText-Left"/>
              <w:rPr>
                <w:szCs w:val="18"/>
              </w:rPr>
            </w:pPr>
            <w:r w:rsidRPr="00C476E8">
              <w:rPr>
                <w:szCs w:val="18"/>
              </w:rPr>
              <w:t>Synchronisation</w:t>
            </w:r>
          </w:p>
        </w:tc>
        <w:tc>
          <w:tcPr>
            <w:tcW w:w="560" w:type="pct"/>
            <w:tcBorders>
              <w:top w:val="nil"/>
              <w:left w:val="nil"/>
              <w:bottom w:val="single" w:sz="8" w:space="0" w:color="auto"/>
              <w:right w:val="single" w:sz="8" w:space="0" w:color="auto"/>
            </w:tcBorders>
            <w:tcMar>
              <w:top w:w="0" w:type="dxa"/>
              <w:left w:w="108" w:type="dxa"/>
              <w:bottom w:w="0" w:type="dxa"/>
              <w:right w:w="108" w:type="dxa"/>
            </w:tcMar>
            <w:hideMark/>
          </w:tcPr>
          <w:p w14:paraId="6D9B2646" w14:textId="77777777" w:rsidR="00360118" w:rsidRPr="00C476E8" w:rsidRDefault="00360118" w:rsidP="00CB3913">
            <w:pPr>
              <w:pStyle w:val="TableText-Left"/>
              <w:rPr>
                <w:szCs w:val="18"/>
              </w:rPr>
            </w:pPr>
            <w:r>
              <w:rPr>
                <w:szCs w:val="18"/>
              </w:rPr>
              <w:t>Messaging</w:t>
            </w:r>
          </w:p>
        </w:tc>
        <w:tc>
          <w:tcPr>
            <w:tcW w:w="1444" w:type="pct"/>
            <w:tcBorders>
              <w:top w:val="nil"/>
              <w:left w:val="nil"/>
              <w:bottom w:val="single" w:sz="8" w:space="0" w:color="auto"/>
              <w:right w:val="single" w:sz="8" w:space="0" w:color="auto"/>
            </w:tcBorders>
            <w:hideMark/>
          </w:tcPr>
          <w:p w14:paraId="74183227" w14:textId="139337DC" w:rsidR="00360118" w:rsidRPr="00C476E8" w:rsidRDefault="00360118" w:rsidP="00CB3913">
            <w:pPr>
              <w:pStyle w:val="TableText-Left"/>
              <w:rPr>
                <w:szCs w:val="18"/>
              </w:rPr>
            </w:pPr>
            <w:r w:rsidRPr="00C476E8">
              <w:rPr>
                <w:szCs w:val="18"/>
              </w:rPr>
              <w:t>Updating Retail</w:t>
            </w:r>
            <w:r>
              <w:rPr>
                <w:szCs w:val="18"/>
              </w:rPr>
              <w:t xml:space="preserve"> </w:t>
            </w:r>
            <w:r w:rsidRPr="00C476E8">
              <w:rPr>
                <w:szCs w:val="18"/>
              </w:rPr>
              <w:t>Energy</w:t>
            </w:r>
            <w:r>
              <w:rPr>
                <w:szCs w:val="18"/>
              </w:rPr>
              <w:t xml:space="preserve"> </w:t>
            </w:r>
            <w:r w:rsidRPr="00C476E8">
              <w:rPr>
                <w:szCs w:val="18"/>
              </w:rPr>
              <w:t>Location</w:t>
            </w:r>
            <w:r w:rsidRPr="00C476E8" w:rsidDel="00435F2E">
              <w:rPr>
                <w:szCs w:val="18"/>
              </w:rPr>
              <w:t xml:space="preserve"> </w:t>
            </w:r>
            <w:r w:rsidRPr="00C476E8">
              <w:rPr>
                <w:szCs w:val="18"/>
              </w:rPr>
              <w:t xml:space="preserve">in </w:t>
            </w:r>
            <w:r>
              <w:rPr>
                <w:szCs w:val="18"/>
              </w:rPr>
              <w:t>DES</w:t>
            </w:r>
          </w:p>
        </w:tc>
      </w:tr>
      <w:tr w:rsidR="00360118" w:rsidRPr="00C476E8" w14:paraId="01C72B19" w14:textId="77777777" w:rsidTr="00FE5CBD">
        <w:tc>
          <w:tcPr>
            <w:tcW w:w="1064" w:type="pct"/>
            <w:vMerge/>
            <w:tcBorders>
              <w:left w:val="single" w:sz="8" w:space="0" w:color="auto"/>
              <w:right w:val="single" w:sz="8" w:space="0" w:color="auto"/>
            </w:tcBorders>
            <w:vAlign w:val="center"/>
          </w:tcPr>
          <w:p w14:paraId="38601BB4" w14:textId="77777777" w:rsidR="00360118" w:rsidRPr="00C476E8" w:rsidRDefault="00360118" w:rsidP="008B3526">
            <w:pPr>
              <w:pStyle w:val="TableText-Left"/>
              <w:rPr>
                <w:rFonts w:eastAsiaTheme="minorHAnsi"/>
                <w:szCs w:val="18"/>
              </w:rPr>
            </w:pPr>
          </w:p>
        </w:tc>
        <w:tc>
          <w:tcPr>
            <w:tcW w:w="610" w:type="pct"/>
            <w:tcBorders>
              <w:top w:val="nil"/>
              <w:left w:val="nil"/>
              <w:bottom w:val="single" w:sz="8" w:space="0" w:color="auto"/>
              <w:right w:val="single" w:sz="8" w:space="0" w:color="auto"/>
            </w:tcBorders>
          </w:tcPr>
          <w:p w14:paraId="5A13A1DB" w14:textId="24932461" w:rsidR="00360118" w:rsidRPr="00C476E8" w:rsidRDefault="00360118" w:rsidP="008B3526">
            <w:pPr>
              <w:pStyle w:val="TableText-Left"/>
              <w:rPr>
                <w:szCs w:val="18"/>
              </w:rPr>
            </w:pPr>
            <w:r>
              <w:rPr>
                <w:szCs w:val="18"/>
              </w:rPr>
              <w:t>CSS</w:t>
            </w:r>
          </w:p>
        </w:tc>
        <w:tc>
          <w:tcPr>
            <w:tcW w:w="661" w:type="pct"/>
            <w:tcBorders>
              <w:top w:val="nil"/>
              <w:left w:val="nil"/>
              <w:bottom w:val="single" w:sz="8" w:space="0" w:color="auto"/>
              <w:right w:val="single" w:sz="8" w:space="0" w:color="auto"/>
            </w:tcBorders>
          </w:tcPr>
          <w:p w14:paraId="3E3523C1" w14:textId="40FE06D4" w:rsidR="00360118" w:rsidRDefault="00360118" w:rsidP="008B3526">
            <w:pPr>
              <w:pStyle w:val="TableText-Left"/>
              <w:rPr>
                <w:szCs w:val="18"/>
              </w:rPr>
            </w:pPr>
            <w:r>
              <w:rPr>
                <w:szCs w:val="18"/>
              </w:rPr>
              <w:t>MPAS</w:t>
            </w:r>
          </w:p>
        </w:tc>
        <w:tc>
          <w:tcPr>
            <w:tcW w:w="661" w:type="pct"/>
            <w:tcBorders>
              <w:top w:val="nil"/>
              <w:left w:val="nil"/>
              <w:bottom w:val="single" w:sz="8" w:space="0" w:color="auto"/>
              <w:right w:val="single" w:sz="8" w:space="0" w:color="auto"/>
            </w:tcBorders>
            <w:tcMar>
              <w:top w:w="0" w:type="dxa"/>
              <w:left w:w="108" w:type="dxa"/>
              <w:bottom w:w="0" w:type="dxa"/>
              <w:right w:w="108" w:type="dxa"/>
            </w:tcMar>
          </w:tcPr>
          <w:p w14:paraId="17A96ABF" w14:textId="1AD2E12E" w:rsidR="00360118" w:rsidRPr="00C476E8" w:rsidRDefault="00360118" w:rsidP="008B3526">
            <w:pPr>
              <w:pStyle w:val="TableText-Left"/>
              <w:rPr>
                <w:szCs w:val="18"/>
              </w:rPr>
            </w:pPr>
            <w:r w:rsidRPr="00C476E8">
              <w:rPr>
                <w:szCs w:val="18"/>
              </w:rPr>
              <w:t>Synchronisation</w:t>
            </w:r>
          </w:p>
        </w:tc>
        <w:tc>
          <w:tcPr>
            <w:tcW w:w="560" w:type="pct"/>
            <w:tcBorders>
              <w:top w:val="nil"/>
              <w:left w:val="nil"/>
              <w:bottom w:val="single" w:sz="8" w:space="0" w:color="auto"/>
              <w:right w:val="single" w:sz="8" w:space="0" w:color="auto"/>
            </w:tcBorders>
            <w:tcMar>
              <w:top w:w="0" w:type="dxa"/>
              <w:left w:w="108" w:type="dxa"/>
              <w:bottom w:w="0" w:type="dxa"/>
              <w:right w:w="108" w:type="dxa"/>
            </w:tcMar>
          </w:tcPr>
          <w:p w14:paraId="5970EDBD" w14:textId="271558EF" w:rsidR="00360118" w:rsidRDefault="00360118" w:rsidP="008B3526">
            <w:pPr>
              <w:pStyle w:val="TableText-Left"/>
              <w:rPr>
                <w:szCs w:val="18"/>
              </w:rPr>
            </w:pPr>
            <w:r>
              <w:rPr>
                <w:szCs w:val="18"/>
              </w:rPr>
              <w:t>Messaging</w:t>
            </w:r>
          </w:p>
        </w:tc>
        <w:tc>
          <w:tcPr>
            <w:tcW w:w="1444" w:type="pct"/>
            <w:tcBorders>
              <w:top w:val="nil"/>
              <w:left w:val="nil"/>
              <w:bottom w:val="single" w:sz="8" w:space="0" w:color="auto"/>
              <w:right w:val="single" w:sz="8" w:space="0" w:color="auto"/>
            </w:tcBorders>
          </w:tcPr>
          <w:p w14:paraId="5C5D4905" w14:textId="79019DA4" w:rsidR="00360118" w:rsidRPr="00C476E8" w:rsidRDefault="00360118" w:rsidP="008B3526">
            <w:pPr>
              <w:pStyle w:val="TableText-Left"/>
              <w:rPr>
                <w:szCs w:val="18"/>
              </w:rPr>
            </w:pPr>
            <w:r w:rsidRPr="00C476E8">
              <w:rPr>
                <w:szCs w:val="18"/>
              </w:rPr>
              <w:t>Updating Retail</w:t>
            </w:r>
            <w:r>
              <w:rPr>
                <w:szCs w:val="18"/>
              </w:rPr>
              <w:t xml:space="preserve"> </w:t>
            </w:r>
            <w:r w:rsidRPr="00C476E8">
              <w:rPr>
                <w:szCs w:val="18"/>
              </w:rPr>
              <w:t>Energy</w:t>
            </w:r>
            <w:r>
              <w:rPr>
                <w:szCs w:val="18"/>
              </w:rPr>
              <w:t xml:space="preserve"> </w:t>
            </w:r>
            <w:r w:rsidRPr="00C476E8">
              <w:rPr>
                <w:szCs w:val="18"/>
              </w:rPr>
              <w:t>Location</w:t>
            </w:r>
            <w:r w:rsidRPr="00C476E8" w:rsidDel="00435F2E">
              <w:rPr>
                <w:szCs w:val="18"/>
              </w:rPr>
              <w:t xml:space="preserve"> </w:t>
            </w:r>
            <w:r w:rsidRPr="00C476E8">
              <w:rPr>
                <w:szCs w:val="18"/>
              </w:rPr>
              <w:t xml:space="preserve">in </w:t>
            </w:r>
            <w:r>
              <w:rPr>
                <w:szCs w:val="18"/>
              </w:rPr>
              <w:t>MPAS</w:t>
            </w:r>
          </w:p>
        </w:tc>
      </w:tr>
      <w:tr w:rsidR="00360118" w:rsidRPr="00C476E8" w14:paraId="6EC0B8B8" w14:textId="77777777" w:rsidTr="00FE5CBD">
        <w:tc>
          <w:tcPr>
            <w:tcW w:w="1064" w:type="pct"/>
            <w:vMerge/>
            <w:tcBorders>
              <w:left w:val="single" w:sz="8" w:space="0" w:color="auto"/>
              <w:bottom w:val="single" w:sz="8" w:space="0" w:color="auto"/>
              <w:right w:val="single" w:sz="8" w:space="0" w:color="auto"/>
            </w:tcBorders>
            <w:vAlign w:val="center"/>
          </w:tcPr>
          <w:p w14:paraId="5F902840" w14:textId="77777777" w:rsidR="00360118" w:rsidRPr="00C476E8" w:rsidRDefault="00360118" w:rsidP="008B3526">
            <w:pPr>
              <w:pStyle w:val="TableText-Left"/>
              <w:rPr>
                <w:rFonts w:eastAsiaTheme="minorHAnsi"/>
                <w:szCs w:val="18"/>
              </w:rPr>
            </w:pPr>
          </w:p>
        </w:tc>
        <w:tc>
          <w:tcPr>
            <w:tcW w:w="610" w:type="pct"/>
            <w:tcBorders>
              <w:top w:val="nil"/>
              <w:left w:val="nil"/>
              <w:bottom w:val="single" w:sz="8" w:space="0" w:color="auto"/>
              <w:right w:val="single" w:sz="8" w:space="0" w:color="auto"/>
            </w:tcBorders>
          </w:tcPr>
          <w:p w14:paraId="386500A8" w14:textId="009D762B" w:rsidR="00360118" w:rsidRPr="00C476E8" w:rsidRDefault="00360118" w:rsidP="008B3526">
            <w:pPr>
              <w:pStyle w:val="TableText-Left"/>
              <w:rPr>
                <w:szCs w:val="18"/>
              </w:rPr>
            </w:pPr>
            <w:r>
              <w:rPr>
                <w:szCs w:val="18"/>
              </w:rPr>
              <w:t>CSS</w:t>
            </w:r>
          </w:p>
        </w:tc>
        <w:tc>
          <w:tcPr>
            <w:tcW w:w="661" w:type="pct"/>
            <w:tcBorders>
              <w:top w:val="nil"/>
              <w:left w:val="nil"/>
              <w:bottom w:val="single" w:sz="8" w:space="0" w:color="auto"/>
              <w:right w:val="single" w:sz="8" w:space="0" w:color="auto"/>
            </w:tcBorders>
          </w:tcPr>
          <w:p w14:paraId="15D70BF8" w14:textId="6D080911" w:rsidR="00360118" w:rsidRDefault="00360118" w:rsidP="008B3526">
            <w:pPr>
              <w:pStyle w:val="TableText-Left"/>
              <w:rPr>
                <w:szCs w:val="18"/>
              </w:rPr>
            </w:pPr>
            <w:r>
              <w:rPr>
                <w:szCs w:val="18"/>
              </w:rPr>
              <w:t>UK Link</w:t>
            </w:r>
          </w:p>
        </w:tc>
        <w:tc>
          <w:tcPr>
            <w:tcW w:w="661" w:type="pct"/>
            <w:tcBorders>
              <w:top w:val="nil"/>
              <w:left w:val="nil"/>
              <w:bottom w:val="single" w:sz="8" w:space="0" w:color="auto"/>
              <w:right w:val="single" w:sz="8" w:space="0" w:color="auto"/>
            </w:tcBorders>
            <w:tcMar>
              <w:top w:w="0" w:type="dxa"/>
              <w:left w:w="108" w:type="dxa"/>
              <w:bottom w:w="0" w:type="dxa"/>
              <w:right w:w="108" w:type="dxa"/>
            </w:tcMar>
          </w:tcPr>
          <w:p w14:paraId="75F2E1E3" w14:textId="43D2F3CD" w:rsidR="00360118" w:rsidRPr="00C476E8" w:rsidRDefault="00360118" w:rsidP="008B3526">
            <w:pPr>
              <w:pStyle w:val="TableText-Left"/>
              <w:rPr>
                <w:szCs w:val="18"/>
              </w:rPr>
            </w:pPr>
            <w:r w:rsidRPr="00C476E8">
              <w:rPr>
                <w:szCs w:val="18"/>
              </w:rPr>
              <w:t>Synchronisation</w:t>
            </w:r>
          </w:p>
        </w:tc>
        <w:tc>
          <w:tcPr>
            <w:tcW w:w="560" w:type="pct"/>
            <w:tcBorders>
              <w:top w:val="nil"/>
              <w:left w:val="nil"/>
              <w:bottom w:val="single" w:sz="8" w:space="0" w:color="auto"/>
              <w:right w:val="single" w:sz="8" w:space="0" w:color="auto"/>
            </w:tcBorders>
            <w:tcMar>
              <w:top w:w="0" w:type="dxa"/>
              <w:left w:w="108" w:type="dxa"/>
              <w:bottom w:w="0" w:type="dxa"/>
              <w:right w:w="108" w:type="dxa"/>
            </w:tcMar>
          </w:tcPr>
          <w:p w14:paraId="01D0B588" w14:textId="25FBC15F" w:rsidR="00360118" w:rsidRDefault="00360118" w:rsidP="008B3526">
            <w:pPr>
              <w:pStyle w:val="TableText-Left"/>
              <w:rPr>
                <w:szCs w:val="18"/>
              </w:rPr>
            </w:pPr>
            <w:r>
              <w:rPr>
                <w:szCs w:val="18"/>
              </w:rPr>
              <w:t>Messaging</w:t>
            </w:r>
          </w:p>
        </w:tc>
        <w:tc>
          <w:tcPr>
            <w:tcW w:w="1444" w:type="pct"/>
            <w:tcBorders>
              <w:top w:val="nil"/>
              <w:left w:val="nil"/>
              <w:bottom w:val="single" w:sz="8" w:space="0" w:color="auto"/>
              <w:right w:val="single" w:sz="8" w:space="0" w:color="auto"/>
            </w:tcBorders>
          </w:tcPr>
          <w:p w14:paraId="3ED0E3D2" w14:textId="4E1DB2B4" w:rsidR="00360118" w:rsidRPr="00C476E8" w:rsidRDefault="00360118" w:rsidP="008B3526">
            <w:pPr>
              <w:pStyle w:val="TableText-Left"/>
              <w:rPr>
                <w:szCs w:val="18"/>
              </w:rPr>
            </w:pPr>
            <w:r w:rsidRPr="00C476E8">
              <w:rPr>
                <w:szCs w:val="18"/>
              </w:rPr>
              <w:t>Updating Retail</w:t>
            </w:r>
            <w:r>
              <w:rPr>
                <w:szCs w:val="18"/>
              </w:rPr>
              <w:t xml:space="preserve"> </w:t>
            </w:r>
            <w:r w:rsidRPr="00C476E8">
              <w:rPr>
                <w:szCs w:val="18"/>
              </w:rPr>
              <w:t>Energy</w:t>
            </w:r>
            <w:r>
              <w:rPr>
                <w:szCs w:val="18"/>
              </w:rPr>
              <w:t xml:space="preserve"> </w:t>
            </w:r>
            <w:r w:rsidRPr="00C476E8">
              <w:rPr>
                <w:szCs w:val="18"/>
              </w:rPr>
              <w:t>Location</w:t>
            </w:r>
            <w:r w:rsidRPr="00C476E8" w:rsidDel="00435F2E">
              <w:rPr>
                <w:szCs w:val="18"/>
              </w:rPr>
              <w:t xml:space="preserve"> </w:t>
            </w:r>
            <w:r w:rsidRPr="00C476E8">
              <w:rPr>
                <w:szCs w:val="18"/>
              </w:rPr>
              <w:t xml:space="preserve">in </w:t>
            </w:r>
            <w:r>
              <w:rPr>
                <w:szCs w:val="18"/>
              </w:rPr>
              <w:t>UK Link</w:t>
            </w:r>
          </w:p>
        </w:tc>
      </w:tr>
      <w:tr w:rsidR="008B3526" w:rsidRPr="00C476E8" w14:paraId="45383F46" w14:textId="77777777" w:rsidTr="00F47C06">
        <w:tc>
          <w:tcPr>
            <w:tcW w:w="106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1AC631" w14:textId="77777777" w:rsidR="008B3526" w:rsidRPr="00C476E8" w:rsidRDefault="008B3526" w:rsidP="008B3526">
            <w:pPr>
              <w:pStyle w:val="TableText-Left"/>
              <w:rPr>
                <w:szCs w:val="18"/>
              </w:rPr>
            </w:pPr>
            <w:r w:rsidRPr="00C476E8">
              <w:rPr>
                <w:szCs w:val="18"/>
              </w:rPr>
              <w:t>RMPRegApptSync</w:t>
            </w:r>
          </w:p>
        </w:tc>
        <w:tc>
          <w:tcPr>
            <w:tcW w:w="610" w:type="pct"/>
            <w:tcBorders>
              <w:top w:val="nil"/>
              <w:left w:val="nil"/>
              <w:bottom w:val="single" w:sz="8" w:space="0" w:color="auto"/>
              <w:right w:val="single" w:sz="8" w:space="0" w:color="auto"/>
            </w:tcBorders>
            <w:hideMark/>
          </w:tcPr>
          <w:p w14:paraId="11320A97" w14:textId="77777777" w:rsidR="008B3526" w:rsidRPr="00C476E8" w:rsidRDefault="008B3526" w:rsidP="008B3526">
            <w:pPr>
              <w:pStyle w:val="TableText-Left"/>
              <w:rPr>
                <w:szCs w:val="18"/>
              </w:rPr>
            </w:pPr>
            <w:r w:rsidRPr="00C476E8">
              <w:rPr>
                <w:szCs w:val="18"/>
              </w:rPr>
              <w:t>CSS</w:t>
            </w:r>
          </w:p>
        </w:tc>
        <w:tc>
          <w:tcPr>
            <w:tcW w:w="661" w:type="pct"/>
            <w:tcBorders>
              <w:top w:val="nil"/>
              <w:left w:val="nil"/>
              <w:bottom w:val="single" w:sz="8" w:space="0" w:color="auto"/>
              <w:right w:val="single" w:sz="8" w:space="0" w:color="auto"/>
            </w:tcBorders>
            <w:hideMark/>
          </w:tcPr>
          <w:p w14:paraId="47CCEC97" w14:textId="77777777" w:rsidR="008B3526" w:rsidRPr="00C476E8" w:rsidRDefault="008B3526" w:rsidP="008B3526">
            <w:pPr>
              <w:pStyle w:val="TableText-Left"/>
              <w:rPr>
                <w:szCs w:val="18"/>
              </w:rPr>
            </w:pPr>
            <w:r w:rsidRPr="00C476E8">
              <w:rPr>
                <w:szCs w:val="18"/>
              </w:rPr>
              <w:t>Smart Metering</w:t>
            </w:r>
          </w:p>
        </w:tc>
        <w:tc>
          <w:tcPr>
            <w:tcW w:w="661" w:type="pct"/>
            <w:tcBorders>
              <w:top w:val="nil"/>
              <w:left w:val="nil"/>
              <w:bottom w:val="single" w:sz="8" w:space="0" w:color="auto"/>
              <w:right w:val="single" w:sz="8" w:space="0" w:color="auto"/>
            </w:tcBorders>
            <w:tcMar>
              <w:top w:w="0" w:type="dxa"/>
              <w:left w:w="108" w:type="dxa"/>
              <w:bottom w:w="0" w:type="dxa"/>
              <w:right w:w="108" w:type="dxa"/>
            </w:tcMar>
            <w:hideMark/>
          </w:tcPr>
          <w:p w14:paraId="1B9D3D5E" w14:textId="77777777" w:rsidR="008B3526" w:rsidRPr="00C476E8" w:rsidRDefault="008B3526" w:rsidP="008B3526">
            <w:pPr>
              <w:pStyle w:val="TableText-Left"/>
              <w:rPr>
                <w:szCs w:val="18"/>
              </w:rPr>
            </w:pPr>
            <w:r w:rsidRPr="00C476E8">
              <w:rPr>
                <w:szCs w:val="18"/>
              </w:rPr>
              <w:t>Synchronisation</w:t>
            </w:r>
          </w:p>
        </w:tc>
        <w:tc>
          <w:tcPr>
            <w:tcW w:w="560" w:type="pct"/>
            <w:tcBorders>
              <w:top w:val="nil"/>
              <w:left w:val="nil"/>
              <w:bottom w:val="single" w:sz="8" w:space="0" w:color="auto"/>
              <w:right w:val="single" w:sz="8" w:space="0" w:color="auto"/>
            </w:tcBorders>
            <w:tcMar>
              <w:top w:w="0" w:type="dxa"/>
              <w:left w:w="108" w:type="dxa"/>
              <w:bottom w:w="0" w:type="dxa"/>
              <w:right w:w="108" w:type="dxa"/>
            </w:tcMar>
            <w:hideMark/>
          </w:tcPr>
          <w:p w14:paraId="7A47F0D3" w14:textId="77777777" w:rsidR="008B3526" w:rsidRPr="00C476E8" w:rsidRDefault="008B3526" w:rsidP="008B3526">
            <w:pPr>
              <w:pStyle w:val="TableText-Left"/>
              <w:rPr>
                <w:szCs w:val="18"/>
              </w:rPr>
            </w:pPr>
            <w:r>
              <w:rPr>
                <w:szCs w:val="18"/>
              </w:rPr>
              <w:t>Messaging</w:t>
            </w:r>
          </w:p>
        </w:tc>
        <w:tc>
          <w:tcPr>
            <w:tcW w:w="1444" w:type="pct"/>
            <w:tcBorders>
              <w:top w:val="nil"/>
              <w:left w:val="nil"/>
              <w:bottom w:val="single" w:sz="8" w:space="0" w:color="auto"/>
              <w:right w:val="single" w:sz="8" w:space="0" w:color="auto"/>
            </w:tcBorders>
            <w:hideMark/>
          </w:tcPr>
          <w:p w14:paraId="34EEB8E7" w14:textId="77777777" w:rsidR="008B3526" w:rsidRPr="00C476E8" w:rsidRDefault="008B3526" w:rsidP="008B3526">
            <w:pPr>
              <w:pStyle w:val="TableText-Left"/>
              <w:rPr>
                <w:szCs w:val="18"/>
              </w:rPr>
            </w:pPr>
            <w:r w:rsidRPr="00C476E8">
              <w:rPr>
                <w:szCs w:val="18"/>
              </w:rPr>
              <w:t xml:space="preserve">Smart metering will need to know about the </w:t>
            </w:r>
            <w:r>
              <w:rPr>
                <w:szCs w:val="18"/>
              </w:rPr>
              <w:t>Supplier and MEM changes</w:t>
            </w:r>
            <w:r w:rsidRPr="00C476E8">
              <w:rPr>
                <w:szCs w:val="18"/>
              </w:rPr>
              <w:t xml:space="preserve"> to give </w:t>
            </w:r>
            <w:r>
              <w:rPr>
                <w:szCs w:val="18"/>
              </w:rPr>
              <w:t>them</w:t>
            </w:r>
            <w:r w:rsidRPr="00C476E8">
              <w:rPr>
                <w:szCs w:val="18"/>
              </w:rPr>
              <w:t xml:space="preserve"> access to the meter to</w:t>
            </w:r>
            <w:r>
              <w:rPr>
                <w:szCs w:val="18"/>
              </w:rPr>
              <w:t xml:space="preserve"> process commands,</w:t>
            </w:r>
            <w:r w:rsidRPr="00C476E8">
              <w:rPr>
                <w:szCs w:val="18"/>
              </w:rPr>
              <w:t xml:space="preserve"> take readings</w:t>
            </w:r>
            <w:r>
              <w:rPr>
                <w:szCs w:val="18"/>
              </w:rPr>
              <w:t>,</w:t>
            </w:r>
            <w:r w:rsidRPr="00C476E8">
              <w:rPr>
                <w:szCs w:val="18"/>
              </w:rPr>
              <w:t xml:space="preserve"> </w:t>
            </w:r>
            <w:r>
              <w:rPr>
                <w:szCs w:val="18"/>
              </w:rPr>
              <w:t>etc.</w:t>
            </w:r>
          </w:p>
        </w:tc>
      </w:tr>
      <w:tr w:rsidR="008B3526" w:rsidRPr="00C476E8" w14:paraId="59B2FB3C" w14:textId="77777777" w:rsidTr="00F47C06">
        <w:tc>
          <w:tcPr>
            <w:tcW w:w="106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E0339A" w14:textId="77777777" w:rsidR="008B3526" w:rsidRPr="00C476E8" w:rsidRDefault="008B3526" w:rsidP="008B3526">
            <w:pPr>
              <w:pStyle w:val="TableText-Left"/>
              <w:rPr>
                <w:szCs w:val="18"/>
              </w:rPr>
            </w:pPr>
            <w:r w:rsidRPr="00C476E8">
              <w:rPr>
                <w:szCs w:val="18"/>
              </w:rPr>
              <w:t>SupplyMeterPointSync</w:t>
            </w:r>
          </w:p>
        </w:tc>
        <w:tc>
          <w:tcPr>
            <w:tcW w:w="610" w:type="pct"/>
            <w:tcBorders>
              <w:top w:val="nil"/>
              <w:left w:val="nil"/>
              <w:bottom w:val="single" w:sz="8" w:space="0" w:color="auto"/>
              <w:right w:val="single" w:sz="8" w:space="0" w:color="auto"/>
            </w:tcBorders>
            <w:hideMark/>
          </w:tcPr>
          <w:p w14:paraId="4928663F" w14:textId="77777777" w:rsidR="008B3526" w:rsidRPr="00C476E8" w:rsidRDefault="008B3526" w:rsidP="008B3526">
            <w:pPr>
              <w:pStyle w:val="TableText-Left"/>
              <w:rPr>
                <w:szCs w:val="18"/>
              </w:rPr>
            </w:pPr>
            <w:r w:rsidRPr="00C476E8">
              <w:rPr>
                <w:szCs w:val="18"/>
              </w:rPr>
              <w:t>CSS</w:t>
            </w:r>
          </w:p>
        </w:tc>
        <w:tc>
          <w:tcPr>
            <w:tcW w:w="661" w:type="pct"/>
            <w:tcBorders>
              <w:top w:val="nil"/>
              <w:left w:val="nil"/>
              <w:bottom w:val="single" w:sz="8" w:space="0" w:color="auto"/>
              <w:right w:val="single" w:sz="8" w:space="0" w:color="auto"/>
            </w:tcBorders>
            <w:hideMark/>
          </w:tcPr>
          <w:p w14:paraId="2DE76DC8" w14:textId="031B465F" w:rsidR="008B3526" w:rsidRPr="00C476E8" w:rsidRDefault="008B3526" w:rsidP="008B3526">
            <w:pPr>
              <w:pStyle w:val="TableText-Left"/>
              <w:rPr>
                <w:szCs w:val="18"/>
              </w:rPr>
            </w:pPr>
            <w:r>
              <w:rPr>
                <w:szCs w:val="18"/>
              </w:rPr>
              <w:t>UK Link</w:t>
            </w:r>
          </w:p>
        </w:tc>
        <w:tc>
          <w:tcPr>
            <w:tcW w:w="661" w:type="pct"/>
            <w:tcBorders>
              <w:top w:val="nil"/>
              <w:left w:val="nil"/>
              <w:bottom w:val="single" w:sz="8" w:space="0" w:color="auto"/>
              <w:right w:val="single" w:sz="8" w:space="0" w:color="auto"/>
            </w:tcBorders>
            <w:tcMar>
              <w:top w:w="0" w:type="dxa"/>
              <w:left w:w="108" w:type="dxa"/>
              <w:bottom w:w="0" w:type="dxa"/>
              <w:right w:w="108" w:type="dxa"/>
            </w:tcMar>
            <w:hideMark/>
          </w:tcPr>
          <w:p w14:paraId="226B64E7" w14:textId="77777777" w:rsidR="008B3526" w:rsidRPr="00C476E8" w:rsidRDefault="008B3526" w:rsidP="008B3526">
            <w:pPr>
              <w:pStyle w:val="TableText-Left"/>
              <w:rPr>
                <w:szCs w:val="18"/>
              </w:rPr>
            </w:pPr>
            <w:r w:rsidRPr="00C476E8">
              <w:rPr>
                <w:szCs w:val="18"/>
              </w:rPr>
              <w:t>Synchronisation</w:t>
            </w:r>
          </w:p>
        </w:tc>
        <w:tc>
          <w:tcPr>
            <w:tcW w:w="560" w:type="pct"/>
            <w:tcBorders>
              <w:top w:val="nil"/>
              <w:left w:val="nil"/>
              <w:bottom w:val="single" w:sz="8" w:space="0" w:color="auto"/>
              <w:right w:val="single" w:sz="8" w:space="0" w:color="auto"/>
            </w:tcBorders>
            <w:tcMar>
              <w:top w:w="0" w:type="dxa"/>
              <w:left w:w="108" w:type="dxa"/>
              <w:bottom w:w="0" w:type="dxa"/>
              <w:right w:w="108" w:type="dxa"/>
            </w:tcMar>
            <w:hideMark/>
          </w:tcPr>
          <w:p w14:paraId="0D0AC431" w14:textId="77777777" w:rsidR="008B3526" w:rsidRPr="00C476E8" w:rsidRDefault="008B3526" w:rsidP="008B3526">
            <w:pPr>
              <w:pStyle w:val="TableText-Left"/>
              <w:rPr>
                <w:szCs w:val="18"/>
              </w:rPr>
            </w:pPr>
            <w:r>
              <w:rPr>
                <w:szCs w:val="18"/>
              </w:rPr>
              <w:t>Messaging (buffered)</w:t>
            </w:r>
          </w:p>
        </w:tc>
        <w:tc>
          <w:tcPr>
            <w:tcW w:w="1444" w:type="pct"/>
            <w:tcBorders>
              <w:top w:val="nil"/>
              <w:left w:val="nil"/>
              <w:bottom w:val="single" w:sz="8" w:space="0" w:color="auto"/>
              <w:right w:val="single" w:sz="8" w:space="0" w:color="auto"/>
            </w:tcBorders>
            <w:hideMark/>
          </w:tcPr>
          <w:p w14:paraId="71155035" w14:textId="06233779" w:rsidR="008B3526" w:rsidRPr="00C476E8" w:rsidRDefault="008B3526" w:rsidP="008B3526">
            <w:pPr>
              <w:pStyle w:val="TableText-Left"/>
              <w:rPr>
                <w:szCs w:val="18"/>
              </w:rPr>
            </w:pPr>
            <w:r w:rsidRPr="00C476E8">
              <w:rPr>
                <w:szCs w:val="18"/>
              </w:rPr>
              <w:t xml:space="preserve">Synchronisation of </w:t>
            </w:r>
            <w:r>
              <w:rPr>
                <w:szCs w:val="18"/>
              </w:rPr>
              <w:t>gas</w:t>
            </w:r>
            <w:r w:rsidRPr="00C476E8">
              <w:rPr>
                <w:szCs w:val="18"/>
              </w:rPr>
              <w:t xml:space="preserve"> RMPs</w:t>
            </w:r>
            <w:r>
              <w:rPr>
                <w:szCs w:val="18"/>
              </w:rPr>
              <w:t xml:space="preserve"> and associated data, including </w:t>
            </w:r>
            <w:r>
              <w:t>changes to registration, shipper, registration status, or primary asset MAP ownership</w:t>
            </w:r>
          </w:p>
        </w:tc>
      </w:tr>
      <w:tr w:rsidR="008B3526" w:rsidRPr="00C476E8" w14:paraId="147D5664" w14:textId="77777777" w:rsidTr="00F47C06">
        <w:tc>
          <w:tcPr>
            <w:tcW w:w="106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25D21E9" w14:textId="62A74F85" w:rsidR="008B3526" w:rsidRPr="00C476E8" w:rsidRDefault="00123A06" w:rsidP="008B3526">
            <w:pPr>
              <w:pStyle w:val="TableText-Left"/>
              <w:rPr>
                <w:szCs w:val="18"/>
              </w:rPr>
            </w:pPr>
            <w:hyperlink r:id="rId43" w:history="1">
              <w:r w:rsidR="008B3526" w:rsidRPr="00831381">
                <w:rPr>
                  <w:szCs w:val="18"/>
                </w:rPr>
                <w:t>SwitchingDomainData</w:t>
              </w:r>
            </w:hyperlink>
          </w:p>
        </w:tc>
        <w:tc>
          <w:tcPr>
            <w:tcW w:w="610" w:type="pct"/>
            <w:tcBorders>
              <w:top w:val="nil"/>
              <w:left w:val="nil"/>
              <w:bottom w:val="single" w:sz="8" w:space="0" w:color="auto"/>
              <w:right w:val="single" w:sz="8" w:space="0" w:color="auto"/>
            </w:tcBorders>
          </w:tcPr>
          <w:p w14:paraId="09EABDD1" w14:textId="3B511736" w:rsidR="008B3526" w:rsidRPr="00C476E8" w:rsidDel="00986409" w:rsidRDefault="008B3526" w:rsidP="008B3526">
            <w:pPr>
              <w:pStyle w:val="TableText-Left"/>
              <w:rPr>
                <w:szCs w:val="18"/>
              </w:rPr>
            </w:pPr>
            <w:r>
              <w:rPr>
                <w:szCs w:val="18"/>
              </w:rPr>
              <w:t>Switching Domain Data Service</w:t>
            </w:r>
          </w:p>
        </w:tc>
        <w:tc>
          <w:tcPr>
            <w:tcW w:w="661" w:type="pct"/>
            <w:tcBorders>
              <w:top w:val="nil"/>
              <w:left w:val="nil"/>
              <w:bottom w:val="single" w:sz="8" w:space="0" w:color="auto"/>
              <w:right w:val="single" w:sz="8" w:space="0" w:color="auto"/>
            </w:tcBorders>
          </w:tcPr>
          <w:p w14:paraId="0D80AA0F" w14:textId="2870ADAD" w:rsidR="008B3526" w:rsidRPr="00C476E8" w:rsidDel="00986409" w:rsidRDefault="00123A06" w:rsidP="008B3526">
            <w:pPr>
              <w:pStyle w:val="TableText-Left"/>
              <w:rPr>
                <w:szCs w:val="18"/>
              </w:rPr>
            </w:pPr>
            <w:hyperlink r:id="rId44" w:history="1">
              <w:r w:rsidR="008B3526" w:rsidRPr="00831381">
                <w:rPr>
                  <w:szCs w:val="18"/>
                </w:rPr>
                <w:t>MAP Data Service</w:t>
              </w:r>
            </w:hyperlink>
            <w:r w:rsidR="008B3526" w:rsidRPr="00831381">
              <w:rPr>
                <w:szCs w:val="18"/>
              </w:rPr>
              <w:br/>
            </w:r>
            <w:hyperlink r:id="rId45" w:history="1">
              <w:r w:rsidR="008B3526" w:rsidRPr="00831381">
                <w:rPr>
                  <w:szCs w:val="18"/>
                </w:rPr>
                <w:t>Supplier Data Service</w:t>
              </w:r>
            </w:hyperlink>
            <w:r w:rsidR="008B3526" w:rsidRPr="00831381">
              <w:rPr>
                <w:szCs w:val="18"/>
              </w:rPr>
              <w:br/>
            </w:r>
            <w:hyperlink r:id="rId46" w:history="1">
              <w:r w:rsidR="008B3526">
                <w:rPr>
                  <w:szCs w:val="18"/>
                </w:rPr>
                <w:t>UK Link</w:t>
              </w:r>
            </w:hyperlink>
            <w:r w:rsidR="008B3526" w:rsidRPr="00831381">
              <w:rPr>
                <w:szCs w:val="18"/>
              </w:rPr>
              <w:br/>
            </w:r>
            <w:hyperlink r:id="rId47" w:history="1">
              <w:r w:rsidR="008B3526">
                <w:rPr>
                  <w:szCs w:val="18"/>
                </w:rPr>
                <w:t>ECOES</w:t>
              </w:r>
            </w:hyperlink>
            <w:r w:rsidR="008B3526" w:rsidRPr="00831381">
              <w:rPr>
                <w:szCs w:val="18"/>
              </w:rPr>
              <w:br/>
            </w:r>
            <w:hyperlink r:id="rId48" w:history="1">
              <w:r w:rsidR="008B3526">
                <w:rPr>
                  <w:szCs w:val="18"/>
                </w:rPr>
                <w:t>DES</w:t>
              </w:r>
            </w:hyperlink>
            <w:r w:rsidR="008B3526" w:rsidRPr="00831381">
              <w:rPr>
                <w:szCs w:val="18"/>
              </w:rPr>
              <w:br/>
            </w:r>
            <w:hyperlink r:id="rId49" w:history="1">
              <w:r w:rsidR="008B3526">
                <w:rPr>
                  <w:szCs w:val="18"/>
                </w:rPr>
                <w:t>MPAS</w:t>
              </w:r>
            </w:hyperlink>
            <w:r w:rsidR="008B3526" w:rsidRPr="00831381">
              <w:rPr>
                <w:szCs w:val="18"/>
              </w:rPr>
              <w:br/>
            </w:r>
            <w:hyperlink r:id="rId50" w:history="1">
              <w:r w:rsidR="008B3526">
                <w:rPr>
                  <w:szCs w:val="18"/>
                </w:rPr>
                <w:t>Smart Metering</w:t>
              </w:r>
              <w:r w:rsidR="008B3526" w:rsidRPr="00831381">
                <w:rPr>
                  <w:szCs w:val="18"/>
                </w:rPr>
                <w:t xml:space="preserve"> Data Service</w:t>
              </w:r>
            </w:hyperlink>
            <w:r w:rsidR="008B3526" w:rsidRPr="00831381">
              <w:rPr>
                <w:szCs w:val="18"/>
              </w:rPr>
              <w:br/>
            </w:r>
            <w:hyperlink r:id="rId51" w:history="1">
              <w:r w:rsidR="008B3526">
                <w:rPr>
                  <w:szCs w:val="18"/>
                </w:rPr>
                <w:t>CSS</w:t>
              </w:r>
            </w:hyperlink>
            <w:r w:rsidR="008B3526" w:rsidRPr="00831381">
              <w:rPr>
                <w:szCs w:val="18"/>
              </w:rPr>
              <w:br/>
            </w:r>
            <w:hyperlink r:id="rId52" w:history="1">
              <w:r w:rsidR="008B3526" w:rsidRPr="00831381">
                <w:rPr>
                  <w:szCs w:val="18"/>
                </w:rPr>
                <w:t>Data Collection Service</w:t>
              </w:r>
            </w:hyperlink>
            <w:r w:rsidR="008B3526" w:rsidRPr="00831381">
              <w:rPr>
                <w:szCs w:val="18"/>
              </w:rPr>
              <w:br/>
            </w:r>
            <w:hyperlink r:id="rId53" w:history="1">
              <w:r w:rsidR="008B3526" w:rsidRPr="00831381">
                <w:rPr>
                  <w:szCs w:val="18"/>
                </w:rPr>
                <w:t>Data Aggregation Service</w:t>
              </w:r>
            </w:hyperlink>
            <w:r w:rsidR="008B3526" w:rsidRPr="00831381">
              <w:rPr>
                <w:szCs w:val="18"/>
              </w:rPr>
              <w:br/>
            </w:r>
            <w:hyperlink r:id="rId54" w:history="1">
              <w:r w:rsidR="008B3526" w:rsidRPr="00831381">
                <w:rPr>
                  <w:szCs w:val="18"/>
                </w:rPr>
                <w:t>Shipper Data Service</w:t>
              </w:r>
            </w:hyperlink>
            <w:r w:rsidR="008B3526" w:rsidRPr="00831381">
              <w:rPr>
                <w:szCs w:val="18"/>
              </w:rPr>
              <w:br/>
            </w:r>
            <w:hyperlink r:id="rId55" w:history="1">
              <w:r w:rsidR="008B3526" w:rsidRPr="00831381">
                <w:rPr>
                  <w:szCs w:val="18"/>
                </w:rPr>
                <w:t>MEM Data Service</w:t>
              </w:r>
            </w:hyperlink>
          </w:p>
        </w:tc>
        <w:tc>
          <w:tcPr>
            <w:tcW w:w="661" w:type="pct"/>
            <w:tcBorders>
              <w:top w:val="nil"/>
              <w:left w:val="nil"/>
              <w:bottom w:val="single" w:sz="8" w:space="0" w:color="auto"/>
              <w:right w:val="single" w:sz="8" w:space="0" w:color="auto"/>
            </w:tcBorders>
            <w:tcMar>
              <w:top w:w="0" w:type="dxa"/>
              <w:left w:w="108" w:type="dxa"/>
              <w:bottom w:w="0" w:type="dxa"/>
              <w:right w:w="108" w:type="dxa"/>
            </w:tcMar>
          </w:tcPr>
          <w:p w14:paraId="1C08BE98" w14:textId="03291B6B" w:rsidR="008B3526" w:rsidRPr="00C476E8" w:rsidRDefault="008B3526" w:rsidP="008B3526">
            <w:pPr>
              <w:pStyle w:val="TableText-Left"/>
              <w:rPr>
                <w:szCs w:val="18"/>
              </w:rPr>
            </w:pPr>
            <w:r>
              <w:rPr>
                <w:szCs w:val="18"/>
              </w:rPr>
              <w:t>n/a</w:t>
            </w:r>
          </w:p>
        </w:tc>
        <w:tc>
          <w:tcPr>
            <w:tcW w:w="560" w:type="pct"/>
            <w:tcBorders>
              <w:top w:val="nil"/>
              <w:left w:val="nil"/>
              <w:bottom w:val="single" w:sz="8" w:space="0" w:color="auto"/>
              <w:right w:val="single" w:sz="8" w:space="0" w:color="auto"/>
            </w:tcBorders>
            <w:tcMar>
              <w:top w:w="0" w:type="dxa"/>
              <w:left w:w="108" w:type="dxa"/>
              <w:bottom w:w="0" w:type="dxa"/>
              <w:right w:w="108" w:type="dxa"/>
            </w:tcMar>
          </w:tcPr>
          <w:p w14:paraId="16848917" w14:textId="377AA574" w:rsidR="008B3526" w:rsidRPr="00C476E8" w:rsidDel="009E13D4" w:rsidRDefault="008B3526" w:rsidP="008B3526">
            <w:pPr>
              <w:pStyle w:val="TableText-Left"/>
              <w:rPr>
                <w:szCs w:val="18"/>
              </w:rPr>
            </w:pPr>
            <w:r>
              <w:rPr>
                <w:szCs w:val="18"/>
              </w:rPr>
              <w:t>n/a</w:t>
            </w:r>
          </w:p>
        </w:tc>
        <w:tc>
          <w:tcPr>
            <w:tcW w:w="1444" w:type="pct"/>
            <w:tcBorders>
              <w:top w:val="nil"/>
              <w:left w:val="nil"/>
              <w:bottom w:val="single" w:sz="8" w:space="0" w:color="auto"/>
              <w:right w:val="single" w:sz="8" w:space="0" w:color="auto"/>
            </w:tcBorders>
          </w:tcPr>
          <w:p w14:paraId="758BEFD9" w14:textId="44C39A83" w:rsidR="008B3526" w:rsidRPr="00C476E8" w:rsidRDefault="008B3526" w:rsidP="008B3526">
            <w:pPr>
              <w:pStyle w:val="TableText-Left"/>
              <w:rPr>
                <w:szCs w:val="18"/>
              </w:rPr>
            </w:pPr>
            <w:r>
              <w:t>Information published by industry governance concerning the parameters and settings applicable across all participants in switching processes.  This information may be transmitted by manual means, such as email.</w:t>
            </w:r>
          </w:p>
        </w:tc>
      </w:tr>
      <w:tr w:rsidR="008B3526" w:rsidRPr="00C476E8" w14:paraId="339F10FE" w14:textId="77777777" w:rsidTr="00F47C06">
        <w:tc>
          <w:tcPr>
            <w:tcW w:w="106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67E5DD" w14:textId="77777777" w:rsidR="008B3526" w:rsidRPr="00C476E8" w:rsidRDefault="008B3526" w:rsidP="008B3526">
            <w:pPr>
              <w:pStyle w:val="TableText-Left"/>
              <w:rPr>
                <w:rFonts w:eastAsiaTheme="minorHAnsi"/>
                <w:szCs w:val="18"/>
              </w:rPr>
            </w:pPr>
            <w:r w:rsidRPr="00C476E8">
              <w:rPr>
                <w:szCs w:val="18"/>
              </w:rPr>
              <w:t>SwitchIntervention</w:t>
            </w:r>
          </w:p>
        </w:tc>
        <w:tc>
          <w:tcPr>
            <w:tcW w:w="610" w:type="pct"/>
            <w:tcBorders>
              <w:top w:val="nil"/>
              <w:left w:val="nil"/>
              <w:bottom w:val="single" w:sz="8" w:space="0" w:color="auto"/>
              <w:right w:val="single" w:sz="8" w:space="0" w:color="auto"/>
            </w:tcBorders>
            <w:hideMark/>
          </w:tcPr>
          <w:p w14:paraId="57EA1737" w14:textId="77777777" w:rsidR="008B3526" w:rsidRPr="00C476E8" w:rsidRDefault="008B3526" w:rsidP="008B3526">
            <w:pPr>
              <w:pStyle w:val="TableText-Left"/>
              <w:rPr>
                <w:szCs w:val="18"/>
              </w:rPr>
            </w:pPr>
            <w:r>
              <w:rPr>
                <w:szCs w:val="18"/>
              </w:rPr>
              <w:t>Supplier</w:t>
            </w:r>
          </w:p>
        </w:tc>
        <w:tc>
          <w:tcPr>
            <w:tcW w:w="661" w:type="pct"/>
            <w:tcBorders>
              <w:top w:val="nil"/>
              <w:left w:val="nil"/>
              <w:bottom w:val="single" w:sz="8" w:space="0" w:color="auto"/>
              <w:right w:val="single" w:sz="8" w:space="0" w:color="auto"/>
            </w:tcBorders>
            <w:hideMark/>
          </w:tcPr>
          <w:p w14:paraId="4A898135" w14:textId="77777777" w:rsidR="008B3526" w:rsidRPr="00C476E8" w:rsidRDefault="008B3526" w:rsidP="008B3526">
            <w:pPr>
              <w:pStyle w:val="TableText-Left"/>
              <w:rPr>
                <w:szCs w:val="18"/>
              </w:rPr>
            </w:pPr>
            <w:r>
              <w:rPr>
                <w:szCs w:val="18"/>
              </w:rPr>
              <w:t>CSS</w:t>
            </w:r>
          </w:p>
        </w:tc>
        <w:tc>
          <w:tcPr>
            <w:tcW w:w="661" w:type="pct"/>
            <w:tcBorders>
              <w:top w:val="nil"/>
              <w:left w:val="nil"/>
              <w:bottom w:val="single" w:sz="8" w:space="0" w:color="auto"/>
              <w:right w:val="single" w:sz="8" w:space="0" w:color="auto"/>
            </w:tcBorders>
            <w:tcMar>
              <w:top w:w="0" w:type="dxa"/>
              <w:left w:w="108" w:type="dxa"/>
              <w:bottom w:w="0" w:type="dxa"/>
              <w:right w:w="108" w:type="dxa"/>
            </w:tcMar>
            <w:hideMark/>
          </w:tcPr>
          <w:p w14:paraId="182E9B22" w14:textId="77777777" w:rsidR="008B3526" w:rsidRPr="00C476E8" w:rsidRDefault="008B3526" w:rsidP="008B3526">
            <w:pPr>
              <w:pStyle w:val="TableText-Left"/>
              <w:rPr>
                <w:szCs w:val="18"/>
              </w:rPr>
            </w:pPr>
            <w:r>
              <w:rPr>
                <w:szCs w:val="18"/>
              </w:rPr>
              <w:t>Update</w:t>
            </w:r>
          </w:p>
        </w:tc>
        <w:tc>
          <w:tcPr>
            <w:tcW w:w="560" w:type="pct"/>
            <w:tcBorders>
              <w:top w:val="nil"/>
              <w:left w:val="nil"/>
              <w:bottom w:val="single" w:sz="8" w:space="0" w:color="auto"/>
              <w:right w:val="single" w:sz="8" w:space="0" w:color="auto"/>
            </w:tcBorders>
            <w:tcMar>
              <w:top w:w="0" w:type="dxa"/>
              <w:left w:w="108" w:type="dxa"/>
              <w:bottom w:w="0" w:type="dxa"/>
              <w:right w:w="108" w:type="dxa"/>
            </w:tcMar>
            <w:hideMark/>
          </w:tcPr>
          <w:p w14:paraId="4F0228C3" w14:textId="77777777" w:rsidR="008B3526" w:rsidRPr="00C476E8" w:rsidRDefault="008B3526" w:rsidP="008B3526">
            <w:pPr>
              <w:pStyle w:val="TableText-Left"/>
              <w:rPr>
                <w:szCs w:val="18"/>
              </w:rPr>
            </w:pPr>
            <w:r>
              <w:rPr>
                <w:szCs w:val="18"/>
              </w:rPr>
              <w:t>Messaging</w:t>
            </w:r>
          </w:p>
        </w:tc>
        <w:tc>
          <w:tcPr>
            <w:tcW w:w="1444" w:type="pct"/>
            <w:tcBorders>
              <w:top w:val="nil"/>
              <w:left w:val="nil"/>
              <w:bottom w:val="single" w:sz="8" w:space="0" w:color="auto"/>
              <w:right w:val="single" w:sz="8" w:space="0" w:color="auto"/>
            </w:tcBorders>
            <w:hideMark/>
          </w:tcPr>
          <w:p w14:paraId="20E2B0A3" w14:textId="77777777" w:rsidR="008B3526" w:rsidRPr="00C476E8" w:rsidRDefault="008B3526" w:rsidP="008B3526">
            <w:pPr>
              <w:pStyle w:val="TableText-Left"/>
              <w:rPr>
                <w:szCs w:val="18"/>
              </w:rPr>
            </w:pPr>
            <w:r w:rsidRPr="00C476E8">
              <w:rPr>
                <w:szCs w:val="18"/>
              </w:rPr>
              <w:t xml:space="preserve">Required for Objection </w:t>
            </w:r>
            <w:r>
              <w:rPr>
                <w:szCs w:val="18"/>
              </w:rPr>
              <w:t>and</w:t>
            </w:r>
            <w:r w:rsidRPr="00C476E8">
              <w:rPr>
                <w:szCs w:val="18"/>
              </w:rPr>
              <w:t xml:space="preserve"> Annulments</w:t>
            </w:r>
          </w:p>
        </w:tc>
      </w:tr>
    </w:tbl>
    <w:p w14:paraId="30AEA53B" w14:textId="713BD509" w:rsidR="003C1268" w:rsidRDefault="003C1268" w:rsidP="00B302CB">
      <w:pPr>
        <w:pStyle w:val="Paragrapgh"/>
        <w:numPr>
          <w:ilvl w:val="0"/>
          <w:numId w:val="0"/>
        </w:numPr>
      </w:pPr>
    </w:p>
    <w:p w14:paraId="26618A6D" w14:textId="77777777" w:rsidR="004E27FC" w:rsidRDefault="004E27FC" w:rsidP="00EF570D">
      <w:pPr>
        <w:pStyle w:val="ChapterHeading"/>
        <w:sectPr w:rsidR="004E27FC" w:rsidSect="006B2214">
          <w:headerReference w:type="default" r:id="rId56"/>
          <w:pgSz w:w="16840" w:h="11900" w:orient="landscape" w:code="9"/>
          <w:pgMar w:top="1080" w:right="1440" w:bottom="1080" w:left="1440" w:header="340" w:footer="397" w:gutter="0"/>
          <w:cols w:space="708"/>
          <w:docGrid w:linePitch="299"/>
        </w:sectPr>
      </w:pPr>
      <w:bookmarkStart w:id="192" w:name="_Summary_of_System"/>
      <w:bookmarkEnd w:id="180"/>
      <w:bookmarkEnd w:id="192"/>
    </w:p>
    <w:p w14:paraId="312C56EC" w14:textId="01AC784B" w:rsidR="00645BEC" w:rsidRDefault="00194502" w:rsidP="00EF570D">
      <w:pPr>
        <w:pStyle w:val="ChapterHeading"/>
      </w:pPr>
      <w:bookmarkStart w:id="193" w:name="_Toc505257253"/>
      <w:bookmarkStart w:id="194" w:name="_Toc505689981"/>
      <w:bookmarkStart w:id="195" w:name="_Toc9934767"/>
      <w:r>
        <w:t xml:space="preserve">CSS </w:t>
      </w:r>
      <w:r w:rsidR="001C6989">
        <w:t xml:space="preserve">and Address Service </w:t>
      </w:r>
      <w:r>
        <w:t>Architecture</w:t>
      </w:r>
      <w:bookmarkEnd w:id="193"/>
      <w:bookmarkEnd w:id="194"/>
      <w:bookmarkEnd w:id="195"/>
    </w:p>
    <w:p w14:paraId="223FA0AF" w14:textId="6705E3C0" w:rsidR="001C6989" w:rsidRDefault="001C6989" w:rsidP="001C6989">
      <w:pPr>
        <w:pStyle w:val="Paragrapgh"/>
      </w:pPr>
      <w:bookmarkStart w:id="196" w:name="_Interface_Catalog"/>
      <w:bookmarkStart w:id="197" w:name="_Toc122252097"/>
      <w:bookmarkStart w:id="198" w:name="_Toc122265830"/>
      <w:bookmarkStart w:id="199" w:name="_Toc122509020"/>
      <w:bookmarkStart w:id="200" w:name="_Toc122842873"/>
      <w:bookmarkStart w:id="201" w:name="_Toc284412151"/>
      <w:bookmarkEnd w:id="196"/>
      <w:r>
        <w:t>This section provides high-level information on the CSS and Address Service architecture.  Further information is provided in the CSS User Requirement Specification.</w:t>
      </w:r>
    </w:p>
    <w:p w14:paraId="7E042313" w14:textId="56158487" w:rsidR="001C6989" w:rsidRDefault="001C6989" w:rsidP="001C6989">
      <w:pPr>
        <w:pStyle w:val="Paragrapgh"/>
      </w:pPr>
      <w:r>
        <w:t>It is intended that CSS and the Address Service will be procured at the same time.  The two may or may not be provided by the same service provider.  It is envisaged that the Address Service will be Commercial Off-The Shelf software and that the detailed functionality it provides will be largely determined by the software package selected, acknowledging that the selected service provider must meet the specified requirements.  For this reason, the interface between CSS and the Address Service is specified at a logical level in terms of the data exchanged and cannot at this point be provided in more detail</w:t>
      </w:r>
      <w:r w:rsidR="00875FB8">
        <w:t>; this will be more fully specified at a later point in the Programme</w:t>
      </w:r>
      <w:r>
        <w:t xml:space="preserve">.  The interface is not included in </w:t>
      </w:r>
      <w:r>
        <w:fldChar w:fldCharType="begin"/>
      </w:r>
      <w:r>
        <w:instrText xml:space="preserve"> REF _Ref505853234 \h </w:instrText>
      </w:r>
      <w:r>
        <w:fldChar w:fldCharType="separate"/>
      </w:r>
      <w:r w:rsidR="005D4843">
        <w:t xml:space="preserve">Figure </w:t>
      </w:r>
      <w:r w:rsidR="005D4843">
        <w:rPr>
          <w:noProof/>
        </w:rPr>
        <w:t>19</w:t>
      </w:r>
      <w:r w:rsidR="005D4843">
        <w:t xml:space="preserve"> - CSS Inbound Interfaces</w:t>
      </w:r>
      <w:r>
        <w:fldChar w:fldCharType="end"/>
      </w:r>
      <w:r>
        <w:t xml:space="preserve"> nor </w:t>
      </w:r>
      <w:r>
        <w:fldChar w:fldCharType="begin"/>
      </w:r>
      <w:r>
        <w:instrText xml:space="preserve"> REF _Ref505853237 \h </w:instrText>
      </w:r>
      <w:r>
        <w:fldChar w:fldCharType="separate"/>
      </w:r>
      <w:r w:rsidR="005D4843">
        <w:t xml:space="preserve">Figure </w:t>
      </w:r>
      <w:r w:rsidR="005D4843">
        <w:rPr>
          <w:noProof/>
        </w:rPr>
        <w:t>20</w:t>
      </w:r>
      <w:r w:rsidR="005D4843">
        <w:t xml:space="preserve"> - CSS Outbound Interfaces</w:t>
      </w:r>
      <w:r>
        <w:fldChar w:fldCharType="end"/>
      </w:r>
      <w:r>
        <w:t xml:space="preserve"> bu</w:t>
      </w:r>
      <w:r w:rsidR="00D17C83">
        <w:t>t is described separate in a su</w:t>
      </w:r>
      <w:r>
        <w:t>bsequent section.</w:t>
      </w:r>
    </w:p>
    <w:p w14:paraId="7FC2975E" w14:textId="77777777" w:rsidR="001C6989" w:rsidRDefault="001C6989" w:rsidP="001C6989">
      <w:pPr>
        <w:pStyle w:val="Heading3"/>
        <w:keepNext/>
        <w:tabs>
          <w:tab w:val="clear" w:pos="2581"/>
        </w:tabs>
        <w:spacing w:before="360" w:after="120"/>
      </w:pPr>
      <w:bookmarkStart w:id="202" w:name="_Toc9934768"/>
      <w:r>
        <w:t>CSS Inbound Interfaces</w:t>
      </w:r>
      <w:bookmarkEnd w:id="202"/>
    </w:p>
    <w:p w14:paraId="673600EF" w14:textId="09BD8DAC" w:rsidR="001C6989" w:rsidRPr="004136A5" w:rsidRDefault="001C6989" w:rsidP="001C6989">
      <w:pPr>
        <w:pStyle w:val="Paragrapgh"/>
      </w:pPr>
      <w:r>
        <w:t xml:space="preserve">In </w:t>
      </w:r>
      <w:r>
        <w:fldChar w:fldCharType="begin"/>
      </w:r>
      <w:r>
        <w:instrText xml:space="preserve"> REF _Ref505853234 \h </w:instrText>
      </w:r>
      <w:r>
        <w:fldChar w:fldCharType="separate"/>
      </w:r>
      <w:r w:rsidR="005D4843">
        <w:t xml:space="preserve">Figure </w:t>
      </w:r>
      <w:r w:rsidR="005D4843">
        <w:rPr>
          <w:noProof/>
        </w:rPr>
        <w:t>19</w:t>
      </w:r>
      <w:r w:rsidR="005D4843">
        <w:t xml:space="preserve"> - CSS Inbound Interfaces</w:t>
      </w:r>
      <w:r>
        <w:fldChar w:fldCharType="end"/>
      </w:r>
      <w:r>
        <w:t>, below, the external systems are shown as a single component with connectivity to CSS over a network connection. Text on the connectors indicates the data services associated with that interface.</w:t>
      </w:r>
    </w:p>
    <w:p w14:paraId="1DCEC08B" w14:textId="2FED01D3" w:rsidR="001C6989" w:rsidRDefault="001B6C12" w:rsidP="006168A4">
      <w:pPr>
        <w:pStyle w:val="BodyTextBold"/>
      </w:pPr>
      <w:r w:rsidRPr="001B6C12">
        <w:rPr>
          <w:noProof/>
          <w:lang w:eastAsia="en-GB"/>
        </w:rPr>
        <w:drawing>
          <wp:inline distT="0" distB="0" distL="0" distR="0" wp14:anchorId="47E992DA" wp14:editId="70B847C8">
            <wp:extent cx="6184900" cy="3450063"/>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84900" cy="3450063"/>
                    </a:xfrm>
                    <a:prstGeom prst="rect">
                      <a:avLst/>
                    </a:prstGeom>
                    <a:noFill/>
                    <a:ln>
                      <a:noFill/>
                    </a:ln>
                  </pic:spPr>
                </pic:pic>
              </a:graphicData>
            </a:graphic>
          </wp:inline>
        </w:drawing>
      </w:r>
    </w:p>
    <w:p w14:paraId="1FBD67AB" w14:textId="2E3206E9" w:rsidR="001C6989" w:rsidRDefault="001C6989" w:rsidP="001C6989">
      <w:pPr>
        <w:pStyle w:val="Caption"/>
      </w:pPr>
      <w:bookmarkStart w:id="203" w:name="_Ref505853234"/>
      <w:r>
        <w:t xml:space="preserve">Figure </w:t>
      </w:r>
      <w:r w:rsidR="00112F53">
        <w:rPr>
          <w:noProof/>
        </w:rPr>
        <w:fldChar w:fldCharType="begin"/>
      </w:r>
      <w:r w:rsidR="00112F53">
        <w:rPr>
          <w:noProof/>
        </w:rPr>
        <w:instrText xml:space="preserve"> SEQ Figure \* ARABIC </w:instrText>
      </w:r>
      <w:r w:rsidR="00112F53">
        <w:rPr>
          <w:noProof/>
        </w:rPr>
        <w:fldChar w:fldCharType="separate"/>
      </w:r>
      <w:r w:rsidR="005D4843">
        <w:rPr>
          <w:noProof/>
        </w:rPr>
        <w:t>19</w:t>
      </w:r>
      <w:r w:rsidR="00112F53">
        <w:rPr>
          <w:noProof/>
        </w:rPr>
        <w:fldChar w:fldCharType="end"/>
      </w:r>
      <w:r>
        <w:t xml:space="preserve"> - CSS Inbound Interfaces</w:t>
      </w:r>
      <w:bookmarkEnd w:id="203"/>
    </w:p>
    <w:p w14:paraId="403ED66D" w14:textId="77777777" w:rsidR="001C6989" w:rsidRDefault="001C6989" w:rsidP="001C6989">
      <w:pPr>
        <w:pStyle w:val="BodyTextNormal"/>
      </w:pPr>
    </w:p>
    <w:tbl>
      <w:tblPr>
        <w:tblStyle w:val="TableGrid"/>
        <w:tblW w:w="5000" w:type="pct"/>
        <w:tblLook w:val="04A0" w:firstRow="1" w:lastRow="0" w:firstColumn="1" w:lastColumn="0" w:noHBand="0" w:noVBand="1"/>
      </w:tblPr>
      <w:tblGrid>
        <w:gridCol w:w="2835"/>
        <w:gridCol w:w="4404"/>
        <w:gridCol w:w="1492"/>
        <w:gridCol w:w="999"/>
      </w:tblGrid>
      <w:tr w:rsidR="001C6989" w14:paraId="3F6FE0F9" w14:textId="77777777" w:rsidTr="00F47C06">
        <w:trPr>
          <w:tblHeader/>
        </w:trPr>
        <w:tc>
          <w:tcPr>
            <w:tcW w:w="1424"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5B4DC21" w14:textId="77777777" w:rsidR="001C6989" w:rsidRDefault="001C6989" w:rsidP="00F47C06">
            <w:pPr>
              <w:pStyle w:val="TableHeadings"/>
            </w:pPr>
            <w:r>
              <w:t>Interface Name</w:t>
            </w:r>
          </w:p>
        </w:tc>
        <w:tc>
          <w:tcPr>
            <w:tcW w:w="2285"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66DB13C" w14:textId="77777777" w:rsidR="001C6989" w:rsidRDefault="001C6989" w:rsidP="00F47C06">
            <w:pPr>
              <w:pStyle w:val="TableHeadings"/>
            </w:pPr>
            <w:r>
              <w:t>Purpose</w:t>
            </w:r>
          </w:p>
        </w:tc>
        <w:tc>
          <w:tcPr>
            <w:tcW w:w="789"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79351D11" w14:textId="77777777" w:rsidR="001C6989" w:rsidRDefault="001C6989" w:rsidP="00F47C06">
            <w:pPr>
              <w:pStyle w:val="TableHeadings"/>
            </w:pPr>
            <w:r>
              <w:t>Interface User</w:t>
            </w:r>
          </w:p>
        </w:tc>
        <w:tc>
          <w:tcPr>
            <w:tcW w:w="502"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5A8FFF4" w14:textId="77777777" w:rsidR="001C6989" w:rsidRDefault="001C6989" w:rsidP="00F47C06">
            <w:pPr>
              <w:pStyle w:val="TableHeadings"/>
              <w:rPr>
                <w:sz w:val="20"/>
              </w:rPr>
            </w:pPr>
            <w:r>
              <w:rPr>
                <w:sz w:val="20"/>
              </w:rPr>
              <w:t>Pattern</w:t>
            </w:r>
          </w:p>
        </w:tc>
      </w:tr>
      <w:tr w:rsidR="001C6989" w14:paraId="49574531" w14:textId="77777777" w:rsidTr="00F47C06">
        <w:tc>
          <w:tcPr>
            <w:tcW w:w="1424" w:type="pct"/>
            <w:tcBorders>
              <w:top w:val="single" w:sz="4" w:space="0" w:color="auto"/>
              <w:left w:val="single" w:sz="4" w:space="0" w:color="auto"/>
              <w:bottom w:val="single" w:sz="4" w:space="0" w:color="auto"/>
              <w:right w:val="single" w:sz="4" w:space="0" w:color="auto"/>
            </w:tcBorders>
            <w:hideMark/>
          </w:tcPr>
          <w:p w14:paraId="4216862D" w14:textId="77777777" w:rsidR="001C6989" w:rsidRDefault="001C6989" w:rsidP="00F47C06">
            <w:pPr>
              <w:rPr>
                <w:sz w:val="18"/>
              </w:rPr>
            </w:pPr>
            <w:r>
              <w:rPr>
                <w:sz w:val="18"/>
              </w:rPr>
              <w:t>CommsHubDataLink</w:t>
            </w:r>
          </w:p>
        </w:tc>
        <w:tc>
          <w:tcPr>
            <w:tcW w:w="2285" w:type="pct"/>
            <w:tcBorders>
              <w:top w:val="single" w:sz="4" w:space="0" w:color="auto"/>
              <w:left w:val="single" w:sz="4" w:space="0" w:color="auto"/>
              <w:bottom w:val="single" w:sz="4" w:space="0" w:color="auto"/>
              <w:right w:val="single" w:sz="4" w:space="0" w:color="auto"/>
            </w:tcBorders>
            <w:hideMark/>
          </w:tcPr>
          <w:p w14:paraId="75263E64" w14:textId="77777777" w:rsidR="001C6989" w:rsidRDefault="001C6989" w:rsidP="00F47C06">
            <w:pPr>
              <w:rPr>
                <w:sz w:val="18"/>
              </w:rPr>
            </w:pPr>
            <w:r>
              <w:rPr>
                <w:sz w:val="18"/>
              </w:rPr>
              <w:t>Information that relates the electricity and gas meters connected to the same communications hub</w:t>
            </w:r>
          </w:p>
        </w:tc>
        <w:tc>
          <w:tcPr>
            <w:tcW w:w="789" w:type="pct"/>
            <w:tcBorders>
              <w:top w:val="single" w:sz="4" w:space="0" w:color="auto"/>
              <w:left w:val="single" w:sz="4" w:space="0" w:color="auto"/>
              <w:bottom w:val="single" w:sz="4" w:space="0" w:color="auto"/>
              <w:right w:val="single" w:sz="4" w:space="0" w:color="auto"/>
            </w:tcBorders>
            <w:hideMark/>
          </w:tcPr>
          <w:p w14:paraId="57347E8F" w14:textId="77777777" w:rsidR="001C6989" w:rsidRDefault="001C6989" w:rsidP="00F47C06">
            <w:pPr>
              <w:rPr>
                <w:sz w:val="18"/>
              </w:rPr>
            </w:pPr>
            <w:r>
              <w:rPr>
                <w:sz w:val="18"/>
              </w:rPr>
              <w:t>Smart Metering Data Service</w:t>
            </w:r>
          </w:p>
        </w:tc>
        <w:tc>
          <w:tcPr>
            <w:tcW w:w="502" w:type="pct"/>
            <w:tcBorders>
              <w:top w:val="single" w:sz="4" w:space="0" w:color="auto"/>
              <w:left w:val="single" w:sz="4" w:space="0" w:color="auto"/>
              <w:bottom w:val="single" w:sz="4" w:space="0" w:color="auto"/>
              <w:right w:val="single" w:sz="4" w:space="0" w:color="auto"/>
            </w:tcBorders>
            <w:hideMark/>
          </w:tcPr>
          <w:p w14:paraId="13E81416" w14:textId="77777777" w:rsidR="001C6989" w:rsidRDefault="001C6989" w:rsidP="00F47C06">
            <w:pPr>
              <w:pStyle w:val="TableText-Left"/>
            </w:pPr>
            <w:r>
              <w:t>U</w:t>
            </w:r>
          </w:p>
        </w:tc>
      </w:tr>
      <w:tr w:rsidR="001C6989" w14:paraId="2D746DE5" w14:textId="77777777" w:rsidTr="00F47C06">
        <w:tc>
          <w:tcPr>
            <w:tcW w:w="1424" w:type="pct"/>
            <w:tcBorders>
              <w:top w:val="single" w:sz="4" w:space="0" w:color="auto"/>
              <w:left w:val="single" w:sz="4" w:space="0" w:color="auto"/>
              <w:bottom w:val="single" w:sz="4" w:space="0" w:color="auto"/>
              <w:right w:val="single" w:sz="4" w:space="0" w:color="auto"/>
            </w:tcBorders>
            <w:hideMark/>
          </w:tcPr>
          <w:p w14:paraId="3406414B" w14:textId="77777777" w:rsidR="001C6989" w:rsidRDefault="001C6989" w:rsidP="00F47C06">
            <w:pPr>
              <w:rPr>
                <w:sz w:val="18"/>
              </w:rPr>
            </w:pPr>
            <w:r>
              <w:rPr>
                <w:sz w:val="18"/>
              </w:rPr>
              <w:t>DADCAppointment</w:t>
            </w:r>
          </w:p>
        </w:tc>
        <w:tc>
          <w:tcPr>
            <w:tcW w:w="2285" w:type="pct"/>
            <w:tcBorders>
              <w:top w:val="single" w:sz="4" w:space="0" w:color="auto"/>
              <w:left w:val="single" w:sz="4" w:space="0" w:color="auto"/>
              <w:bottom w:val="single" w:sz="4" w:space="0" w:color="auto"/>
              <w:right w:val="single" w:sz="4" w:space="0" w:color="auto"/>
            </w:tcBorders>
            <w:hideMark/>
          </w:tcPr>
          <w:p w14:paraId="6F03A193" w14:textId="77777777" w:rsidR="001C6989" w:rsidRDefault="001C6989" w:rsidP="00F47C06">
            <w:pPr>
              <w:rPr>
                <w:sz w:val="18"/>
              </w:rPr>
            </w:pPr>
            <w:r>
              <w:rPr>
                <w:sz w:val="18"/>
              </w:rPr>
              <w:t>Synchronisation of Data Aggregator and Data Collector Appointments between the mastering and secondary (referencing) data services</w:t>
            </w:r>
          </w:p>
        </w:tc>
        <w:tc>
          <w:tcPr>
            <w:tcW w:w="789" w:type="pct"/>
            <w:tcBorders>
              <w:top w:val="single" w:sz="4" w:space="0" w:color="auto"/>
              <w:left w:val="single" w:sz="4" w:space="0" w:color="auto"/>
              <w:bottom w:val="single" w:sz="4" w:space="0" w:color="auto"/>
              <w:right w:val="single" w:sz="4" w:space="0" w:color="auto"/>
            </w:tcBorders>
            <w:hideMark/>
          </w:tcPr>
          <w:p w14:paraId="795A819B" w14:textId="5D973738" w:rsidR="001C6989" w:rsidRDefault="00DB63D0" w:rsidP="00F47C06">
            <w:pPr>
              <w:rPr>
                <w:sz w:val="18"/>
              </w:rPr>
            </w:pPr>
            <w:r>
              <w:rPr>
                <w:sz w:val="18"/>
              </w:rPr>
              <w:t>MPAS</w:t>
            </w:r>
          </w:p>
        </w:tc>
        <w:tc>
          <w:tcPr>
            <w:tcW w:w="502" w:type="pct"/>
            <w:tcBorders>
              <w:top w:val="single" w:sz="4" w:space="0" w:color="auto"/>
              <w:left w:val="single" w:sz="4" w:space="0" w:color="auto"/>
              <w:bottom w:val="single" w:sz="4" w:space="0" w:color="auto"/>
              <w:right w:val="single" w:sz="4" w:space="0" w:color="auto"/>
            </w:tcBorders>
            <w:hideMark/>
          </w:tcPr>
          <w:p w14:paraId="202B053B" w14:textId="77777777" w:rsidR="001C6989" w:rsidRDefault="001C6989" w:rsidP="00F47C06">
            <w:pPr>
              <w:pStyle w:val="TableText-Left"/>
            </w:pPr>
            <w:r>
              <w:t>S</w:t>
            </w:r>
          </w:p>
        </w:tc>
      </w:tr>
      <w:tr w:rsidR="001C6989" w14:paraId="765E7711" w14:textId="77777777" w:rsidTr="00F47C06">
        <w:tc>
          <w:tcPr>
            <w:tcW w:w="1424" w:type="pct"/>
            <w:tcBorders>
              <w:top w:val="single" w:sz="4" w:space="0" w:color="auto"/>
              <w:left w:val="single" w:sz="4" w:space="0" w:color="auto"/>
              <w:bottom w:val="single" w:sz="4" w:space="0" w:color="auto"/>
              <w:right w:val="single" w:sz="4" w:space="0" w:color="auto"/>
            </w:tcBorders>
            <w:hideMark/>
          </w:tcPr>
          <w:p w14:paraId="66A8AC47" w14:textId="77777777" w:rsidR="001C6989" w:rsidRDefault="001C6989" w:rsidP="00F47C06">
            <w:pPr>
              <w:rPr>
                <w:sz w:val="18"/>
              </w:rPr>
            </w:pPr>
            <w:r>
              <w:rPr>
                <w:sz w:val="18"/>
              </w:rPr>
              <w:t>MEMAppointment</w:t>
            </w:r>
          </w:p>
        </w:tc>
        <w:tc>
          <w:tcPr>
            <w:tcW w:w="2285" w:type="pct"/>
            <w:tcBorders>
              <w:top w:val="single" w:sz="4" w:space="0" w:color="auto"/>
              <w:left w:val="single" w:sz="4" w:space="0" w:color="auto"/>
              <w:bottom w:val="single" w:sz="4" w:space="0" w:color="auto"/>
              <w:right w:val="single" w:sz="4" w:space="0" w:color="auto"/>
            </w:tcBorders>
            <w:hideMark/>
          </w:tcPr>
          <w:p w14:paraId="6FE60192" w14:textId="1DF74A6F" w:rsidR="001C6989" w:rsidRDefault="001C6989" w:rsidP="001F708C">
            <w:pPr>
              <w:rPr>
                <w:sz w:val="18"/>
              </w:rPr>
            </w:pPr>
            <w:r w:rsidRPr="009C2335">
              <w:rPr>
                <w:sz w:val="18"/>
                <w:szCs w:val="18"/>
              </w:rPr>
              <w:t>Specifies the MEM agents appointed by the energy supplier for a s</w:t>
            </w:r>
            <w:r w:rsidR="001F708C">
              <w:rPr>
                <w:sz w:val="18"/>
                <w:szCs w:val="18"/>
              </w:rPr>
              <w:t xml:space="preserve">pecified MPAN or MPRNs. </w:t>
            </w:r>
            <w:r w:rsidRPr="009C2335">
              <w:rPr>
                <w:sz w:val="18"/>
                <w:szCs w:val="18"/>
              </w:rPr>
              <w:t>Synchronisation of Supplier arranged Agent appointments between the</w:t>
            </w:r>
            <w:r w:rsidRPr="00F24221">
              <w:t xml:space="preserve"> </w:t>
            </w:r>
            <w:r w:rsidRPr="009C2335">
              <w:rPr>
                <w:sz w:val="18"/>
                <w:szCs w:val="18"/>
              </w:rPr>
              <w:t>mastering and secondary (referencing) data services</w:t>
            </w:r>
          </w:p>
        </w:tc>
        <w:tc>
          <w:tcPr>
            <w:tcW w:w="789" w:type="pct"/>
            <w:tcBorders>
              <w:top w:val="single" w:sz="4" w:space="0" w:color="auto"/>
              <w:left w:val="single" w:sz="4" w:space="0" w:color="auto"/>
              <w:bottom w:val="single" w:sz="4" w:space="0" w:color="auto"/>
              <w:right w:val="single" w:sz="4" w:space="0" w:color="auto"/>
            </w:tcBorders>
            <w:hideMark/>
          </w:tcPr>
          <w:p w14:paraId="65D73FD0" w14:textId="43DE3485" w:rsidR="001C6989" w:rsidRDefault="00DB63D0" w:rsidP="00F47C06">
            <w:pPr>
              <w:spacing w:after="60"/>
              <w:rPr>
                <w:sz w:val="18"/>
              </w:rPr>
            </w:pPr>
            <w:r>
              <w:rPr>
                <w:sz w:val="18"/>
              </w:rPr>
              <w:t>MPAS</w:t>
            </w:r>
          </w:p>
          <w:p w14:paraId="0DB7FF7C" w14:textId="69B6FAC2" w:rsidR="001C6989" w:rsidRDefault="00A1661D" w:rsidP="00F47C06">
            <w:pPr>
              <w:rPr>
                <w:sz w:val="18"/>
              </w:rPr>
            </w:pPr>
            <w:r>
              <w:rPr>
                <w:sz w:val="18"/>
              </w:rPr>
              <w:t>UK Link</w:t>
            </w:r>
          </w:p>
        </w:tc>
        <w:tc>
          <w:tcPr>
            <w:tcW w:w="502" w:type="pct"/>
            <w:tcBorders>
              <w:top w:val="single" w:sz="4" w:space="0" w:color="auto"/>
              <w:left w:val="single" w:sz="4" w:space="0" w:color="auto"/>
              <w:bottom w:val="single" w:sz="4" w:space="0" w:color="auto"/>
              <w:right w:val="single" w:sz="4" w:space="0" w:color="auto"/>
            </w:tcBorders>
            <w:hideMark/>
          </w:tcPr>
          <w:p w14:paraId="66D0E141" w14:textId="77777777" w:rsidR="001C6989" w:rsidRDefault="001C6989" w:rsidP="00F47C06">
            <w:pPr>
              <w:pStyle w:val="TableText-Left"/>
            </w:pPr>
            <w:r>
              <w:t>S</w:t>
            </w:r>
          </w:p>
        </w:tc>
      </w:tr>
      <w:tr w:rsidR="001C6989" w14:paraId="3C1A132C" w14:textId="77777777" w:rsidTr="00F47C06">
        <w:tc>
          <w:tcPr>
            <w:tcW w:w="1424" w:type="pct"/>
            <w:tcBorders>
              <w:top w:val="single" w:sz="4" w:space="0" w:color="auto"/>
              <w:left w:val="single" w:sz="4" w:space="0" w:color="auto"/>
              <w:bottom w:val="single" w:sz="4" w:space="0" w:color="auto"/>
              <w:right w:val="single" w:sz="4" w:space="0" w:color="auto"/>
            </w:tcBorders>
            <w:hideMark/>
          </w:tcPr>
          <w:p w14:paraId="210ABC11" w14:textId="77777777" w:rsidR="001C6989" w:rsidRDefault="001C6989" w:rsidP="00F47C06">
            <w:pPr>
              <w:rPr>
                <w:sz w:val="18"/>
              </w:rPr>
            </w:pPr>
            <w:r>
              <w:rPr>
                <w:sz w:val="18"/>
              </w:rPr>
              <w:t>MeteringPointSync</w:t>
            </w:r>
          </w:p>
        </w:tc>
        <w:tc>
          <w:tcPr>
            <w:tcW w:w="2285" w:type="pct"/>
            <w:tcBorders>
              <w:top w:val="single" w:sz="4" w:space="0" w:color="auto"/>
              <w:left w:val="single" w:sz="4" w:space="0" w:color="auto"/>
              <w:bottom w:val="single" w:sz="4" w:space="0" w:color="auto"/>
              <w:right w:val="single" w:sz="4" w:space="0" w:color="auto"/>
            </w:tcBorders>
            <w:hideMark/>
          </w:tcPr>
          <w:p w14:paraId="33DD9970" w14:textId="07004BEF" w:rsidR="001C6989" w:rsidRPr="009C2335" w:rsidRDefault="001C6989" w:rsidP="00F47C06">
            <w:pPr>
              <w:rPr>
                <w:sz w:val="18"/>
                <w:szCs w:val="18"/>
              </w:rPr>
            </w:pPr>
            <w:r w:rsidRPr="009C2335">
              <w:rPr>
                <w:sz w:val="18"/>
                <w:szCs w:val="18"/>
              </w:rPr>
              <w:t>Synchronisation of electricity Metering Points and associated attributes</w:t>
            </w:r>
            <w:r w:rsidR="001F708C">
              <w:rPr>
                <w:sz w:val="18"/>
                <w:szCs w:val="18"/>
              </w:rPr>
              <w:t xml:space="preserve"> including MAP ID</w:t>
            </w:r>
          </w:p>
        </w:tc>
        <w:tc>
          <w:tcPr>
            <w:tcW w:w="789" w:type="pct"/>
            <w:tcBorders>
              <w:top w:val="single" w:sz="4" w:space="0" w:color="auto"/>
              <w:left w:val="single" w:sz="4" w:space="0" w:color="auto"/>
              <w:bottom w:val="single" w:sz="4" w:space="0" w:color="auto"/>
              <w:right w:val="single" w:sz="4" w:space="0" w:color="auto"/>
            </w:tcBorders>
            <w:hideMark/>
          </w:tcPr>
          <w:p w14:paraId="57543F8B" w14:textId="73DCDF57" w:rsidR="001C6989" w:rsidRDefault="00DB63D0" w:rsidP="00F47C06">
            <w:pPr>
              <w:rPr>
                <w:sz w:val="18"/>
              </w:rPr>
            </w:pPr>
            <w:r>
              <w:rPr>
                <w:sz w:val="18"/>
              </w:rPr>
              <w:t>MPAS</w:t>
            </w:r>
          </w:p>
        </w:tc>
        <w:tc>
          <w:tcPr>
            <w:tcW w:w="502" w:type="pct"/>
            <w:tcBorders>
              <w:top w:val="single" w:sz="4" w:space="0" w:color="auto"/>
              <w:left w:val="single" w:sz="4" w:space="0" w:color="auto"/>
              <w:bottom w:val="single" w:sz="4" w:space="0" w:color="auto"/>
              <w:right w:val="single" w:sz="4" w:space="0" w:color="auto"/>
            </w:tcBorders>
            <w:hideMark/>
          </w:tcPr>
          <w:p w14:paraId="561699E0" w14:textId="77777777" w:rsidR="001C6989" w:rsidRDefault="001C6989" w:rsidP="00F47C06">
            <w:pPr>
              <w:pStyle w:val="TableText-Left"/>
            </w:pPr>
            <w:r>
              <w:t>S</w:t>
            </w:r>
          </w:p>
        </w:tc>
      </w:tr>
      <w:tr w:rsidR="001C6989" w14:paraId="430B8B1F" w14:textId="77777777" w:rsidTr="00F47C06">
        <w:tc>
          <w:tcPr>
            <w:tcW w:w="1424" w:type="pct"/>
            <w:tcBorders>
              <w:top w:val="single" w:sz="4" w:space="0" w:color="auto"/>
              <w:left w:val="single" w:sz="4" w:space="0" w:color="auto"/>
              <w:bottom w:val="single" w:sz="4" w:space="0" w:color="auto"/>
              <w:right w:val="single" w:sz="4" w:space="0" w:color="auto"/>
            </w:tcBorders>
            <w:hideMark/>
          </w:tcPr>
          <w:p w14:paraId="4F5E4EEF" w14:textId="77777777" w:rsidR="001C6989" w:rsidRDefault="001C6989" w:rsidP="00F47C06">
            <w:pPr>
              <w:rPr>
                <w:sz w:val="18"/>
              </w:rPr>
            </w:pPr>
            <w:r>
              <w:rPr>
                <w:sz w:val="18"/>
              </w:rPr>
              <w:t>RegMgmtRequestSubmission</w:t>
            </w:r>
          </w:p>
        </w:tc>
        <w:tc>
          <w:tcPr>
            <w:tcW w:w="2285" w:type="pct"/>
            <w:tcBorders>
              <w:top w:val="single" w:sz="4" w:space="0" w:color="auto"/>
              <w:left w:val="single" w:sz="4" w:space="0" w:color="auto"/>
              <w:bottom w:val="single" w:sz="4" w:space="0" w:color="auto"/>
              <w:right w:val="single" w:sz="4" w:space="0" w:color="auto"/>
            </w:tcBorders>
            <w:hideMark/>
          </w:tcPr>
          <w:p w14:paraId="7006F965" w14:textId="77777777" w:rsidR="001C6989" w:rsidRDefault="001C6989" w:rsidP="00F47C06">
            <w:pPr>
              <w:rPr>
                <w:sz w:val="18"/>
              </w:rPr>
            </w:pPr>
            <w:r>
              <w:rPr>
                <w:sz w:val="18"/>
              </w:rPr>
              <w:t>Registration Requests submitted by a gaining supplier, withdrawals, Registration events and deactivation requests</w:t>
            </w:r>
          </w:p>
        </w:tc>
        <w:tc>
          <w:tcPr>
            <w:tcW w:w="789" w:type="pct"/>
            <w:tcBorders>
              <w:top w:val="single" w:sz="4" w:space="0" w:color="auto"/>
              <w:left w:val="single" w:sz="4" w:space="0" w:color="auto"/>
              <w:bottom w:val="single" w:sz="4" w:space="0" w:color="auto"/>
              <w:right w:val="single" w:sz="4" w:space="0" w:color="auto"/>
            </w:tcBorders>
            <w:hideMark/>
          </w:tcPr>
          <w:p w14:paraId="569A77F9" w14:textId="77777777" w:rsidR="001C6989" w:rsidRDefault="001C6989" w:rsidP="00F47C06">
            <w:pPr>
              <w:rPr>
                <w:sz w:val="18"/>
              </w:rPr>
            </w:pPr>
            <w:r>
              <w:rPr>
                <w:sz w:val="18"/>
              </w:rPr>
              <w:t>Supplier</w:t>
            </w:r>
          </w:p>
        </w:tc>
        <w:tc>
          <w:tcPr>
            <w:tcW w:w="502" w:type="pct"/>
            <w:tcBorders>
              <w:top w:val="single" w:sz="4" w:space="0" w:color="auto"/>
              <w:left w:val="single" w:sz="4" w:space="0" w:color="auto"/>
              <w:bottom w:val="single" w:sz="4" w:space="0" w:color="auto"/>
              <w:right w:val="single" w:sz="4" w:space="0" w:color="auto"/>
            </w:tcBorders>
            <w:hideMark/>
          </w:tcPr>
          <w:p w14:paraId="7EF97507" w14:textId="77777777" w:rsidR="001C6989" w:rsidRDefault="001C6989" w:rsidP="00F47C06">
            <w:pPr>
              <w:pStyle w:val="TableText-Left"/>
            </w:pPr>
            <w:r>
              <w:t>U</w:t>
            </w:r>
          </w:p>
        </w:tc>
      </w:tr>
      <w:tr w:rsidR="001C6989" w14:paraId="5BFD4D1A" w14:textId="77777777" w:rsidTr="00F47C06">
        <w:tc>
          <w:tcPr>
            <w:tcW w:w="1424" w:type="pct"/>
            <w:tcBorders>
              <w:top w:val="single" w:sz="4" w:space="0" w:color="auto"/>
              <w:left w:val="single" w:sz="4" w:space="0" w:color="auto"/>
              <w:bottom w:val="single" w:sz="4" w:space="0" w:color="auto"/>
              <w:right w:val="single" w:sz="4" w:space="0" w:color="auto"/>
            </w:tcBorders>
            <w:hideMark/>
          </w:tcPr>
          <w:p w14:paraId="2CE50E96" w14:textId="77777777" w:rsidR="001C6989" w:rsidRDefault="001C6989" w:rsidP="00F47C06">
            <w:pPr>
              <w:rPr>
                <w:sz w:val="18"/>
              </w:rPr>
            </w:pPr>
            <w:r>
              <w:rPr>
                <w:sz w:val="18"/>
              </w:rPr>
              <w:t>SwitchIntervention</w:t>
            </w:r>
          </w:p>
        </w:tc>
        <w:tc>
          <w:tcPr>
            <w:tcW w:w="2285" w:type="pct"/>
            <w:tcBorders>
              <w:top w:val="single" w:sz="4" w:space="0" w:color="auto"/>
              <w:left w:val="single" w:sz="4" w:space="0" w:color="auto"/>
              <w:bottom w:val="single" w:sz="4" w:space="0" w:color="auto"/>
              <w:right w:val="single" w:sz="4" w:space="0" w:color="auto"/>
            </w:tcBorders>
            <w:hideMark/>
          </w:tcPr>
          <w:p w14:paraId="6A6D60AA" w14:textId="77777777" w:rsidR="001C6989" w:rsidRDefault="001C6989" w:rsidP="00F47C06">
            <w:pPr>
              <w:rPr>
                <w:sz w:val="18"/>
              </w:rPr>
            </w:pPr>
            <w:r>
              <w:rPr>
                <w:sz w:val="18"/>
              </w:rPr>
              <w:t>Objection or Annulment lodged by a losing supplier</w:t>
            </w:r>
          </w:p>
        </w:tc>
        <w:tc>
          <w:tcPr>
            <w:tcW w:w="789" w:type="pct"/>
            <w:tcBorders>
              <w:top w:val="single" w:sz="4" w:space="0" w:color="auto"/>
              <w:left w:val="single" w:sz="4" w:space="0" w:color="auto"/>
              <w:bottom w:val="single" w:sz="4" w:space="0" w:color="auto"/>
              <w:right w:val="single" w:sz="4" w:space="0" w:color="auto"/>
            </w:tcBorders>
            <w:hideMark/>
          </w:tcPr>
          <w:p w14:paraId="0122413D" w14:textId="77777777" w:rsidR="001C6989" w:rsidRDefault="001C6989" w:rsidP="00F47C06">
            <w:pPr>
              <w:rPr>
                <w:sz w:val="18"/>
              </w:rPr>
            </w:pPr>
            <w:r>
              <w:rPr>
                <w:sz w:val="18"/>
              </w:rPr>
              <w:t>Supplier</w:t>
            </w:r>
          </w:p>
        </w:tc>
        <w:tc>
          <w:tcPr>
            <w:tcW w:w="502" w:type="pct"/>
            <w:tcBorders>
              <w:top w:val="single" w:sz="4" w:space="0" w:color="auto"/>
              <w:left w:val="single" w:sz="4" w:space="0" w:color="auto"/>
              <w:bottom w:val="single" w:sz="4" w:space="0" w:color="auto"/>
              <w:right w:val="single" w:sz="4" w:space="0" w:color="auto"/>
            </w:tcBorders>
            <w:hideMark/>
          </w:tcPr>
          <w:p w14:paraId="1A2D6EB8" w14:textId="77777777" w:rsidR="001C6989" w:rsidRDefault="001C6989" w:rsidP="00F47C06">
            <w:pPr>
              <w:pStyle w:val="TableText-Left"/>
            </w:pPr>
            <w:r>
              <w:t>U</w:t>
            </w:r>
          </w:p>
        </w:tc>
      </w:tr>
      <w:tr w:rsidR="001C6989" w14:paraId="621A8B00" w14:textId="77777777" w:rsidTr="00F47C06">
        <w:tc>
          <w:tcPr>
            <w:tcW w:w="1424" w:type="pct"/>
            <w:tcBorders>
              <w:top w:val="single" w:sz="4" w:space="0" w:color="auto"/>
              <w:left w:val="single" w:sz="4" w:space="0" w:color="auto"/>
              <w:bottom w:val="single" w:sz="4" w:space="0" w:color="auto"/>
              <w:right w:val="single" w:sz="4" w:space="0" w:color="auto"/>
            </w:tcBorders>
            <w:hideMark/>
          </w:tcPr>
          <w:p w14:paraId="1F83D5FF" w14:textId="77777777" w:rsidR="001C6989" w:rsidRDefault="001C6989" w:rsidP="00F47C06">
            <w:pPr>
              <w:rPr>
                <w:sz w:val="18"/>
              </w:rPr>
            </w:pPr>
            <w:r>
              <w:rPr>
                <w:sz w:val="18"/>
              </w:rPr>
              <w:t>SwitchingDomainData</w:t>
            </w:r>
          </w:p>
        </w:tc>
        <w:tc>
          <w:tcPr>
            <w:tcW w:w="2285" w:type="pct"/>
            <w:tcBorders>
              <w:top w:val="single" w:sz="4" w:space="0" w:color="auto"/>
              <w:left w:val="single" w:sz="4" w:space="0" w:color="auto"/>
              <w:bottom w:val="single" w:sz="4" w:space="0" w:color="auto"/>
              <w:right w:val="single" w:sz="4" w:space="0" w:color="auto"/>
            </w:tcBorders>
            <w:hideMark/>
          </w:tcPr>
          <w:p w14:paraId="1FB556E1" w14:textId="03DF9578" w:rsidR="001C6989" w:rsidRDefault="001C6989" w:rsidP="00210749">
            <w:pPr>
              <w:rPr>
                <w:sz w:val="18"/>
              </w:rPr>
            </w:pPr>
            <w:r>
              <w:rPr>
                <w:sz w:val="18"/>
              </w:rPr>
              <w:t>Information published by industry governance concerning the parameters and settings applicable across all participants in switching processes.</w:t>
            </w:r>
            <w:r w:rsidR="00210749">
              <w:rPr>
                <w:sz w:val="18"/>
              </w:rPr>
              <w:t xml:space="preserve">  This will be transferred manually </w:t>
            </w:r>
            <w:r w:rsidR="00FC1537">
              <w:rPr>
                <w:sz w:val="18"/>
              </w:rPr>
              <w:t>e.g.</w:t>
            </w:r>
            <w:r w:rsidR="00210749">
              <w:rPr>
                <w:sz w:val="18"/>
              </w:rPr>
              <w:t xml:space="preserve"> by email and there is an Operations facility in CSS to load the data from a simple file.</w:t>
            </w:r>
          </w:p>
        </w:tc>
        <w:tc>
          <w:tcPr>
            <w:tcW w:w="789" w:type="pct"/>
            <w:tcBorders>
              <w:top w:val="single" w:sz="4" w:space="0" w:color="auto"/>
              <w:left w:val="single" w:sz="4" w:space="0" w:color="auto"/>
              <w:bottom w:val="single" w:sz="4" w:space="0" w:color="auto"/>
              <w:right w:val="single" w:sz="4" w:space="0" w:color="auto"/>
            </w:tcBorders>
            <w:hideMark/>
          </w:tcPr>
          <w:p w14:paraId="0AD2B4E8" w14:textId="67FF238D" w:rsidR="001C6989" w:rsidRDefault="001F04FD" w:rsidP="00F47C06">
            <w:pPr>
              <w:rPr>
                <w:sz w:val="18"/>
              </w:rPr>
            </w:pPr>
            <w:r>
              <w:rPr>
                <w:sz w:val="18"/>
              </w:rPr>
              <w:t>Switching Domain</w:t>
            </w:r>
            <w:r w:rsidR="001C6989">
              <w:rPr>
                <w:sz w:val="18"/>
              </w:rPr>
              <w:t xml:space="preserve"> Data Service</w:t>
            </w:r>
          </w:p>
        </w:tc>
        <w:tc>
          <w:tcPr>
            <w:tcW w:w="502" w:type="pct"/>
            <w:tcBorders>
              <w:top w:val="single" w:sz="4" w:space="0" w:color="auto"/>
              <w:left w:val="single" w:sz="4" w:space="0" w:color="auto"/>
              <w:bottom w:val="single" w:sz="4" w:space="0" w:color="auto"/>
              <w:right w:val="single" w:sz="4" w:space="0" w:color="auto"/>
            </w:tcBorders>
            <w:hideMark/>
          </w:tcPr>
          <w:p w14:paraId="5072E07A" w14:textId="45FF1C40" w:rsidR="001C6989" w:rsidRDefault="00210749" w:rsidP="00F47C06">
            <w:pPr>
              <w:pStyle w:val="TableText-Left"/>
            </w:pPr>
            <w:r>
              <w:t>n/a</w:t>
            </w:r>
          </w:p>
        </w:tc>
      </w:tr>
    </w:tbl>
    <w:p w14:paraId="2F53614F" w14:textId="77777777" w:rsidR="001C6989" w:rsidRDefault="001C6989" w:rsidP="001C6989">
      <w:pPr>
        <w:pStyle w:val="Heading3"/>
        <w:keepNext/>
        <w:tabs>
          <w:tab w:val="num" w:pos="848"/>
        </w:tabs>
        <w:spacing w:before="360" w:after="120"/>
        <w:ind w:left="848" w:hanging="848"/>
      </w:pPr>
      <w:bookmarkStart w:id="204" w:name="_Toc9934769"/>
      <w:r>
        <w:t>CSS Outbound Interfaces</w:t>
      </w:r>
      <w:bookmarkEnd w:id="204"/>
    </w:p>
    <w:p w14:paraId="2CC8D32A" w14:textId="77777777" w:rsidR="001C6989" w:rsidRDefault="001C6989" w:rsidP="001C6989"/>
    <w:p w14:paraId="2F59C654" w14:textId="25C1ECD2" w:rsidR="001C6989" w:rsidRDefault="001B6C12" w:rsidP="001C6989">
      <w:pPr>
        <w:keepNext/>
      </w:pPr>
      <w:r w:rsidRPr="001B6C12">
        <w:rPr>
          <w:noProof/>
          <w:lang w:eastAsia="en-GB"/>
        </w:rPr>
        <w:drawing>
          <wp:inline distT="0" distB="0" distL="0" distR="0" wp14:anchorId="04AF075B" wp14:editId="5D676771">
            <wp:extent cx="6184900" cy="3578236"/>
            <wp:effectExtent l="0" t="0" r="635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84900" cy="3578236"/>
                    </a:xfrm>
                    <a:prstGeom prst="rect">
                      <a:avLst/>
                    </a:prstGeom>
                    <a:noFill/>
                    <a:ln>
                      <a:noFill/>
                    </a:ln>
                  </pic:spPr>
                </pic:pic>
              </a:graphicData>
            </a:graphic>
          </wp:inline>
        </w:drawing>
      </w:r>
    </w:p>
    <w:p w14:paraId="221A56B7" w14:textId="520230B5" w:rsidR="001C6989" w:rsidRDefault="001C6989" w:rsidP="001C6989">
      <w:pPr>
        <w:pStyle w:val="Caption"/>
      </w:pPr>
      <w:bookmarkStart w:id="205" w:name="_Ref505853237"/>
      <w:r>
        <w:t xml:space="preserve">Figure </w:t>
      </w:r>
      <w:r w:rsidR="00112F53">
        <w:rPr>
          <w:noProof/>
        </w:rPr>
        <w:fldChar w:fldCharType="begin"/>
      </w:r>
      <w:r w:rsidR="00112F53">
        <w:rPr>
          <w:noProof/>
        </w:rPr>
        <w:instrText xml:space="preserve"> SEQ Figure \* ARABIC </w:instrText>
      </w:r>
      <w:r w:rsidR="00112F53">
        <w:rPr>
          <w:noProof/>
        </w:rPr>
        <w:fldChar w:fldCharType="separate"/>
      </w:r>
      <w:r w:rsidR="005D4843">
        <w:rPr>
          <w:noProof/>
        </w:rPr>
        <w:t>20</w:t>
      </w:r>
      <w:r w:rsidR="00112F53">
        <w:rPr>
          <w:noProof/>
        </w:rPr>
        <w:fldChar w:fldCharType="end"/>
      </w:r>
      <w:r>
        <w:t xml:space="preserve"> - CSS Outbound Interfaces</w:t>
      </w:r>
      <w:bookmarkEnd w:id="205"/>
    </w:p>
    <w:p w14:paraId="677D67EB" w14:textId="77777777" w:rsidR="001C6989" w:rsidRDefault="001C6989" w:rsidP="001C6989"/>
    <w:tbl>
      <w:tblPr>
        <w:tblStyle w:val="TableGrid"/>
        <w:tblW w:w="5000" w:type="pct"/>
        <w:tblLook w:val="04A0" w:firstRow="1" w:lastRow="0" w:firstColumn="1" w:lastColumn="0" w:noHBand="0" w:noVBand="1"/>
      </w:tblPr>
      <w:tblGrid>
        <w:gridCol w:w="2483"/>
        <w:gridCol w:w="4573"/>
        <w:gridCol w:w="1662"/>
        <w:gridCol w:w="1012"/>
      </w:tblGrid>
      <w:tr w:rsidR="001C6989" w14:paraId="6C129F60" w14:textId="77777777" w:rsidTr="00283893">
        <w:trPr>
          <w:tblHeader/>
        </w:trPr>
        <w:tc>
          <w:tcPr>
            <w:tcW w:w="1276"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108A07A" w14:textId="77777777" w:rsidR="001C6989" w:rsidRDefault="001C6989" w:rsidP="00F47C06">
            <w:pPr>
              <w:pStyle w:val="TableHeadings"/>
            </w:pPr>
            <w:r>
              <w:t>Interface Name</w:t>
            </w:r>
          </w:p>
        </w:tc>
        <w:tc>
          <w:tcPr>
            <w:tcW w:w="2350"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30136B2" w14:textId="77777777" w:rsidR="001C6989" w:rsidRDefault="001C6989" w:rsidP="00F47C06">
            <w:pPr>
              <w:pStyle w:val="TableHeadings"/>
            </w:pPr>
            <w:r>
              <w:t>Purpose</w:t>
            </w:r>
          </w:p>
        </w:tc>
        <w:tc>
          <w:tcPr>
            <w:tcW w:w="854"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709C245A" w14:textId="77777777" w:rsidR="001C6989" w:rsidRDefault="001C6989" w:rsidP="00F47C06">
            <w:pPr>
              <w:pStyle w:val="TableHeadings"/>
            </w:pPr>
            <w:r>
              <w:t>Interface User</w:t>
            </w:r>
          </w:p>
        </w:tc>
        <w:tc>
          <w:tcPr>
            <w:tcW w:w="521"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12B7ACC" w14:textId="77777777" w:rsidR="001C6989" w:rsidRDefault="001C6989" w:rsidP="00F47C06">
            <w:pPr>
              <w:pStyle w:val="TableHeadings"/>
              <w:rPr>
                <w:sz w:val="20"/>
              </w:rPr>
            </w:pPr>
            <w:r>
              <w:rPr>
                <w:sz w:val="20"/>
              </w:rPr>
              <w:t>Pattern</w:t>
            </w:r>
          </w:p>
        </w:tc>
      </w:tr>
      <w:tr w:rsidR="001C6989" w14:paraId="1FFC418D" w14:textId="77777777" w:rsidTr="00283893">
        <w:tc>
          <w:tcPr>
            <w:tcW w:w="1276" w:type="pct"/>
            <w:tcBorders>
              <w:top w:val="single" w:sz="4" w:space="0" w:color="auto"/>
              <w:left w:val="single" w:sz="4" w:space="0" w:color="auto"/>
              <w:bottom w:val="single" w:sz="4" w:space="0" w:color="auto"/>
              <w:right w:val="single" w:sz="4" w:space="0" w:color="auto"/>
            </w:tcBorders>
            <w:hideMark/>
          </w:tcPr>
          <w:p w14:paraId="217919B7" w14:textId="77777777" w:rsidR="001C6989" w:rsidRDefault="001C6989" w:rsidP="00F47C06">
            <w:pPr>
              <w:rPr>
                <w:sz w:val="18"/>
              </w:rPr>
            </w:pPr>
            <w:r>
              <w:rPr>
                <w:sz w:val="18"/>
              </w:rPr>
              <w:t>ElectricityRegistration</w:t>
            </w:r>
          </w:p>
        </w:tc>
        <w:tc>
          <w:tcPr>
            <w:tcW w:w="2350" w:type="pct"/>
            <w:tcBorders>
              <w:top w:val="single" w:sz="4" w:space="0" w:color="auto"/>
              <w:left w:val="single" w:sz="4" w:space="0" w:color="auto"/>
              <w:bottom w:val="single" w:sz="4" w:space="0" w:color="auto"/>
              <w:right w:val="single" w:sz="4" w:space="0" w:color="auto"/>
            </w:tcBorders>
            <w:hideMark/>
          </w:tcPr>
          <w:p w14:paraId="3DDC546D" w14:textId="77777777" w:rsidR="001C6989" w:rsidRDefault="001C6989" w:rsidP="00F47C06">
            <w:pPr>
              <w:rPr>
                <w:sz w:val="18"/>
              </w:rPr>
            </w:pPr>
            <w:r>
              <w:rPr>
                <w:sz w:val="18"/>
              </w:rPr>
              <w:t>Synchronisation of electricity RMPs between the mastering and secondary (referencing) data services</w:t>
            </w:r>
          </w:p>
        </w:tc>
        <w:tc>
          <w:tcPr>
            <w:tcW w:w="854" w:type="pct"/>
            <w:tcBorders>
              <w:top w:val="single" w:sz="4" w:space="0" w:color="auto"/>
              <w:left w:val="single" w:sz="4" w:space="0" w:color="auto"/>
              <w:bottom w:val="single" w:sz="4" w:space="0" w:color="auto"/>
              <w:right w:val="single" w:sz="4" w:space="0" w:color="auto"/>
            </w:tcBorders>
            <w:hideMark/>
          </w:tcPr>
          <w:p w14:paraId="489FB65C" w14:textId="77777777" w:rsidR="001C6989" w:rsidRDefault="001C6989" w:rsidP="00F47C06">
            <w:pPr>
              <w:rPr>
                <w:sz w:val="18"/>
              </w:rPr>
            </w:pPr>
            <w:r>
              <w:rPr>
                <w:sz w:val="18"/>
              </w:rPr>
              <w:t>ECOES</w:t>
            </w:r>
          </w:p>
        </w:tc>
        <w:tc>
          <w:tcPr>
            <w:tcW w:w="521" w:type="pct"/>
            <w:tcBorders>
              <w:top w:val="single" w:sz="4" w:space="0" w:color="auto"/>
              <w:left w:val="single" w:sz="4" w:space="0" w:color="auto"/>
              <w:bottom w:val="single" w:sz="4" w:space="0" w:color="auto"/>
              <w:right w:val="single" w:sz="4" w:space="0" w:color="auto"/>
            </w:tcBorders>
            <w:hideMark/>
          </w:tcPr>
          <w:p w14:paraId="3223BC51" w14:textId="77777777" w:rsidR="001C6989" w:rsidRDefault="001C6989" w:rsidP="00F47C06">
            <w:pPr>
              <w:pStyle w:val="TableText-Left"/>
            </w:pPr>
            <w:r>
              <w:t>S</w:t>
            </w:r>
          </w:p>
        </w:tc>
      </w:tr>
      <w:tr w:rsidR="001C6989" w14:paraId="2ECCCD99" w14:textId="77777777" w:rsidTr="00283893">
        <w:tc>
          <w:tcPr>
            <w:tcW w:w="1276" w:type="pct"/>
            <w:tcBorders>
              <w:top w:val="single" w:sz="4" w:space="0" w:color="auto"/>
              <w:left w:val="single" w:sz="4" w:space="0" w:color="auto"/>
              <w:bottom w:val="single" w:sz="4" w:space="0" w:color="auto"/>
              <w:right w:val="single" w:sz="4" w:space="0" w:color="auto"/>
            </w:tcBorders>
            <w:hideMark/>
          </w:tcPr>
          <w:p w14:paraId="2B6B74B2" w14:textId="77777777" w:rsidR="001C6989" w:rsidRDefault="001C6989" w:rsidP="00F47C06">
            <w:pPr>
              <w:rPr>
                <w:sz w:val="18"/>
              </w:rPr>
            </w:pPr>
            <w:r>
              <w:rPr>
                <w:sz w:val="18"/>
              </w:rPr>
              <w:t>GasRegistration</w:t>
            </w:r>
          </w:p>
        </w:tc>
        <w:tc>
          <w:tcPr>
            <w:tcW w:w="2350" w:type="pct"/>
            <w:tcBorders>
              <w:top w:val="single" w:sz="4" w:space="0" w:color="auto"/>
              <w:left w:val="single" w:sz="4" w:space="0" w:color="auto"/>
              <w:bottom w:val="single" w:sz="4" w:space="0" w:color="auto"/>
              <w:right w:val="single" w:sz="4" w:space="0" w:color="auto"/>
            </w:tcBorders>
            <w:hideMark/>
          </w:tcPr>
          <w:p w14:paraId="5468AC86" w14:textId="77777777" w:rsidR="001C6989" w:rsidRDefault="001C6989" w:rsidP="00F47C06">
            <w:pPr>
              <w:rPr>
                <w:sz w:val="18"/>
              </w:rPr>
            </w:pPr>
            <w:r>
              <w:rPr>
                <w:sz w:val="18"/>
              </w:rPr>
              <w:t>Synchronisation of gas RMPs between the mastering and secondary (referencing) data services</w:t>
            </w:r>
          </w:p>
        </w:tc>
        <w:tc>
          <w:tcPr>
            <w:tcW w:w="854" w:type="pct"/>
            <w:tcBorders>
              <w:top w:val="single" w:sz="4" w:space="0" w:color="auto"/>
              <w:left w:val="single" w:sz="4" w:space="0" w:color="auto"/>
              <w:bottom w:val="single" w:sz="4" w:space="0" w:color="auto"/>
              <w:right w:val="single" w:sz="4" w:space="0" w:color="auto"/>
            </w:tcBorders>
            <w:hideMark/>
          </w:tcPr>
          <w:p w14:paraId="4EAF850B" w14:textId="27831B5F" w:rsidR="001C6989" w:rsidRDefault="00A1661D" w:rsidP="00F47C06">
            <w:pPr>
              <w:rPr>
                <w:sz w:val="18"/>
              </w:rPr>
            </w:pPr>
            <w:r>
              <w:rPr>
                <w:sz w:val="18"/>
              </w:rPr>
              <w:t>DES</w:t>
            </w:r>
          </w:p>
        </w:tc>
        <w:tc>
          <w:tcPr>
            <w:tcW w:w="521" w:type="pct"/>
            <w:tcBorders>
              <w:top w:val="single" w:sz="4" w:space="0" w:color="auto"/>
              <w:left w:val="single" w:sz="4" w:space="0" w:color="auto"/>
              <w:bottom w:val="single" w:sz="4" w:space="0" w:color="auto"/>
              <w:right w:val="single" w:sz="4" w:space="0" w:color="auto"/>
            </w:tcBorders>
            <w:hideMark/>
          </w:tcPr>
          <w:p w14:paraId="3E8FD435" w14:textId="77777777" w:rsidR="001C6989" w:rsidRDefault="001C6989" w:rsidP="00F47C06">
            <w:pPr>
              <w:pStyle w:val="TableText-Left"/>
            </w:pPr>
            <w:r>
              <w:t>S</w:t>
            </w:r>
          </w:p>
        </w:tc>
      </w:tr>
      <w:tr w:rsidR="001C6989" w14:paraId="4ED28C64" w14:textId="77777777" w:rsidTr="00283893">
        <w:tc>
          <w:tcPr>
            <w:tcW w:w="1276" w:type="pct"/>
            <w:tcBorders>
              <w:top w:val="single" w:sz="4" w:space="0" w:color="auto"/>
              <w:left w:val="single" w:sz="4" w:space="0" w:color="auto"/>
              <w:bottom w:val="single" w:sz="4" w:space="0" w:color="auto"/>
              <w:right w:val="single" w:sz="4" w:space="0" w:color="auto"/>
            </w:tcBorders>
            <w:hideMark/>
          </w:tcPr>
          <w:p w14:paraId="01F81FFB" w14:textId="77777777" w:rsidR="001C6989" w:rsidRDefault="001C6989" w:rsidP="00F47C06">
            <w:pPr>
              <w:rPr>
                <w:sz w:val="18"/>
              </w:rPr>
            </w:pPr>
            <w:r>
              <w:rPr>
                <w:sz w:val="18"/>
              </w:rPr>
              <w:t>InvitationToIntervene</w:t>
            </w:r>
          </w:p>
        </w:tc>
        <w:tc>
          <w:tcPr>
            <w:tcW w:w="2350" w:type="pct"/>
            <w:tcBorders>
              <w:top w:val="single" w:sz="4" w:space="0" w:color="auto"/>
              <w:left w:val="single" w:sz="4" w:space="0" w:color="auto"/>
              <w:bottom w:val="single" w:sz="4" w:space="0" w:color="auto"/>
              <w:right w:val="single" w:sz="4" w:space="0" w:color="auto"/>
            </w:tcBorders>
            <w:hideMark/>
          </w:tcPr>
          <w:p w14:paraId="26EF98E8" w14:textId="77777777" w:rsidR="001C6989" w:rsidRDefault="001C6989" w:rsidP="00F47C06">
            <w:pPr>
              <w:rPr>
                <w:sz w:val="18"/>
              </w:rPr>
            </w:pPr>
            <w:r>
              <w:rPr>
                <w:sz w:val="18"/>
              </w:rPr>
              <w:t>Registration details delivered to the losing supplier to provide an opportunity to object or annul within the timing constraints of the Switching windows.</w:t>
            </w:r>
          </w:p>
        </w:tc>
        <w:tc>
          <w:tcPr>
            <w:tcW w:w="854" w:type="pct"/>
            <w:tcBorders>
              <w:top w:val="single" w:sz="4" w:space="0" w:color="auto"/>
              <w:left w:val="single" w:sz="4" w:space="0" w:color="auto"/>
              <w:bottom w:val="single" w:sz="4" w:space="0" w:color="auto"/>
              <w:right w:val="single" w:sz="4" w:space="0" w:color="auto"/>
            </w:tcBorders>
            <w:hideMark/>
          </w:tcPr>
          <w:p w14:paraId="50C9C304" w14:textId="77777777" w:rsidR="001C6989" w:rsidRDefault="001C6989" w:rsidP="00F47C06">
            <w:pPr>
              <w:rPr>
                <w:sz w:val="18"/>
              </w:rPr>
            </w:pPr>
            <w:r>
              <w:rPr>
                <w:sz w:val="18"/>
              </w:rPr>
              <w:t>Losing supplier</w:t>
            </w:r>
          </w:p>
        </w:tc>
        <w:tc>
          <w:tcPr>
            <w:tcW w:w="521" w:type="pct"/>
            <w:tcBorders>
              <w:top w:val="single" w:sz="4" w:space="0" w:color="auto"/>
              <w:left w:val="single" w:sz="4" w:space="0" w:color="auto"/>
              <w:bottom w:val="single" w:sz="4" w:space="0" w:color="auto"/>
              <w:right w:val="single" w:sz="4" w:space="0" w:color="auto"/>
            </w:tcBorders>
            <w:hideMark/>
          </w:tcPr>
          <w:p w14:paraId="674B4CEA" w14:textId="77777777" w:rsidR="001C6989" w:rsidRDefault="001C6989" w:rsidP="00F47C06">
            <w:pPr>
              <w:pStyle w:val="TableText-Left"/>
            </w:pPr>
            <w:r>
              <w:t>E</w:t>
            </w:r>
          </w:p>
        </w:tc>
      </w:tr>
      <w:tr w:rsidR="001C6989" w14:paraId="7DFB5F11" w14:textId="77777777" w:rsidTr="00283893">
        <w:tc>
          <w:tcPr>
            <w:tcW w:w="1276" w:type="pct"/>
            <w:tcBorders>
              <w:top w:val="single" w:sz="4" w:space="0" w:color="auto"/>
              <w:left w:val="single" w:sz="4" w:space="0" w:color="auto"/>
              <w:bottom w:val="single" w:sz="4" w:space="0" w:color="auto"/>
              <w:right w:val="single" w:sz="4" w:space="0" w:color="auto"/>
            </w:tcBorders>
            <w:hideMark/>
          </w:tcPr>
          <w:p w14:paraId="7E60BAEE" w14:textId="77777777" w:rsidR="001C6989" w:rsidRDefault="001C6989" w:rsidP="00F47C06">
            <w:pPr>
              <w:rPr>
                <w:sz w:val="18"/>
              </w:rPr>
            </w:pPr>
            <w:r>
              <w:rPr>
                <w:sz w:val="18"/>
              </w:rPr>
              <w:t>RegistrationSync</w:t>
            </w:r>
          </w:p>
        </w:tc>
        <w:tc>
          <w:tcPr>
            <w:tcW w:w="2350" w:type="pct"/>
            <w:tcBorders>
              <w:top w:val="single" w:sz="4" w:space="0" w:color="auto"/>
              <w:left w:val="single" w:sz="4" w:space="0" w:color="auto"/>
              <w:bottom w:val="single" w:sz="4" w:space="0" w:color="auto"/>
              <w:right w:val="single" w:sz="4" w:space="0" w:color="auto"/>
            </w:tcBorders>
            <w:hideMark/>
          </w:tcPr>
          <w:p w14:paraId="5FF03E29" w14:textId="77777777" w:rsidR="001C6989" w:rsidRDefault="001C6989" w:rsidP="00F47C06">
            <w:pPr>
              <w:rPr>
                <w:sz w:val="18"/>
              </w:rPr>
            </w:pPr>
            <w:r>
              <w:rPr>
                <w:sz w:val="18"/>
              </w:rPr>
              <w:t>Synchronisation of Registrations between the mastering and secondary (referencing) data services</w:t>
            </w:r>
          </w:p>
        </w:tc>
        <w:tc>
          <w:tcPr>
            <w:tcW w:w="854" w:type="pct"/>
            <w:tcBorders>
              <w:top w:val="single" w:sz="4" w:space="0" w:color="auto"/>
              <w:left w:val="single" w:sz="4" w:space="0" w:color="auto"/>
              <w:bottom w:val="single" w:sz="4" w:space="0" w:color="auto"/>
              <w:right w:val="single" w:sz="4" w:space="0" w:color="auto"/>
            </w:tcBorders>
            <w:hideMark/>
          </w:tcPr>
          <w:p w14:paraId="1E8D94EC" w14:textId="3A5E7A73" w:rsidR="001C6989" w:rsidRDefault="00DB63D0" w:rsidP="00F47C06">
            <w:pPr>
              <w:spacing w:after="60"/>
              <w:rPr>
                <w:sz w:val="18"/>
              </w:rPr>
            </w:pPr>
            <w:r>
              <w:rPr>
                <w:sz w:val="18"/>
              </w:rPr>
              <w:t>MPAS</w:t>
            </w:r>
          </w:p>
          <w:p w14:paraId="3896D609" w14:textId="5321725C" w:rsidR="001C6989" w:rsidRDefault="00A1661D" w:rsidP="00F47C06">
            <w:pPr>
              <w:rPr>
                <w:sz w:val="18"/>
              </w:rPr>
            </w:pPr>
            <w:r>
              <w:rPr>
                <w:sz w:val="18"/>
              </w:rPr>
              <w:t>UK Link</w:t>
            </w:r>
          </w:p>
        </w:tc>
        <w:tc>
          <w:tcPr>
            <w:tcW w:w="521" w:type="pct"/>
            <w:tcBorders>
              <w:top w:val="single" w:sz="4" w:space="0" w:color="auto"/>
              <w:left w:val="single" w:sz="4" w:space="0" w:color="auto"/>
              <w:bottom w:val="single" w:sz="4" w:space="0" w:color="auto"/>
              <w:right w:val="single" w:sz="4" w:space="0" w:color="auto"/>
            </w:tcBorders>
            <w:hideMark/>
          </w:tcPr>
          <w:p w14:paraId="0D9DE8DF" w14:textId="77777777" w:rsidR="001C6989" w:rsidRDefault="001C6989" w:rsidP="00F47C06">
            <w:pPr>
              <w:pStyle w:val="TableText-Left"/>
            </w:pPr>
            <w:r>
              <w:t>S</w:t>
            </w:r>
          </w:p>
        </w:tc>
      </w:tr>
      <w:tr w:rsidR="001C6989" w14:paraId="058DA486" w14:textId="77777777" w:rsidTr="00283893">
        <w:tc>
          <w:tcPr>
            <w:tcW w:w="1276" w:type="pct"/>
            <w:tcBorders>
              <w:top w:val="single" w:sz="4" w:space="0" w:color="auto"/>
              <w:left w:val="single" w:sz="4" w:space="0" w:color="auto"/>
              <w:bottom w:val="single" w:sz="4" w:space="0" w:color="auto"/>
              <w:right w:val="single" w:sz="4" w:space="0" w:color="auto"/>
            </w:tcBorders>
          </w:tcPr>
          <w:p w14:paraId="2F7B07E3" w14:textId="77777777" w:rsidR="001C6989" w:rsidRDefault="001C6989" w:rsidP="00F47C06">
            <w:pPr>
              <w:spacing w:after="60"/>
              <w:rPr>
                <w:sz w:val="18"/>
              </w:rPr>
            </w:pPr>
            <w:r>
              <w:rPr>
                <w:sz w:val="18"/>
              </w:rPr>
              <w:t>RegMgmtRequest Notification</w:t>
            </w:r>
          </w:p>
          <w:p w14:paraId="1DEA5AEC" w14:textId="77777777" w:rsidR="001C6989" w:rsidRDefault="001C6989" w:rsidP="00F47C06">
            <w:pPr>
              <w:rPr>
                <w:sz w:val="18"/>
              </w:rPr>
            </w:pPr>
          </w:p>
        </w:tc>
        <w:tc>
          <w:tcPr>
            <w:tcW w:w="2350" w:type="pct"/>
            <w:tcBorders>
              <w:top w:val="single" w:sz="4" w:space="0" w:color="auto"/>
              <w:left w:val="single" w:sz="4" w:space="0" w:color="auto"/>
              <w:bottom w:val="single" w:sz="4" w:space="0" w:color="auto"/>
              <w:right w:val="single" w:sz="4" w:space="0" w:color="auto"/>
            </w:tcBorders>
            <w:hideMark/>
          </w:tcPr>
          <w:p w14:paraId="42AEBFD7" w14:textId="77777777" w:rsidR="001C6989" w:rsidRDefault="001C6989" w:rsidP="00F47C06">
            <w:pPr>
              <w:rPr>
                <w:sz w:val="18"/>
              </w:rPr>
            </w:pPr>
            <w:r>
              <w:rPr>
                <w:sz w:val="18"/>
              </w:rPr>
              <w:t>Registration details passed to interested parties subsequent relating to receipt of a valid registration request, withdrawals, within-switch events and deactivations</w:t>
            </w:r>
          </w:p>
        </w:tc>
        <w:tc>
          <w:tcPr>
            <w:tcW w:w="854" w:type="pct"/>
            <w:tcBorders>
              <w:top w:val="single" w:sz="4" w:space="0" w:color="auto"/>
              <w:left w:val="single" w:sz="4" w:space="0" w:color="auto"/>
              <w:bottom w:val="single" w:sz="4" w:space="0" w:color="auto"/>
              <w:right w:val="single" w:sz="4" w:space="0" w:color="auto"/>
            </w:tcBorders>
            <w:hideMark/>
          </w:tcPr>
          <w:p w14:paraId="4502661C" w14:textId="77777777" w:rsidR="001C6989" w:rsidRDefault="001C6989" w:rsidP="00F47C06">
            <w:pPr>
              <w:spacing w:after="60"/>
              <w:rPr>
                <w:sz w:val="18"/>
              </w:rPr>
            </w:pPr>
            <w:r>
              <w:rPr>
                <w:sz w:val="18"/>
              </w:rPr>
              <w:t>Gaining supplier</w:t>
            </w:r>
          </w:p>
          <w:p w14:paraId="08141332" w14:textId="77777777" w:rsidR="001C6989" w:rsidRDefault="001C6989" w:rsidP="00F47C06">
            <w:pPr>
              <w:spacing w:after="60"/>
              <w:rPr>
                <w:sz w:val="18"/>
              </w:rPr>
            </w:pPr>
            <w:r>
              <w:rPr>
                <w:sz w:val="18"/>
              </w:rPr>
              <w:t>Gaining shipper</w:t>
            </w:r>
          </w:p>
          <w:p w14:paraId="05312289" w14:textId="77777777" w:rsidR="001C6989" w:rsidRDefault="001C6989" w:rsidP="00F47C06">
            <w:pPr>
              <w:spacing w:after="60"/>
              <w:rPr>
                <w:sz w:val="18"/>
              </w:rPr>
            </w:pPr>
            <w:r>
              <w:rPr>
                <w:sz w:val="18"/>
              </w:rPr>
              <w:t>Losing supplier</w:t>
            </w:r>
          </w:p>
          <w:p w14:paraId="49068C2E" w14:textId="77777777" w:rsidR="001C6989" w:rsidRDefault="001C6989" w:rsidP="00F47C06">
            <w:pPr>
              <w:spacing w:after="60"/>
              <w:rPr>
                <w:sz w:val="18"/>
              </w:rPr>
            </w:pPr>
            <w:r>
              <w:rPr>
                <w:sz w:val="18"/>
              </w:rPr>
              <w:t>Losing shipper</w:t>
            </w:r>
          </w:p>
          <w:p w14:paraId="1B3C9336" w14:textId="77777777" w:rsidR="001C6989" w:rsidRDefault="001C6989" w:rsidP="00F47C06">
            <w:pPr>
              <w:spacing w:after="60"/>
              <w:rPr>
                <w:sz w:val="18"/>
              </w:rPr>
            </w:pPr>
            <w:r>
              <w:rPr>
                <w:sz w:val="18"/>
              </w:rPr>
              <w:t>Losing DC / DA</w:t>
            </w:r>
          </w:p>
          <w:p w14:paraId="7DE83191" w14:textId="77777777" w:rsidR="001C6989" w:rsidRDefault="001C6989" w:rsidP="00F47C06">
            <w:pPr>
              <w:spacing w:after="60"/>
              <w:rPr>
                <w:sz w:val="18"/>
              </w:rPr>
            </w:pPr>
            <w:r>
              <w:rPr>
                <w:sz w:val="18"/>
              </w:rPr>
              <w:t>MAP</w:t>
            </w:r>
          </w:p>
          <w:p w14:paraId="4FC2754C" w14:textId="77777777" w:rsidR="001C6989" w:rsidRDefault="001C6989" w:rsidP="00F47C06">
            <w:pPr>
              <w:rPr>
                <w:sz w:val="18"/>
              </w:rPr>
            </w:pPr>
            <w:r>
              <w:rPr>
                <w:sz w:val="18"/>
              </w:rPr>
              <w:t>Losing MEM</w:t>
            </w:r>
          </w:p>
        </w:tc>
        <w:tc>
          <w:tcPr>
            <w:tcW w:w="521" w:type="pct"/>
            <w:tcBorders>
              <w:top w:val="single" w:sz="4" w:space="0" w:color="auto"/>
              <w:left w:val="single" w:sz="4" w:space="0" w:color="auto"/>
              <w:bottom w:val="single" w:sz="4" w:space="0" w:color="auto"/>
              <w:right w:val="single" w:sz="4" w:space="0" w:color="auto"/>
            </w:tcBorders>
            <w:hideMark/>
          </w:tcPr>
          <w:p w14:paraId="721AB48E" w14:textId="77777777" w:rsidR="001C6989" w:rsidRDefault="001C6989" w:rsidP="00F47C06">
            <w:pPr>
              <w:pStyle w:val="TableText-Left"/>
            </w:pPr>
            <w:r>
              <w:t>N</w:t>
            </w:r>
          </w:p>
        </w:tc>
      </w:tr>
      <w:tr w:rsidR="00C627A8" w14:paraId="781EA5E0" w14:textId="77777777" w:rsidTr="00283893">
        <w:tc>
          <w:tcPr>
            <w:tcW w:w="1276" w:type="pct"/>
            <w:tcBorders>
              <w:top w:val="single" w:sz="4" w:space="0" w:color="auto"/>
              <w:left w:val="single" w:sz="4" w:space="0" w:color="auto"/>
              <w:bottom w:val="single" w:sz="4" w:space="0" w:color="auto"/>
              <w:right w:val="single" w:sz="4" w:space="0" w:color="auto"/>
            </w:tcBorders>
            <w:hideMark/>
          </w:tcPr>
          <w:p w14:paraId="25ED62C0" w14:textId="77777777" w:rsidR="00C627A8" w:rsidRDefault="00C627A8" w:rsidP="00C627A8">
            <w:pPr>
              <w:rPr>
                <w:sz w:val="18"/>
              </w:rPr>
            </w:pPr>
            <w:r>
              <w:rPr>
                <w:sz w:val="18"/>
              </w:rPr>
              <w:t>RetailEnergyLocation</w:t>
            </w:r>
          </w:p>
        </w:tc>
        <w:tc>
          <w:tcPr>
            <w:tcW w:w="2350" w:type="pct"/>
            <w:tcBorders>
              <w:top w:val="single" w:sz="4" w:space="0" w:color="auto"/>
              <w:left w:val="single" w:sz="4" w:space="0" w:color="auto"/>
              <w:bottom w:val="single" w:sz="4" w:space="0" w:color="auto"/>
              <w:right w:val="single" w:sz="4" w:space="0" w:color="auto"/>
            </w:tcBorders>
            <w:hideMark/>
          </w:tcPr>
          <w:p w14:paraId="1EF230D3" w14:textId="77777777" w:rsidR="00C627A8" w:rsidRDefault="00C627A8" w:rsidP="00C627A8">
            <w:pPr>
              <w:rPr>
                <w:sz w:val="18"/>
              </w:rPr>
            </w:pPr>
            <w:r>
              <w:rPr>
                <w:sz w:val="18"/>
              </w:rPr>
              <w:t>Details of Retail Energy Locations passed from the mastering data service to the enquiry data services</w:t>
            </w:r>
          </w:p>
        </w:tc>
        <w:tc>
          <w:tcPr>
            <w:tcW w:w="854" w:type="pct"/>
            <w:tcBorders>
              <w:top w:val="single" w:sz="4" w:space="0" w:color="auto"/>
              <w:left w:val="single" w:sz="4" w:space="0" w:color="auto"/>
              <w:bottom w:val="single" w:sz="4" w:space="0" w:color="auto"/>
              <w:right w:val="single" w:sz="4" w:space="0" w:color="auto"/>
            </w:tcBorders>
            <w:hideMark/>
          </w:tcPr>
          <w:p w14:paraId="4C47D6A8" w14:textId="77777777" w:rsidR="00C627A8" w:rsidRDefault="00C627A8" w:rsidP="00C627A8">
            <w:pPr>
              <w:spacing w:after="60"/>
              <w:rPr>
                <w:sz w:val="18"/>
              </w:rPr>
            </w:pPr>
            <w:r>
              <w:rPr>
                <w:sz w:val="18"/>
              </w:rPr>
              <w:t>ECOES</w:t>
            </w:r>
          </w:p>
          <w:p w14:paraId="7B02DA39" w14:textId="6EF200EB" w:rsidR="00C627A8" w:rsidRDefault="00C627A8" w:rsidP="00C627A8">
            <w:pPr>
              <w:rPr>
                <w:sz w:val="18"/>
              </w:rPr>
            </w:pPr>
            <w:r>
              <w:rPr>
                <w:sz w:val="18"/>
              </w:rPr>
              <w:t>DES</w:t>
            </w:r>
          </w:p>
        </w:tc>
        <w:tc>
          <w:tcPr>
            <w:tcW w:w="521" w:type="pct"/>
            <w:tcBorders>
              <w:top w:val="single" w:sz="4" w:space="0" w:color="auto"/>
              <w:left w:val="single" w:sz="4" w:space="0" w:color="auto"/>
              <w:bottom w:val="single" w:sz="4" w:space="0" w:color="auto"/>
              <w:right w:val="single" w:sz="4" w:space="0" w:color="auto"/>
            </w:tcBorders>
            <w:hideMark/>
          </w:tcPr>
          <w:p w14:paraId="377AABD4" w14:textId="77777777" w:rsidR="00C627A8" w:rsidRDefault="00C627A8" w:rsidP="00C627A8">
            <w:pPr>
              <w:pStyle w:val="TableText-Left"/>
            </w:pPr>
            <w:r>
              <w:t>S</w:t>
            </w:r>
          </w:p>
        </w:tc>
      </w:tr>
      <w:tr w:rsidR="00C627A8" w14:paraId="51E34AD6" w14:textId="77777777" w:rsidTr="00283893">
        <w:tc>
          <w:tcPr>
            <w:tcW w:w="1276" w:type="pct"/>
            <w:tcBorders>
              <w:top w:val="single" w:sz="4" w:space="0" w:color="auto"/>
              <w:left w:val="single" w:sz="4" w:space="0" w:color="auto"/>
              <w:bottom w:val="single" w:sz="4" w:space="0" w:color="auto"/>
              <w:right w:val="single" w:sz="4" w:space="0" w:color="auto"/>
            </w:tcBorders>
            <w:hideMark/>
          </w:tcPr>
          <w:p w14:paraId="4ACE759D" w14:textId="77777777" w:rsidR="00C627A8" w:rsidRDefault="00C627A8" w:rsidP="00C627A8">
            <w:pPr>
              <w:rPr>
                <w:sz w:val="18"/>
              </w:rPr>
            </w:pPr>
            <w:r>
              <w:rPr>
                <w:sz w:val="18"/>
              </w:rPr>
              <w:t>RMPRegApptSync</w:t>
            </w:r>
          </w:p>
        </w:tc>
        <w:tc>
          <w:tcPr>
            <w:tcW w:w="2350" w:type="pct"/>
            <w:tcBorders>
              <w:top w:val="single" w:sz="4" w:space="0" w:color="auto"/>
              <w:left w:val="single" w:sz="4" w:space="0" w:color="auto"/>
              <w:bottom w:val="single" w:sz="4" w:space="0" w:color="auto"/>
              <w:right w:val="single" w:sz="4" w:space="0" w:color="auto"/>
            </w:tcBorders>
            <w:hideMark/>
          </w:tcPr>
          <w:p w14:paraId="6D82EFF5" w14:textId="77777777" w:rsidR="00C627A8" w:rsidRDefault="00C627A8" w:rsidP="00C627A8">
            <w:pPr>
              <w:rPr>
                <w:sz w:val="18"/>
              </w:rPr>
            </w:pPr>
            <w:r>
              <w:rPr>
                <w:sz w:val="18"/>
              </w:rPr>
              <w:t>Synchronisation of RMPs, Registration and Appointment details</w:t>
            </w:r>
          </w:p>
        </w:tc>
        <w:tc>
          <w:tcPr>
            <w:tcW w:w="854" w:type="pct"/>
            <w:tcBorders>
              <w:top w:val="single" w:sz="4" w:space="0" w:color="auto"/>
              <w:left w:val="single" w:sz="4" w:space="0" w:color="auto"/>
              <w:bottom w:val="single" w:sz="4" w:space="0" w:color="auto"/>
              <w:right w:val="single" w:sz="4" w:space="0" w:color="auto"/>
            </w:tcBorders>
            <w:hideMark/>
          </w:tcPr>
          <w:p w14:paraId="533C87BC" w14:textId="4203BA27" w:rsidR="00C627A8" w:rsidRDefault="00C627A8" w:rsidP="00C627A8">
            <w:pPr>
              <w:rPr>
                <w:sz w:val="18"/>
              </w:rPr>
            </w:pPr>
            <w:r>
              <w:rPr>
                <w:sz w:val="18"/>
              </w:rPr>
              <w:t>Smart Metering Data Service</w:t>
            </w:r>
          </w:p>
        </w:tc>
        <w:tc>
          <w:tcPr>
            <w:tcW w:w="521" w:type="pct"/>
            <w:tcBorders>
              <w:top w:val="single" w:sz="4" w:space="0" w:color="auto"/>
              <w:left w:val="single" w:sz="4" w:space="0" w:color="auto"/>
              <w:bottom w:val="single" w:sz="4" w:space="0" w:color="auto"/>
              <w:right w:val="single" w:sz="4" w:space="0" w:color="auto"/>
            </w:tcBorders>
            <w:hideMark/>
          </w:tcPr>
          <w:p w14:paraId="54300958" w14:textId="77777777" w:rsidR="00C627A8" w:rsidRDefault="00C627A8" w:rsidP="00C627A8">
            <w:pPr>
              <w:pStyle w:val="TableText-Left"/>
            </w:pPr>
            <w:r>
              <w:t>S</w:t>
            </w:r>
          </w:p>
        </w:tc>
      </w:tr>
    </w:tbl>
    <w:p w14:paraId="17BAD3BA" w14:textId="77777777" w:rsidR="001C6989" w:rsidRDefault="001C6989" w:rsidP="001C6989">
      <w:pPr>
        <w:pStyle w:val="Heading3"/>
        <w:keepNext/>
        <w:tabs>
          <w:tab w:val="num" w:pos="848"/>
        </w:tabs>
        <w:spacing w:before="360" w:after="120"/>
        <w:ind w:left="848" w:hanging="848"/>
      </w:pPr>
      <w:bookmarkStart w:id="206" w:name="_Toc9934770"/>
      <w:r>
        <w:t>CSS Functional Architecture</w:t>
      </w:r>
      <w:bookmarkEnd w:id="206"/>
    </w:p>
    <w:p w14:paraId="75595431" w14:textId="3795A599" w:rsidR="001C6989" w:rsidRDefault="001C6989" w:rsidP="001C6989">
      <w:pPr>
        <w:pStyle w:val="BodyTextNormal"/>
      </w:pPr>
      <w:r>
        <w:rPr>
          <w:noProof/>
          <w:lang w:eastAsia="en-GB"/>
        </w:rPr>
        <w:drawing>
          <wp:inline distT="0" distB="0" distL="0" distR="0" wp14:anchorId="18AC4CCA" wp14:editId="250A966F">
            <wp:extent cx="6115050" cy="4076700"/>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15050" cy="4076700"/>
                    </a:xfrm>
                    <a:prstGeom prst="rect">
                      <a:avLst/>
                    </a:prstGeom>
                    <a:noFill/>
                    <a:ln>
                      <a:noFill/>
                    </a:ln>
                  </pic:spPr>
                </pic:pic>
              </a:graphicData>
            </a:graphic>
          </wp:inline>
        </w:drawing>
      </w:r>
    </w:p>
    <w:p w14:paraId="7EFFE2E5" w14:textId="73E30BAD" w:rsidR="001C6989" w:rsidRDefault="001C6989" w:rsidP="001C6989">
      <w:pPr>
        <w:pStyle w:val="Caption"/>
      </w:pPr>
      <w:r>
        <w:t xml:space="preserve">Figure </w:t>
      </w:r>
      <w:r w:rsidR="00112F53">
        <w:rPr>
          <w:noProof/>
        </w:rPr>
        <w:fldChar w:fldCharType="begin"/>
      </w:r>
      <w:r w:rsidR="00112F53">
        <w:rPr>
          <w:noProof/>
        </w:rPr>
        <w:instrText xml:space="preserve"> SEQ Figure \* ARABIC </w:instrText>
      </w:r>
      <w:r w:rsidR="00112F53">
        <w:rPr>
          <w:noProof/>
        </w:rPr>
        <w:fldChar w:fldCharType="separate"/>
      </w:r>
      <w:r w:rsidR="005D4843">
        <w:rPr>
          <w:noProof/>
        </w:rPr>
        <w:t>21</w:t>
      </w:r>
      <w:r w:rsidR="00112F53">
        <w:rPr>
          <w:noProof/>
        </w:rPr>
        <w:fldChar w:fldCharType="end"/>
      </w:r>
      <w:r>
        <w:t xml:space="preserve"> - CSS Functional Architecture</w:t>
      </w:r>
    </w:p>
    <w:p w14:paraId="39B05836" w14:textId="77777777" w:rsidR="001C6989" w:rsidRDefault="001C6989" w:rsidP="001C6989">
      <w:pPr>
        <w:pStyle w:val="Paragrapgh"/>
      </w:pPr>
      <w:r>
        <w:t>The key functionality for the Interface Manager is as follows:</w:t>
      </w:r>
    </w:p>
    <w:tbl>
      <w:tblPr>
        <w:tblStyle w:val="TableGrid"/>
        <w:tblW w:w="0" w:type="auto"/>
        <w:tblLook w:val="04A0" w:firstRow="1" w:lastRow="0" w:firstColumn="1" w:lastColumn="0" w:noHBand="0" w:noVBand="1"/>
      </w:tblPr>
      <w:tblGrid>
        <w:gridCol w:w="2122"/>
        <w:gridCol w:w="7500"/>
      </w:tblGrid>
      <w:tr w:rsidR="001C6989" w14:paraId="2CBB728F" w14:textId="77777777" w:rsidTr="00F47C06">
        <w:tc>
          <w:tcPr>
            <w:tcW w:w="2122" w:type="dxa"/>
            <w:tcBorders>
              <w:top w:val="single" w:sz="4" w:space="0" w:color="auto"/>
              <w:left w:val="single" w:sz="4" w:space="0" w:color="auto"/>
              <w:bottom w:val="single" w:sz="4" w:space="0" w:color="auto"/>
              <w:right w:val="single" w:sz="4" w:space="0" w:color="auto"/>
            </w:tcBorders>
            <w:hideMark/>
          </w:tcPr>
          <w:p w14:paraId="3D34F48C" w14:textId="77777777" w:rsidR="001C6989" w:rsidRDefault="001C6989" w:rsidP="00F47C06">
            <w:pPr>
              <w:pStyle w:val="TableText-Left"/>
            </w:pPr>
            <w:r>
              <w:t>Message Gateway</w:t>
            </w:r>
          </w:p>
        </w:tc>
        <w:tc>
          <w:tcPr>
            <w:tcW w:w="7500" w:type="dxa"/>
            <w:tcBorders>
              <w:top w:val="single" w:sz="4" w:space="0" w:color="auto"/>
              <w:left w:val="single" w:sz="4" w:space="0" w:color="auto"/>
              <w:bottom w:val="single" w:sz="4" w:space="0" w:color="auto"/>
              <w:right w:val="single" w:sz="4" w:space="0" w:color="auto"/>
            </w:tcBorders>
            <w:hideMark/>
          </w:tcPr>
          <w:p w14:paraId="33966C09" w14:textId="030051A6" w:rsidR="001C6989" w:rsidRDefault="001C6989" w:rsidP="00F47C06">
            <w:pPr>
              <w:pStyle w:val="TableText-Left"/>
            </w:pPr>
            <w:r>
              <w:t xml:space="preserve">Receives incoming messages from external parties including losing suppliers, gaining suppliers, </w:t>
            </w:r>
            <w:r w:rsidR="00DB63D0">
              <w:t>MPAS</w:t>
            </w:r>
            <w:r>
              <w:t xml:space="preserve">, </w:t>
            </w:r>
            <w:r w:rsidR="00A1661D">
              <w:t>UK Link</w:t>
            </w:r>
            <w:r>
              <w:t xml:space="preserve">, </w:t>
            </w:r>
            <w:r w:rsidR="00A1661D">
              <w:t>DES</w:t>
            </w:r>
            <w:r>
              <w:t>, and ECOES etc. The Message gateway authenticates the messages, the source of the messages as well as their validity, conformity and complicity; if any of the message is not conformant, it is rejected. Message gateway is also responsible to establish the TLS end points with the external parties over the Switching Network, and can also provide load balancing to meet scalability requirements.</w:t>
            </w:r>
          </w:p>
        </w:tc>
      </w:tr>
      <w:tr w:rsidR="001C6989" w14:paraId="206EB07A" w14:textId="77777777" w:rsidTr="00F47C06">
        <w:tc>
          <w:tcPr>
            <w:tcW w:w="2122" w:type="dxa"/>
            <w:tcBorders>
              <w:top w:val="single" w:sz="4" w:space="0" w:color="auto"/>
              <w:left w:val="single" w:sz="4" w:space="0" w:color="auto"/>
              <w:bottom w:val="single" w:sz="4" w:space="0" w:color="auto"/>
              <w:right w:val="single" w:sz="4" w:space="0" w:color="auto"/>
            </w:tcBorders>
            <w:hideMark/>
          </w:tcPr>
          <w:p w14:paraId="2E2690E5" w14:textId="77777777" w:rsidR="001C6989" w:rsidRDefault="001C6989" w:rsidP="00F47C06">
            <w:pPr>
              <w:pStyle w:val="TableText-Left"/>
            </w:pPr>
            <w:r>
              <w:t>Request Manager</w:t>
            </w:r>
          </w:p>
        </w:tc>
        <w:tc>
          <w:tcPr>
            <w:tcW w:w="7500" w:type="dxa"/>
            <w:tcBorders>
              <w:top w:val="single" w:sz="4" w:space="0" w:color="auto"/>
              <w:left w:val="single" w:sz="4" w:space="0" w:color="auto"/>
              <w:bottom w:val="single" w:sz="4" w:space="0" w:color="auto"/>
              <w:right w:val="single" w:sz="4" w:space="0" w:color="auto"/>
            </w:tcBorders>
            <w:hideMark/>
          </w:tcPr>
          <w:p w14:paraId="18917CD5" w14:textId="77777777" w:rsidR="001C6989" w:rsidRDefault="001C6989" w:rsidP="00F47C06">
            <w:pPr>
              <w:pStyle w:val="TableText-Left"/>
            </w:pPr>
            <w:r>
              <w:t>Checks and authorises incoming messages to execute workflows or trigger switching. The Request Manager filters or transforms the messages so they can be processed as required by the Process Orchestration Management process. The Request Manager checks whether any disallowed new Service requests are coming while an existing transaction is already in progress. Request Manger monitors transactions for successful or failed acknowledgements. After doing these additional checks, Request Manager then routes this message to CSS Process Manager.</w:t>
            </w:r>
          </w:p>
        </w:tc>
      </w:tr>
      <w:tr w:rsidR="001C6989" w14:paraId="7BAE2915" w14:textId="77777777" w:rsidTr="00F47C06">
        <w:tc>
          <w:tcPr>
            <w:tcW w:w="2122" w:type="dxa"/>
            <w:tcBorders>
              <w:top w:val="single" w:sz="4" w:space="0" w:color="auto"/>
              <w:left w:val="single" w:sz="4" w:space="0" w:color="auto"/>
              <w:bottom w:val="single" w:sz="4" w:space="0" w:color="auto"/>
              <w:right w:val="single" w:sz="4" w:space="0" w:color="auto"/>
            </w:tcBorders>
            <w:hideMark/>
          </w:tcPr>
          <w:p w14:paraId="5174FB88" w14:textId="77777777" w:rsidR="001C6989" w:rsidRDefault="001C6989" w:rsidP="00F47C06">
            <w:pPr>
              <w:pStyle w:val="TableText-Left"/>
            </w:pPr>
            <w:r>
              <w:t>Process Manager</w:t>
            </w:r>
          </w:p>
        </w:tc>
        <w:tc>
          <w:tcPr>
            <w:tcW w:w="7500" w:type="dxa"/>
            <w:tcBorders>
              <w:top w:val="single" w:sz="4" w:space="0" w:color="auto"/>
              <w:left w:val="single" w:sz="4" w:space="0" w:color="auto"/>
              <w:bottom w:val="single" w:sz="4" w:space="0" w:color="auto"/>
              <w:right w:val="single" w:sz="4" w:space="0" w:color="auto"/>
            </w:tcBorders>
            <w:hideMark/>
          </w:tcPr>
          <w:p w14:paraId="0FE267A0" w14:textId="77777777" w:rsidR="001C6989" w:rsidRDefault="001C6989" w:rsidP="00F47C06">
            <w:pPr>
              <w:pStyle w:val="TableText-Left"/>
            </w:pPr>
            <w:r>
              <w:t xml:space="preserve">Responsible for the execution of the switching business processes and their orchestration. After initiation by the Request Manager, requests invoke a new switching process in CSS with the required input data and its related transformation. </w:t>
            </w:r>
          </w:p>
        </w:tc>
      </w:tr>
      <w:tr w:rsidR="001C6989" w14:paraId="1854B2F6" w14:textId="77777777" w:rsidTr="00F47C06">
        <w:tc>
          <w:tcPr>
            <w:tcW w:w="2122" w:type="dxa"/>
            <w:tcBorders>
              <w:top w:val="single" w:sz="4" w:space="0" w:color="auto"/>
              <w:left w:val="single" w:sz="4" w:space="0" w:color="auto"/>
              <w:bottom w:val="single" w:sz="4" w:space="0" w:color="auto"/>
              <w:right w:val="single" w:sz="4" w:space="0" w:color="auto"/>
            </w:tcBorders>
            <w:hideMark/>
          </w:tcPr>
          <w:p w14:paraId="636B012A" w14:textId="77777777" w:rsidR="001C6989" w:rsidRDefault="001C6989" w:rsidP="00F47C06">
            <w:pPr>
              <w:pStyle w:val="TableText-Left"/>
            </w:pPr>
            <w:r>
              <w:t>Response Manager</w:t>
            </w:r>
          </w:p>
        </w:tc>
        <w:tc>
          <w:tcPr>
            <w:tcW w:w="7500" w:type="dxa"/>
            <w:tcBorders>
              <w:top w:val="single" w:sz="4" w:space="0" w:color="auto"/>
              <w:left w:val="single" w:sz="4" w:space="0" w:color="auto"/>
              <w:bottom w:val="single" w:sz="4" w:space="0" w:color="auto"/>
              <w:right w:val="single" w:sz="4" w:space="0" w:color="auto"/>
            </w:tcBorders>
            <w:hideMark/>
          </w:tcPr>
          <w:p w14:paraId="1B188FE3" w14:textId="77777777" w:rsidR="001C6989" w:rsidRDefault="001C6989" w:rsidP="00F47C06">
            <w:pPr>
              <w:pStyle w:val="TableText-Left"/>
            </w:pPr>
            <w:r>
              <w:t>Responsible for any messages that need to be sent outside CSS. The Response Manager prepares the necessary transformations of the messages plus any wrappers needed to define which message needs to go to which external party. Response Manager can define messages depending on the business processes and requirements, then transforms the messages based on Security and Interfaces requirements.</w:t>
            </w:r>
          </w:p>
        </w:tc>
      </w:tr>
    </w:tbl>
    <w:p w14:paraId="04624364" w14:textId="77777777" w:rsidR="001C6989" w:rsidRDefault="001C6989" w:rsidP="001C6989">
      <w:pPr>
        <w:pStyle w:val="Paragrapgh"/>
      </w:pPr>
      <w:r>
        <w:t>Other CSS functionality includes:</w:t>
      </w:r>
    </w:p>
    <w:tbl>
      <w:tblPr>
        <w:tblStyle w:val="TableGrid"/>
        <w:tblW w:w="0" w:type="auto"/>
        <w:tblLook w:val="04A0" w:firstRow="1" w:lastRow="0" w:firstColumn="1" w:lastColumn="0" w:noHBand="0" w:noVBand="1"/>
      </w:tblPr>
      <w:tblGrid>
        <w:gridCol w:w="2122"/>
        <w:gridCol w:w="7500"/>
      </w:tblGrid>
      <w:tr w:rsidR="001C6989" w14:paraId="4214D8EF" w14:textId="77777777" w:rsidTr="00F47C06">
        <w:tc>
          <w:tcPr>
            <w:tcW w:w="2122" w:type="dxa"/>
            <w:tcBorders>
              <w:top w:val="single" w:sz="4" w:space="0" w:color="auto"/>
              <w:left w:val="single" w:sz="4" w:space="0" w:color="auto"/>
              <w:bottom w:val="single" w:sz="4" w:space="0" w:color="auto"/>
              <w:right w:val="single" w:sz="4" w:space="0" w:color="auto"/>
            </w:tcBorders>
            <w:hideMark/>
          </w:tcPr>
          <w:p w14:paraId="48BFF366" w14:textId="77777777" w:rsidR="001C6989" w:rsidRDefault="001C6989" w:rsidP="00F47C06">
            <w:pPr>
              <w:pStyle w:val="TableText-Left"/>
            </w:pPr>
            <w:r>
              <w:t>External Interfaces and Security</w:t>
            </w:r>
          </w:p>
        </w:tc>
        <w:tc>
          <w:tcPr>
            <w:tcW w:w="7500" w:type="dxa"/>
            <w:tcBorders>
              <w:top w:val="single" w:sz="4" w:space="0" w:color="auto"/>
              <w:left w:val="single" w:sz="4" w:space="0" w:color="auto"/>
              <w:bottom w:val="single" w:sz="4" w:space="0" w:color="auto"/>
              <w:right w:val="single" w:sz="4" w:space="0" w:color="auto"/>
            </w:tcBorders>
            <w:hideMark/>
          </w:tcPr>
          <w:p w14:paraId="06E96002" w14:textId="77777777" w:rsidR="001C6989" w:rsidRDefault="001C6989" w:rsidP="00F47C06">
            <w:pPr>
              <w:pStyle w:val="TableText-Left"/>
            </w:pPr>
            <w:r>
              <w:t>CSS provides external interfaces to external parties, which will be secured by the appropriate security controls set out in the CSS security requirements. These interfaces act as a bridging point between CSS and external services.</w:t>
            </w:r>
          </w:p>
        </w:tc>
      </w:tr>
      <w:tr w:rsidR="001C6989" w14:paraId="6AAFD8F2" w14:textId="77777777" w:rsidTr="00F47C06">
        <w:tc>
          <w:tcPr>
            <w:tcW w:w="2122" w:type="dxa"/>
            <w:tcBorders>
              <w:top w:val="single" w:sz="4" w:space="0" w:color="auto"/>
              <w:left w:val="single" w:sz="4" w:space="0" w:color="auto"/>
              <w:bottom w:val="single" w:sz="4" w:space="0" w:color="auto"/>
              <w:right w:val="single" w:sz="4" w:space="0" w:color="auto"/>
            </w:tcBorders>
            <w:hideMark/>
          </w:tcPr>
          <w:p w14:paraId="34D3291C" w14:textId="77777777" w:rsidR="001C6989" w:rsidRDefault="001C6989" w:rsidP="00F47C06">
            <w:pPr>
              <w:pStyle w:val="TableText-Left"/>
            </w:pPr>
            <w:r>
              <w:t>Business Process Execution Layer and Business Rules Engine</w:t>
            </w:r>
          </w:p>
        </w:tc>
        <w:tc>
          <w:tcPr>
            <w:tcW w:w="7500" w:type="dxa"/>
            <w:tcBorders>
              <w:top w:val="single" w:sz="4" w:space="0" w:color="auto"/>
              <w:left w:val="single" w:sz="4" w:space="0" w:color="auto"/>
              <w:bottom w:val="single" w:sz="4" w:space="0" w:color="auto"/>
              <w:right w:val="single" w:sz="4" w:space="0" w:color="auto"/>
            </w:tcBorders>
            <w:hideMark/>
          </w:tcPr>
          <w:p w14:paraId="23DCDA4F" w14:textId="77777777" w:rsidR="001C6989" w:rsidRDefault="001C6989" w:rsidP="00F47C06">
            <w:pPr>
              <w:pStyle w:val="TableText-Left"/>
            </w:pPr>
            <w:r>
              <w:t>Is used for modelling and orchestrating the behaviour of business processes using web-service interactions (e.g. the inter-service interfaces within the E2E solution). Business Rules are used to define what actions can be taken at any point in a process flow, and the constraints which apply to them.</w:t>
            </w:r>
          </w:p>
        </w:tc>
      </w:tr>
      <w:tr w:rsidR="001C6989" w14:paraId="5E2E5E6A" w14:textId="77777777" w:rsidTr="00F47C06">
        <w:tc>
          <w:tcPr>
            <w:tcW w:w="2122" w:type="dxa"/>
            <w:tcBorders>
              <w:top w:val="single" w:sz="4" w:space="0" w:color="auto"/>
              <w:left w:val="single" w:sz="4" w:space="0" w:color="auto"/>
              <w:bottom w:val="single" w:sz="4" w:space="0" w:color="auto"/>
              <w:right w:val="single" w:sz="4" w:space="0" w:color="auto"/>
            </w:tcBorders>
            <w:hideMark/>
          </w:tcPr>
          <w:p w14:paraId="7722AA5B" w14:textId="77777777" w:rsidR="001C6989" w:rsidRDefault="001C6989" w:rsidP="00F47C06">
            <w:pPr>
              <w:pStyle w:val="TableText-Left"/>
            </w:pPr>
            <w:r>
              <w:t>Application Server and Database (DBMS)</w:t>
            </w:r>
          </w:p>
        </w:tc>
        <w:tc>
          <w:tcPr>
            <w:tcW w:w="7500" w:type="dxa"/>
            <w:tcBorders>
              <w:top w:val="single" w:sz="4" w:space="0" w:color="auto"/>
              <w:left w:val="single" w:sz="4" w:space="0" w:color="auto"/>
              <w:bottom w:val="single" w:sz="4" w:space="0" w:color="auto"/>
              <w:right w:val="single" w:sz="4" w:space="0" w:color="auto"/>
            </w:tcBorders>
            <w:hideMark/>
          </w:tcPr>
          <w:p w14:paraId="07EE5B39" w14:textId="77777777" w:rsidR="001C6989" w:rsidRDefault="001C6989" w:rsidP="00F47C06">
            <w:pPr>
              <w:pStyle w:val="TableText-Left"/>
            </w:pPr>
            <w:r>
              <w:t>The database(s) hold information including suppliers, premises, and meters, with processing facilitated by the application servers.</w:t>
            </w:r>
          </w:p>
        </w:tc>
      </w:tr>
    </w:tbl>
    <w:p w14:paraId="33E8F801" w14:textId="0473FF00" w:rsidR="001C6989" w:rsidRDefault="001C6989" w:rsidP="001C6989">
      <w:pPr>
        <w:pStyle w:val="Heading3"/>
        <w:keepNext/>
        <w:tabs>
          <w:tab w:val="num" w:pos="848"/>
        </w:tabs>
        <w:spacing w:before="360" w:after="120"/>
        <w:ind w:left="848" w:hanging="848"/>
      </w:pPr>
      <w:bookmarkStart w:id="207" w:name="_Toc9934771"/>
      <w:r>
        <w:t>CSS and Address Service</w:t>
      </w:r>
      <w:bookmarkEnd w:id="207"/>
    </w:p>
    <w:p w14:paraId="0B7EFCA2" w14:textId="473F7AE7" w:rsidR="001C6989" w:rsidRDefault="001C6989" w:rsidP="001C6989">
      <w:pPr>
        <w:pStyle w:val="Paragrapgh"/>
      </w:pPr>
      <w:r>
        <w:t>The following diagram illustrates at a high level the distinction between CSS and the Address Service functions and the relationship between the Address Service and gazetteer services, which will act as the primary source of GB geographical data.</w:t>
      </w:r>
      <w:r w:rsidR="00D17C83">
        <w:t xml:space="preserve"> </w:t>
      </w:r>
      <w:r>
        <w:t xml:space="preserve">The </w:t>
      </w:r>
      <w:r w:rsidR="00D17C83">
        <w:t>gazetteer</w:t>
      </w:r>
      <w:r>
        <w:t xml:space="preserve"> services used will depend on the Address Service solution selected.</w:t>
      </w:r>
    </w:p>
    <w:p w14:paraId="21AE8428" w14:textId="77777777" w:rsidR="001C6989" w:rsidRDefault="001C6989" w:rsidP="001C6989">
      <w:pPr>
        <w:pStyle w:val="BodyTextNormal"/>
        <w:keepNext/>
      </w:pPr>
    </w:p>
    <w:p w14:paraId="3F10B9F0" w14:textId="52285C9B" w:rsidR="001C6989" w:rsidRDefault="001C6989" w:rsidP="001C6989">
      <w:pPr>
        <w:pStyle w:val="BodyTextNormal"/>
        <w:keepNext/>
      </w:pPr>
      <w:r w:rsidRPr="00FD11D7">
        <w:rPr>
          <w:noProof/>
          <w:lang w:eastAsia="en-GB"/>
        </w:rPr>
        <w:drawing>
          <wp:inline distT="0" distB="0" distL="0" distR="0" wp14:anchorId="2239EAE1" wp14:editId="22F48950">
            <wp:extent cx="6184900" cy="3812453"/>
            <wp:effectExtent l="0" t="0" r="635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84900" cy="3812453"/>
                    </a:xfrm>
                    <a:prstGeom prst="rect">
                      <a:avLst/>
                    </a:prstGeom>
                    <a:noFill/>
                    <a:ln>
                      <a:noFill/>
                    </a:ln>
                  </pic:spPr>
                </pic:pic>
              </a:graphicData>
            </a:graphic>
          </wp:inline>
        </w:drawing>
      </w:r>
    </w:p>
    <w:p w14:paraId="7FBA09FF" w14:textId="0556BDAF" w:rsidR="001C6989" w:rsidRPr="00BF39EA" w:rsidRDefault="001C6989" w:rsidP="001C6989">
      <w:pPr>
        <w:pStyle w:val="Caption"/>
      </w:pPr>
      <w:r>
        <w:t xml:space="preserve">Figure </w:t>
      </w:r>
      <w:r w:rsidR="00112F53">
        <w:rPr>
          <w:noProof/>
        </w:rPr>
        <w:fldChar w:fldCharType="begin"/>
      </w:r>
      <w:r w:rsidR="00112F53">
        <w:rPr>
          <w:noProof/>
        </w:rPr>
        <w:instrText xml:space="preserve"> SEQ Figure \* ARABIC </w:instrText>
      </w:r>
      <w:r w:rsidR="00112F53">
        <w:rPr>
          <w:noProof/>
        </w:rPr>
        <w:fldChar w:fldCharType="separate"/>
      </w:r>
      <w:r w:rsidR="005D4843">
        <w:rPr>
          <w:noProof/>
        </w:rPr>
        <w:t>22</w:t>
      </w:r>
      <w:r w:rsidR="00112F53">
        <w:rPr>
          <w:noProof/>
        </w:rPr>
        <w:fldChar w:fldCharType="end"/>
      </w:r>
      <w:r>
        <w:t xml:space="preserve"> - Relationship Between CSS and Address Service</w:t>
      </w:r>
    </w:p>
    <w:p w14:paraId="5F49C0D8" w14:textId="77777777" w:rsidR="001F708C" w:rsidRDefault="001C6989" w:rsidP="001C6989">
      <w:pPr>
        <w:pStyle w:val="Paragrapgh"/>
      </w:pPr>
      <w:r w:rsidRPr="00FC0638">
        <w:rPr>
          <w:lang w:eastAsia="ja-JP"/>
        </w:rPr>
        <w:t>CSS master</w:t>
      </w:r>
      <w:r>
        <w:rPr>
          <w:lang w:eastAsia="ja-JP"/>
        </w:rPr>
        <w:t>s</w:t>
      </w:r>
      <w:r w:rsidRPr="00FC0638">
        <w:rPr>
          <w:lang w:eastAsia="ja-JP"/>
        </w:rPr>
        <w:t xml:space="preserve"> and maintain</w:t>
      </w:r>
      <w:r>
        <w:rPr>
          <w:lang w:eastAsia="ja-JP"/>
        </w:rPr>
        <w:t>s</w:t>
      </w:r>
      <w:r w:rsidRPr="00FC0638">
        <w:rPr>
          <w:lang w:eastAsia="ja-JP"/>
        </w:rPr>
        <w:t xml:space="preserve"> the Retail Energy Location (REL) Address.  </w:t>
      </w:r>
      <w:r>
        <w:t>The REL address will stem from the Meter Point Location (MPL) address provided by the network operator or an address provided by the supplier (manually entered into CSS).  In either case the address supplied will be matched – by means of the Address Service - to a list of standardised GB addresses.  This should maximise the probability of recording a legitimate REL address that the consumer will recognise.</w:t>
      </w:r>
    </w:p>
    <w:p w14:paraId="24194C5B" w14:textId="2327DBB2" w:rsidR="001C6989" w:rsidRDefault="001C6989" w:rsidP="001C6989">
      <w:pPr>
        <w:pStyle w:val="Paragrapgh"/>
        <w:rPr>
          <w:lang w:eastAsia="ja-JP"/>
        </w:rPr>
      </w:pPr>
      <w:r>
        <w:t>In some cases, the meter points are sited at a different location from the premises where energy is consumed.  The REL may be derived from the MPL or may be subject to an over-ride advised by a supplier (possibly based on customer feedback).  Customers are expected to specify the REL address when identifying the energy supply they wish to switch.  The REL  addresses for gas and electricity meter points supplying the same premises should be identical.</w:t>
      </w:r>
    </w:p>
    <w:p w14:paraId="469D1986" w14:textId="77777777" w:rsidR="009613EB" w:rsidRDefault="009613EB">
      <w:pPr>
        <w:rPr>
          <w:color w:val="365F91" w:themeColor="accent1" w:themeShade="BF"/>
          <w:sz w:val="40"/>
        </w:rPr>
      </w:pPr>
      <w:bookmarkStart w:id="208" w:name="_Toc505257258"/>
      <w:bookmarkStart w:id="209" w:name="_Toc505689986"/>
      <w:r>
        <w:br w:type="page"/>
      </w:r>
    </w:p>
    <w:p w14:paraId="5988CC59" w14:textId="336A0321" w:rsidR="00A45CFA" w:rsidRDefault="00C00E69" w:rsidP="002C69BF">
      <w:pPr>
        <w:pStyle w:val="Heading1"/>
      </w:pPr>
      <w:bookmarkStart w:id="210" w:name="_Toc9934772"/>
      <w:r w:rsidRPr="00F94AF9">
        <w:t>Appendix</w:t>
      </w:r>
      <w:r w:rsidR="00A45CFA" w:rsidRPr="00F94AF9">
        <w:t xml:space="preserve"> 1 </w:t>
      </w:r>
      <w:r w:rsidR="00C92059">
        <w:t>–</w:t>
      </w:r>
      <w:bookmarkEnd w:id="197"/>
      <w:bookmarkEnd w:id="198"/>
      <w:bookmarkEnd w:id="199"/>
      <w:bookmarkEnd w:id="200"/>
      <w:bookmarkEnd w:id="201"/>
      <w:r w:rsidR="00F77133">
        <w:t xml:space="preserve"> </w:t>
      </w:r>
      <w:r w:rsidR="00BB56BD">
        <w:t>Glossary</w:t>
      </w:r>
      <w:bookmarkEnd w:id="208"/>
      <w:bookmarkEnd w:id="209"/>
      <w:bookmarkEnd w:id="210"/>
    </w:p>
    <w:tbl>
      <w:tblPr>
        <w:tblW w:w="5000" w:type="pct"/>
        <w:tblBorders>
          <w:top w:val="single" w:sz="8" w:space="0" w:color="000000"/>
          <w:left w:val="single" w:sz="8" w:space="0" w:color="000000"/>
          <w:bottom w:val="single" w:sz="8" w:space="0" w:color="000000"/>
          <w:right w:val="single" w:sz="8" w:space="0" w:color="000000"/>
        </w:tblBorders>
        <w:tblLook w:val="0000" w:firstRow="0" w:lastRow="0" w:firstColumn="0" w:lastColumn="0" w:noHBand="0" w:noVBand="0"/>
      </w:tblPr>
      <w:tblGrid>
        <w:gridCol w:w="2665"/>
        <w:gridCol w:w="7055"/>
      </w:tblGrid>
      <w:tr w:rsidR="0034611C" w:rsidRPr="007E1998" w14:paraId="36819DFE" w14:textId="77777777" w:rsidTr="00673E56">
        <w:trPr>
          <w:trHeight w:val="131"/>
          <w:tblHeader/>
        </w:trPr>
        <w:tc>
          <w:tcPr>
            <w:tcW w:w="1371" w:type="pct"/>
            <w:tcBorders>
              <w:top w:val="single" w:sz="8" w:space="0" w:color="000000"/>
              <w:bottom w:val="single" w:sz="8" w:space="0" w:color="000000"/>
              <w:right w:val="single" w:sz="8" w:space="0" w:color="000000"/>
            </w:tcBorders>
            <w:shd w:val="clear" w:color="auto" w:fill="A6A6A6" w:themeFill="background1" w:themeFillShade="A6"/>
          </w:tcPr>
          <w:p w14:paraId="38F698D1" w14:textId="77777777" w:rsidR="0034611C" w:rsidRPr="007E1998" w:rsidRDefault="0034611C" w:rsidP="00673E56">
            <w:pPr>
              <w:pStyle w:val="TableHeadings"/>
            </w:pPr>
            <w:r w:rsidRPr="007E1998">
              <w:t xml:space="preserve">Acronym / Term </w:t>
            </w:r>
          </w:p>
        </w:tc>
        <w:tc>
          <w:tcPr>
            <w:tcW w:w="3629" w:type="pct"/>
            <w:tcBorders>
              <w:top w:val="single" w:sz="8" w:space="0" w:color="000000"/>
              <w:left w:val="single" w:sz="8" w:space="0" w:color="000000"/>
              <w:bottom w:val="single" w:sz="8" w:space="0" w:color="000000"/>
            </w:tcBorders>
            <w:shd w:val="clear" w:color="auto" w:fill="A6A6A6" w:themeFill="background1" w:themeFillShade="A6"/>
          </w:tcPr>
          <w:p w14:paraId="675156F3" w14:textId="77777777" w:rsidR="0034611C" w:rsidRPr="007E1998" w:rsidRDefault="0034611C" w:rsidP="00673E56">
            <w:pPr>
              <w:pStyle w:val="TableHeadings"/>
            </w:pPr>
            <w:r w:rsidRPr="007E1998">
              <w:t>Definition</w:t>
            </w:r>
          </w:p>
        </w:tc>
      </w:tr>
      <w:tr w:rsidR="0034611C" w:rsidRPr="009B564E" w14:paraId="05FAC19E" w14:textId="77777777" w:rsidTr="00673E56">
        <w:trPr>
          <w:trHeight w:val="131"/>
        </w:trPr>
        <w:tc>
          <w:tcPr>
            <w:tcW w:w="1371" w:type="pct"/>
            <w:tcBorders>
              <w:top w:val="single" w:sz="8" w:space="0" w:color="000000"/>
              <w:bottom w:val="single" w:sz="8" w:space="0" w:color="000000"/>
              <w:right w:val="single" w:sz="8" w:space="0" w:color="000000"/>
            </w:tcBorders>
          </w:tcPr>
          <w:p w14:paraId="2596DA77" w14:textId="77777777" w:rsidR="0034611C" w:rsidRPr="009B564E" w:rsidRDefault="0034611C" w:rsidP="00673E56">
            <w:pPr>
              <w:pStyle w:val="TableText-Left"/>
            </w:pPr>
            <w:r w:rsidRPr="009B564E">
              <w:t xml:space="preserve">API </w:t>
            </w:r>
          </w:p>
        </w:tc>
        <w:tc>
          <w:tcPr>
            <w:tcW w:w="3629" w:type="pct"/>
            <w:tcBorders>
              <w:top w:val="single" w:sz="8" w:space="0" w:color="000000"/>
              <w:left w:val="single" w:sz="8" w:space="0" w:color="000000"/>
              <w:bottom w:val="single" w:sz="8" w:space="0" w:color="000000"/>
            </w:tcBorders>
          </w:tcPr>
          <w:p w14:paraId="2747BBC2" w14:textId="77777777" w:rsidR="0034611C" w:rsidRPr="009B564E" w:rsidRDefault="0034611C" w:rsidP="00673E56">
            <w:pPr>
              <w:pStyle w:val="TableText-Left"/>
            </w:pPr>
            <w:r w:rsidRPr="009B564E">
              <w:t xml:space="preserve">Application Program Interface </w:t>
            </w:r>
          </w:p>
        </w:tc>
      </w:tr>
      <w:tr w:rsidR="0034611C" w:rsidRPr="009B564E" w14:paraId="14298367" w14:textId="77777777" w:rsidTr="00673E56">
        <w:trPr>
          <w:trHeight w:val="131"/>
        </w:trPr>
        <w:tc>
          <w:tcPr>
            <w:tcW w:w="1371" w:type="pct"/>
            <w:tcBorders>
              <w:top w:val="single" w:sz="8" w:space="0" w:color="000000"/>
              <w:bottom w:val="single" w:sz="8" w:space="0" w:color="000000"/>
              <w:right w:val="single" w:sz="8" w:space="0" w:color="000000"/>
            </w:tcBorders>
          </w:tcPr>
          <w:p w14:paraId="6D8842C3" w14:textId="0C47AF36" w:rsidR="0034611C" w:rsidRPr="009B564E" w:rsidRDefault="0034611C" w:rsidP="00673E56">
            <w:pPr>
              <w:pStyle w:val="TableText-Left"/>
            </w:pPr>
            <w:r w:rsidRPr="009B564E">
              <w:t>CSS</w:t>
            </w:r>
          </w:p>
        </w:tc>
        <w:tc>
          <w:tcPr>
            <w:tcW w:w="3629" w:type="pct"/>
            <w:tcBorders>
              <w:top w:val="single" w:sz="8" w:space="0" w:color="000000"/>
              <w:left w:val="single" w:sz="8" w:space="0" w:color="000000"/>
              <w:bottom w:val="single" w:sz="8" w:space="0" w:color="000000"/>
            </w:tcBorders>
          </w:tcPr>
          <w:p w14:paraId="1F763059" w14:textId="2B9D4941" w:rsidR="0034611C" w:rsidRPr="009B564E" w:rsidRDefault="0034611C" w:rsidP="00673E56">
            <w:pPr>
              <w:pStyle w:val="TableText-Left"/>
            </w:pPr>
            <w:r>
              <w:t>Central Switching Service</w:t>
            </w:r>
          </w:p>
        </w:tc>
      </w:tr>
      <w:tr w:rsidR="0034611C" w:rsidRPr="009B564E" w14:paraId="61EB6E98" w14:textId="77777777" w:rsidTr="00673E56">
        <w:trPr>
          <w:trHeight w:val="131"/>
        </w:trPr>
        <w:tc>
          <w:tcPr>
            <w:tcW w:w="1371" w:type="pct"/>
            <w:tcBorders>
              <w:top w:val="single" w:sz="8" w:space="0" w:color="000000"/>
              <w:bottom w:val="single" w:sz="8" w:space="0" w:color="000000"/>
              <w:right w:val="single" w:sz="8" w:space="0" w:color="000000"/>
            </w:tcBorders>
          </w:tcPr>
          <w:p w14:paraId="17A2BB52" w14:textId="77777777" w:rsidR="0034611C" w:rsidRPr="009B564E" w:rsidRDefault="0034611C" w:rsidP="00673E56">
            <w:pPr>
              <w:pStyle w:val="TableText-Left"/>
            </w:pPr>
            <w:r w:rsidRPr="009B564E">
              <w:t>DBMS</w:t>
            </w:r>
          </w:p>
        </w:tc>
        <w:tc>
          <w:tcPr>
            <w:tcW w:w="3629" w:type="pct"/>
            <w:tcBorders>
              <w:top w:val="single" w:sz="8" w:space="0" w:color="000000"/>
              <w:left w:val="single" w:sz="8" w:space="0" w:color="000000"/>
              <w:bottom w:val="single" w:sz="8" w:space="0" w:color="000000"/>
            </w:tcBorders>
          </w:tcPr>
          <w:p w14:paraId="58F8F568" w14:textId="77777777" w:rsidR="0034611C" w:rsidRPr="009B564E" w:rsidRDefault="0034611C" w:rsidP="00673E56">
            <w:pPr>
              <w:pStyle w:val="TableText-Left"/>
            </w:pPr>
            <w:r w:rsidRPr="009B564E">
              <w:t xml:space="preserve">Database Management </w:t>
            </w:r>
            <w:r>
              <w:t>Service</w:t>
            </w:r>
          </w:p>
        </w:tc>
      </w:tr>
      <w:tr w:rsidR="0034611C" w:rsidRPr="009B564E" w14:paraId="1DC3313C" w14:textId="77777777" w:rsidTr="00673E56">
        <w:trPr>
          <w:trHeight w:val="131"/>
        </w:trPr>
        <w:tc>
          <w:tcPr>
            <w:tcW w:w="1371" w:type="pct"/>
            <w:tcBorders>
              <w:top w:val="single" w:sz="8" w:space="0" w:color="000000"/>
              <w:bottom w:val="single" w:sz="8" w:space="0" w:color="000000"/>
              <w:right w:val="single" w:sz="8" w:space="0" w:color="000000"/>
            </w:tcBorders>
          </w:tcPr>
          <w:p w14:paraId="1FFEB8ED" w14:textId="77777777" w:rsidR="0034611C" w:rsidRPr="009B564E" w:rsidRDefault="0034611C" w:rsidP="00673E56">
            <w:pPr>
              <w:pStyle w:val="TableText-Left"/>
            </w:pPr>
            <w:r>
              <w:t>E2E</w:t>
            </w:r>
          </w:p>
        </w:tc>
        <w:tc>
          <w:tcPr>
            <w:tcW w:w="3629" w:type="pct"/>
            <w:tcBorders>
              <w:top w:val="single" w:sz="8" w:space="0" w:color="000000"/>
              <w:left w:val="single" w:sz="8" w:space="0" w:color="000000"/>
              <w:bottom w:val="single" w:sz="8" w:space="0" w:color="000000"/>
            </w:tcBorders>
          </w:tcPr>
          <w:p w14:paraId="0A0931AB" w14:textId="77777777" w:rsidR="0034611C" w:rsidRPr="009B564E" w:rsidRDefault="0034611C" w:rsidP="00673E56">
            <w:pPr>
              <w:pStyle w:val="TableText-Left"/>
            </w:pPr>
            <w:r>
              <w:t>End-to-End</w:t>
            </w:r>
          </w:p>
        </w:tc>
      </w:tr>
      <w:tr w:rsidR="0034611C" w:rsidRPr="009B564E" w14:paraId="4E0DA80F" w14:textId="77777777" w:rsidTr="00673E56">
        <w:trPr>
          <w:trHeight w:val="131"/>
        </w:trPr>
        <w:tc>
          <w:tcPr>
            <w:tcW w:w="1371" w:type="pct"/>
            <w:tcBorders>
              <w:top w:val="single" w:sz="8" w:space="0" w:color="000000"/>
              <w:left w:val="single" w:sz="8" w:space="0" w:color="000000"/>
              <w:bottom w:val="single" w:sz="8" w:space="0" w:color="000000"/>
              <w:right w:val="single" w:sz="8" w:space="0" w:color="000000"/>
            </w:tcBorders>
          </w:tcPr>
          <w:p w14:paraId="6AA7A9D8" w14:textId="77777777" w:rsidR="0034611C" w:rsidRDefault="0034611C" w:rsidP="00673E56">
            <w:pPr>
              <w:pStyle w:val="TableText-Left"/>
            </w:pPr>
            <w:r>
              <w:t>LDM</w:t>
            </w:r>
          </w:p>
        </w:tc>
        <w:tc>
          <w:tcPr>
            <w:tcW w:w="3629" w:type="pct"/>
            <w:tcBorders>
              <w:top w:val="single" w:sz="8" w:space="0" w:color="000000"/>
              <w:left w:val="single" w:sz="8" w:space="0" w:color="000000"/>
              <w:bottom w:val="single" w:sz="8" w:space="0" w:color="000000"/>
              <w:right w:val="single" w:sz="8" w:space="0" w:color="000000"/>
            </w:tcBorders>
          </w:tcPr>
          <w:p w14:paraId="3D2BA2B4" w14:textId="77777777" w:rsidR="0034611C" w:rsidRDefault="0034611C" w:rsidP="00673E56">
            <w:pPr>
              <w:pStyle w:val="TableText-Left"/>
            </w:pPr>
            <w:r>
              <w:t>Logical Data Model</w:t>
            </w:r>
          </w:p>
        </w:tc>
      </w:tr>
      <w:tr w:rsidR="006028A1" w:rsidRPr="009B564E" w14:paraId="7D49DB52" w14:textId="77777777" w:rsidTr="00673E56">
        <w:trPr>
          <w:trHeight w:val="131"/>
        </w:trPr>
        <w:tc>
          <w:tcPr>
            <w:tcW w:w="1371" w:type="pct"/>
            <w:tcBorders>
              <w:top w:val="single" w:sz="8" w:space="0" w:color="000000"/>
              <w:left w:val="single" w:sz="8" w:space="0" w:color="000000"/>
              <w:bottom w:val="single" w:sz="8" w:space="0" w:color="000000"/>
              <w:right w:val="single" w:sz="8" w:space="0" w:color="000000"/>
            </w:tcBorders>
          </w:tcPr>
          <w:p w14:paraId="412A7B69" w14:textId="156FDA0B" w:rsidR="006028A1" w:rsidRDefault="006028A1" w:rsidP="00673E56">
            <w:pPr>
              <w:pStyle w:val="TableText-Left"/>
            </w:pPr>
            <w:r>
              <w:t>LEN</w:t>
            </w:r>
          </w:p>
        </w:tc>
        <w:tc>
          <w:tcPr>
            <w:tcW w:w="3629" w:type="pct"/>
            <w:tcBorders>
              <w:top w:val="single" w:sz="8" w:space="0" w:color="000000"/>
              <w:left w:val="single" w:sz="8" w:space="0" w:color="000000"/>
              <w:bottom w:val="single" w:sz="8" w:space="0" w:color="000000"/>
              <w:right w:val="single" w:sz="8" w:space="0" w:color="000000"/>
            </w:tcBorders>
          </w:tcPr>
          <w:p w14:paraId="15CD3A7F" w14:textId="7F0C9835" w:rsidR="006028A1" w:rsidRDefault="006028A1" w:rsidP="00673E56">
            <w:pPr>
              <w:pStyle w:val="TableText-Left"/>
            </w:pPr>
            <w:r>
              <w:t>Licence Exempt Networks</w:t>
            </w:r>
          </w:p>
        </w:tc>
      </w:tr>
      <w:tr w:rsidR="0034611C" w:rsidRPr="009B564E" w14:paraId="4031D5AE" w14:textId="77777777" w:rsidTr="00673E56">
        <w:trPr>
          <w:trHeight w:val="131"/>
        </w:trPr>
        <w:tc>
          <w:tcPr>
            <w:tcW w:w="1371" w:type="pct"/>
            <w:tcBorders>
              <w:top w:val="single" w:sz="8" w:space="0" w:color="000000"/>
              <w:left w:val="single" w:sz="8" w:space="0" w:color="000000"/>
              <w:bottom w:val="single" w:sz="8" w:space="0" w:color="000000"/>
              <w:right w:val="single" w:sz="8" w:space="0" w:color="000000"/>
            </w:tcBorders>
          </w:tcPr>
          <w:p w14:paraId="4ECAFC8D" w14:textId="77777777" w:rsidR="0034611C" w:rsidRPr="00E05085" w:rsidRDefault="0034611C" w:rsidP="00673E56">
            <w:pPr>
              <w:pStyle w:val="TableText-Left"/>
            </w:pPr>
            <w:r>
              <w:t>N/A</w:t>
            </w:r>
          </w:p>
        </w:tc>
        <w:tc>
          <w:tcPr>
            <w:tcW w:w="3629" w:type="pct"/>
            <w:tcBorders>
              <w:top w:val="single" w:sz="8" w:space="0" w:color="000000"/>
              <w:left w:val="single" w:sz="8" w:space="0" w:color="000000"/>
              <w:bottom w:val="single" w:sz="8" w:space="0" w:color="000000"/>
              <w:right w:val="single" w:sz="8" w:space="0" w:color="000000"/>
            </w:tcBorders>
          </w:tcPr>
          <w:p w14:paraId="5C478E7A" w14:textId="77777777" w:rsidR="0034611C" w:rsidRPr="00E05085" w:rsidRDefault="0034611C" w:rsidP="00673E56">
            <w:pPr>
              <w:pStyle w:val="TableText-Left"/>
            </w:pPr>
            <w:r>
              <w:t>Not Applicable</w:t>
            </w:r>
          </w:p>
        </w:tc>
      </w:tr>
      <w:tr w:rsidR="0034611C" w:rsidRPr="009B564E" w14:paraId="38444C4B" w14:textId="77777777" w:rsidTr="00673E56">
        <w:trPr>
          <w:trHeight w:val="131"/>
        </w:trPr>
        <w:tc>
          <w:tcPr>
            <w:tcW w:w="1371" w:type="pct"/>
            <w:tcBorders>
              <w:top w:val="single" w:sz="8" w:space="0" w:color="000000"/>
              <w:left w:val="single" w:sz="8" w:space="0" w:color="000000"/>
              <w:bottom w:val="single" w:sz="8" w:space="0" w:color="000000"/>
              <w:right w:val="single" w:sz="8" w:space="0" w:color="000000"/>
            </w:tcBorders>
          </w:tcPr>
          <w:p w14:paraId="52DF5B9C" w14:textId="77777777" w:rsidR="0034611C" w:rsidRPr="00E05085" w:rsidRDefault="0034611C" w:rsidP="00673E56">
            <w:pPr>
              <w:pStyle w:val="TableText-Left"/>
            </w:pPr>
            <w:r>
              <w:t>NFR</w:t>
            </w:r>
          </w:p>
        </w:tc>
        <w:tc>
          <w:tcPr>
            <w:tcW w:w="3629" w:type="pct"/>
            <w:tcBorders>
              <w:top w:val="single" w:sz="8" w:space="0" w:color="000000"/>
              <w:left w:val="single" w:sz="8" w:space="0" w:color="000000"/>
              <w:bottom w:val="single" w:sz="8" w:space="0" w:color="000000"/>
              <w:right w:val="single" w:sz="8" w:space="0" w:color="000000"/>
            </w:tcBorders>
          </w:tcPr>
          <w:p w14:paraId="5DCA62FC" w14:textId="77777777" w:rsidR="0034611C" w:rsidRPr="00E05085" w:rsidRDefault="0034611C" w:rsidP="00673E56">
            <w:pPr>
              <w:pStyle w:val="TableText-Left"/>
            </w:pPr>
            <w:r>
              <w:t>Non-Functional Requirements</w:t>
            </w:r>
          </w:p>
        </w:tc>
      </w:tr>
      <w:tr w:rsidR="0034611C" w:rsidRPr="009B564E" w14:paraId="335D00A8" w14:textId="77777777" w:rsidTr="00673E56">
        <w:trPr>
          <w:trHeight w:val="131"/>
        </w:trPr>
        <w:tc>
          <w:tcPr>
            <w:tcW w:w="1371" w:type="pct"/>
            <w:tcBorders>
              <w:top w:val="single" w:sz="8" w:space="0" w:color="000000"/>
              <w:left w:val="single" w:sz="8" w:space="0" w:color="000000"/>
              <w:bottom w:val="single" w:sz="8" w:space="0" w:color="000000"/>
              <w:right w:val="single" w:sz="8" w:space="0" w:color="000000"/>
            </w:tcBorders>
          </w:tcPr>
          <w:p w14:paraId="5F35BB12" w14:textId="77777777" w:rsidR="0034611C" w:rsidRPr="00E05085" w:rsidRDefault="0034611C" w:rsidP="00673E56">
            <w:pPr>
              <w:pStyle w:val="TableText-Left"/>
            </w:pPr>
            <w:r w:rsidRPr="00E05085">
              <w:t>R</w:t>
            </w:r>
            <w:r>
              <w:t>DP</w:t>
            </w:r>
            <w:r w:rsidRPr="00E05085">
              <w:t xml:space="preserve"> </w:t>
            </w:r>
          </w:p>
        </w:tc>
        <w:tc>
          <w:tcPr>
            <w:tcW w:w="3629" w:type="pct"/>
            <w:tcBorders>
              <w:top w:val="single" w:sz="8" w:space="0" w:color="000000"/>
              <w:left w:val="single" w:sz="8" w:space="0" w:color="000000"/>
              <w:bottom w:val="single" w:sz="8" w:space="0" w:color="000000"/>
              <w:right w:val="single" w:sz="8" w:space="0" w:color="000000"/>
            </w:tcBorders>
          </w:tcPr>
          <w:p w14:paraId="2B569348" w14:textId="77777777" w:rsidR="0034611C" w:rsidRPr="00E05085" w:rsidRDefault="0034611C" w:rsidP="00673E56">
            <w:pPr>
              <w:pStyle w:val="TableText-Left"/>
            </w:pPr>
            <w:r>
              <w:t>Registration Data Provider</w:t>
            </w:r>
          </w:p>
        </w:tc>
      </w:tr>
      <w:tr w:rsidR="00370F11" w:rsidRPr="009B564E" w14:paraId="3745944F" w14:textId="77777777" w:rsidTr="00673E56">
        <w:trPr>
          <w:trHeight w:val="131"/>
        </w:trPr>
        <w:tc>
          <w:tcPr>
            <w:tcW w:w="1371" w:type="pct"/>
            <w:tcBorders>
              <w:top w:val="single" w:sz="8" w:space="0" w:color="000000"/>
              <w:left w:val="single" w:sz="8" w:space="0" w:color="000000"/>
              <w:bottom w:val="single" w:sz="8" w:space="0" w:color="000000"/>
              <w:right w:val="single" w:sz="8" w:space="0" w:color="000000"/>
            </w:tcBorders>
          </w:tcPr>
          <w:p w14:paraId="5928C123" w14:textId="03577657" w:rsidR="00370F11" w:rsidRDefault="00370F11" w:rsidP="00673E56">
            <w:pPr>
              <w:pStyle w:val="TableText-Left"/>
            </w:pPr>
            <w:r>
              <w:t>RMP</w:t>
            </w:r>
          </w:p>
        </w:tc>
        <w:tc>
          <w:tcPr>
            <w:tcW w:w="3629" w:type="pct"/>
            <w:tcBorders>
              <w:top w:val="single" w:sz="8" w:space="0" w:color="000000"/>
              <w:left w:val="single" w:sz="8" w:space="0" w:color="000000"/>
              <w:bottom w:val="single" w:sz="8" w:space="0" w:color="000000"/>
              <w:right w:val="single" w:sz="8" w:space="0" w:color="000000"/>
            </w:tcBorders>
          </w:tcPr>
          <w:p w14:paraId="0B863901" w14:textId="78E4ECAB" w:rsidR="00370F11" w:rsidRDefault="00370F11" w:rsidP="00673E56">
            <w:pPr>
              <w:pStyle w:val="TableText-Left"/>
            </w:pPr>
            <w:r w:rsidRPr="009D4B11">
              <w:t>Registrable Measurement Point</w:t>
            </w:r>
          </w:p>
        </w:tc>
      </w:tr>
      <w:tr w:rsidR="0034611C" w:rsidRPr="009B564E" w14:paraId="449F6E99" w14:textId="77777777" w:rsidTr="00673E56">
        <w:trPr>
          <w:trHeight w:val="131"/>
        </w:trPr>
        <w:tc>
          <w:tcPr>
            <w:tcW w:w="1371" w:type="pct"/>
            <w:tcBorders>
              <w:top w:val="single" w:sz="8" w:space="0" w:color="000000"/>
              <w:left w:val="single" w:sz="8" w:space="0" w:color="000000"/>
              <w:bottom w:val="single" w:sz="8" w:space="0" w:color="000000"/>
              <w:right w:val="single" w:sz="8" w:space="0" w:color="000000"/>
            </w:tcBorders>
          </w:tcPr>
          <w:p w14:paraId="11EEFC29" w14:textId="48BFE008" w:rsidR="0034611C" w:rsidRPr="009B564E" w:rsidRDefault="0034611C" w:rsidP="00673E56">
            <w:pPr>
              <w:pStyle w:val="TableText-Left"/>
            </w:pPr>
            <w:r>
              <w:t>RP2a</w:t>
            </w:r>
          </w:p>
        </w:tc>
        <w:tc>
          <w:tcPr>
            <w:tcW w:w="3629" w:type="pct"/>
            <w:tcBorders>
              <w:top w:val="single" w:sz="8" w:space="0" w:color="000000"/>
              <w:left w:val="single" w:sz="8" w:space="0" w:color="000000"/>
              <w:bottom w:val="single" w:sz="8" w:space="0" w:color="000000"/>
              <w:right w:val="single" w:sz="8" w:space="0" w:color="000000"/>
            </w:tcBorders>
          </w:tcPr>
          <w:p w14:paraId="184C5D2E" w14:textId="71B3BD14" w:rsidR="0034611C" w:rsidRPr="009B564E" w:rsidRDefault="00783488" w:rsidP="00673E56">
            <w:pPr>
              <w:pStyle w:val="TableText-Left"/>
            </w:pPr>
            <w:r>
              <w:t xml:space="preserve">A version of </w:t>
            </w:r>
            <w:r w:rsidR="0034611C">
              <w:t>Reform Package 0 to 3, outlining options for the Switching Programme</w:t>
            </w:r>
          </w:p>
        </w:tc>
      </w:tr>
      <w:tr w:rsidR="0034611C" w:rsidRPr="009B564E" w14:paraId="13E12E3D" w14:textId="77777777" w:rsidTr="00673E56">
        <w:trPr>
          <w:trHeight w:val="131"/>
        </w:trPr>
        <w:tc>
          <w:tcPr>
            <w:tcW w:w="1371" w:type="pct"/>
            <w:tcBorders>
              <w:top w:val="single" w:sz="8" w:space="0" w:color="000000"/>
              <w:left w:val="single" w:sz="8" w:space="0" w:color="000000"/>
              <w:bottom w:val="single" w:sz="8" w:space="0" w:color="000000"/>
              <w:right w:val="single" w:sz="8" w:space="0" w:color="000000"/>
            </w:tcBorders>
          </w:tcPr>
          <w:p w14:paraId="71D89A44" w14:textId="77777777" w:rsidR="0034611C" w:rsidRDefault="0034611C" w:rsidP="00673E56">
            <w:pPr>
              <w:pStyle w:val="TableText-Left"/>
            </w:pPr>
            <w:r>
              <w:t>TCoS</w:t>
            </w:r>
          </w:p>
        </w:tc>
        <w:tc>
          <w:tcPr>
            <w:tcW w:w="3629" w:type="pct"/>
            <w:tcBorders>
              <w:top w:val="single" w:sz="8" w:space="0" w:color="000000"/>
              <w:left w:val="single" w:sz="8" w:space="0" w:color="000000"/>
              <w:bottom w:val="single" w:sz="8" w:space="0" w:color="000000"/>
              <w:right w:val="single" w:sz="8" w:space="0" w:color="000000"/>
            </w:tcBorders>
          </w:tcPr>
          <w:p w14:paraId="1DA31173" w14:textId="77777777" w:rsidR="0034611C" w:rsidRDefault="0034611C" w:rsidP="00673E56">
            <w:pPr>
              <w:pStyle w:val="TableText-Left"/>
            </w:pPr>
            <w:r>
              <w:t>Transitional Change of Supplier</w:t>
            </w:r>
          </w:p>
        </w:tc>
      </w:tr>
      <w:tr w:rsidR="0034611C" w:rsidRPr="009B564E" w14:paraId="04C3C18A" w14:textId="77777777" w:rsidTr="00673E56">
        <w:trPr>
          <w:trHeight w:val="131"/>
        </w:trPr>
        <w:tc>
          <w:tcPr>
            <w:tcW w:w="1371" w:type="pct"/>
            <w:tcBorders>
              <w:top w:val="single" w:sz="8" w:space="0" w:color="000000"/>
              <w:left w:val="single" w:sz="8" w:space="0" w:color="000000"/>
              <w:bottom w:val="single" w:sz="8" w:space="0" w:color="000000"/>
              <w:right w:val="single" w:sz="8" w:space="0" w:color="000000"/>
            </w:tcBorders>
          </w:tcPr>
          <w:p w14:paraId="40B79C3F" w14:textId="77777777" w:rsidR="0034611C" w:rsidRPr="009B564E" w:rsidRDefault="0034611C" w:rsidP="00673E56">
            <w:pPr>
              <w:pStyle w:val="TableText-Left"/>
            </w:pPr>
            <w:r>
              <w:t>TPIs</w:t>
            </w:r>
          </w:p>
        </w:tc>
        <w:tc>
          <w:tcPr>
            <w:tcW w:w="3629" w:type="pct"/>
            <w:tcBorders>
              <w:top w:val="single" w:sz="8" w:space="0" w:color="000000"/>
              <w:left w:val="single" w:sz="8" w:space="0" w:color="000000"/>
              <w:bottom w:val="single" w:sz="8" w:space="0" w:color="000000"/>
              <w:right w:val="single" w:sz="8" w:space="0" w:color="000000"/>
            </w:tcBorders>
          </w:tcPr>
          <w:p w14:paraId="5EF1FEAB" w14:textId="77777777" w:rsidR="0034611C" w:rsidRPr="009B564E" w:rsidRDefault="0034611C" w:rsidP="00673E56">
            <w:pPr>
              <w:pStyle w:val="TableText-Left"/>
            </w:pPr>
            <w:r w:rsidRPr="0022457C">
              <w:t>T</w:t>
            </w:r>
            <w:r>
              <w:t>hird Party Intermediaries</w:t>
            </w:r>
          </w:p>
        </w:tc>
      </w:tr>
      <w:tr w:rsidR="0034611C" w:rsidRPr="009B564E" w14:paraId="0A6A6A84" w14:textId="77777777" w:rsidTr="00673E56">
        <w:trPr>
          <w:trHeight w:val="131"/>
        </w:trPr>
        <w:tc>
          <w:tcPr>
            <w:tcW w:w="1371" w:type="pct"/>
            <w:tcBorders>
              <w:top w:val="single" w:sz="8" w:space="0" w:color="000000"/>
              <w:left w:val="single" w:sz="8" w:space="0" w:color="000000"/>
              <w:bottom w:val="single" w:sz="8" w:space="0" w:color="000000"/>
              <w:right w:val="single" w:sz="8" w:space="0" w:color="000000"/>
            </w:tcBorders>
          </w:tcPr>
          <w:p w14:paraId="5B51AB48" w14:textId="77777777" w:rsidR="0034611C" w:rsidRPr="009B564E" w:rsidRDefault="0034611C" w:rsidP="00673E56">
            <w:pPr>
              <w:pStyle w:val="TableText-Left"/>
            </w:pPr>
            <w:r>
              <w:t>XML</w:t>
            </w:r>
          </w:p>
        </w:tc>
        <w:tc>
          <w:tcPr>
            <w:tcW w:w="3629" w:type="pct"/>
            <w:tcBorders>
              <w:top w:val="single" w:sz="8" w:space="0" w:color="000000"/>
              <w:left w:val="single" w:sz="8" w:space="0" w:color="000000"/>
              <w:bottom w:val="single" w:sz="8" w:space="0" w:color="000000"/>
              <w:right w:val="single" w:sz="8" w:space="0" w:color="000000"/>
            </w:tcBorders>
          </w:tcPr>
          <w:p w14:paraId="6724D0C8" w14:textId="77777777" w:rsidR="0034611C" w:rsidRPr="009B564E" w:rsidRDefault="0034611C" w:rsidP="00673E56">
            <w:pPr>
              <w:pStyle w:val="TableText-Left"/>
            </w:pPr>
            <w:r>
              <w:t>eXtensible Markup Language</w:t>
            </w:r>
          </w:p>
        </w:tc>
      </w:tr>
    </w:tbl>
    <w:p w14:paraId="5FE34954" w14:textId="12B4F5DA" w:rsidR="00D656A5" w:rsidRDefault="00D656A5"/>
    <w:p w14:paraId="2D80F6DB" w14:textId="77777777" w:rsidR="00896677" w:rsidRPr="002D7B35" w:rsidRDefault="003D114B" w:rsidP="002D7B35">
      <w:pPr>
        <w:rPr>
          <w:rStyle w:val="Text-Bold"/>
        </w:rPr>
      </w:pPr>
      <w:r w:rsidRPr="002D7B35">
        <w:rPr>
          <w:rStyle w:val="Text-Bold"/>
        </w:rPr>
        <w:br w:type="page"/>
      </w:r>
    </w:p>
    <w:p w14:paraId="019BDDC9" w14:textId="77777777" w:rsidR="00F866C0" w:rsidRDefault="00F866C0" w:rsidP="00F866C0">
      <w:pPr>
        <w:pStyle w:val="Heading1"/>
        <w:sectPr w:rsidR="00F866C0" w:rsidSect="00A81986">
          <w:headerReference w:type="even" r:id="rId61"/>
          <w:headerReference w:type="default" r:id="rId62"/>
          <w:footerReference w:type="default" r:id="rId63"/>
          <w:headerReference w:type="first" r:id="rId64"/>
          <w:type w:val="continuous"/>
          <w:pgSz w:w="11900" w:h="16840" w:code="9"/>
          <w:pgMar w:top="1440" w:right="1080" w:bottom="1440" w:left="1080" w:header="340" w:footer="397" w:gutter="0"/>
          <w:cols w:space="708"/>
          <w:docGrid w:linePitch="299"/>
        </w:sectPr>
      </w:pPr>
      <w:bookmarkStart w:id="211" w:name="_Toc505257252"/>
      <w:bookmarkStart w:id="212" w:name="_Toc505689980"/>
      <w:bookmarkStart w:id="213" w:name="_Toc505257259"/>
      <w:bookmarkStart w:id="214" w:name="_Toc505689987"/>
      <w:bookmarkStart w:id="215" w:name="_Ref505790190"/>
    </w:p>
    <w:p w14:paraId="478AF325" w14:textId="7489E89F" w:rsidR="009B3A70" w:rsidRDefault="009B3A70" w:rsidP="009B3A70">
      <w:pPr>
        <w:pStyle w:val="Heading1"/>
      </w:pPr>
      <w:bookmarkStart w:id="216" w:name="_Toc9934773"/>
      <w:bookmarkStart w:id="217" w:name="_Ref9934881"/>
      <w:bookmarkEnd w:id="211"/>
      <w:bookmarkEnd w:id="212"/>
      <w:r>
        <w:t>Appendix</w:t>
      </w:r>
      <w:r w:rsidR="005453D4">
        <w:t xml:space="preserve"> </w:t>
      </w:r>
      <w:r w:rsidR="002D0FB5">
        <w:t xml:space="preserve">2 </w:t>
      </w:r>
      <w:r>
        <w:t>– Use of Switching Design Repository</w:t>
      </w:r>
      <w:bookmarkEnd w:id="213"/>
      <w:bookmarkEnd w:id="214"/>
      <w:bookmarkEnd w:id="215"/>
      <w:bookmarkEnd w:id="216"/>
      <w:bookmarkEnd w:id="217"/>
    </w:p>
    <w:p w14:paraId="389EA623" w14:textId="77777777" w:rsidR="009B3A70" w:rsidRPr="00B20ACD" w:rsidRDefault="009B3A70" w:rsidP="009613EB">
      <w:pPr>
        <w:pStyle w:val="Paragrapgh"/>
        <w:numPr>
          <w:ilvl w:val="0"/>
          <w:numId w:val="0"/>
        </w:numPr>
      </w:pPr>
      <w:r>
        <w:t>The attached slides provide an explanation of the content which can be found within the Switching Design Repository (</w:t>
      </w:r>
      <w:r w:rsidR="008D424D">
        <w:t>ABACUS</w:t>
      </w:r>
      <w:r>
        <w:t>), where to find it and how to navigate it.</w:t>
      </w:r>
    </w:p>
    <w:p w14:paraId="0EC50E60" w14:textId="77777777" w:rsidR="009B3A70" w:rsidRDefault="009B3A70" w:rsidP="009B3A70">
      <w:pPr>
        <w:pStyle w:val="BodyTextNormal"/>
      </w:pPr>
      <w:r>
        <w:object w:dxaOrig="1551" w:dyaOrig="1004" w14:anchorId="22C04100">
          <v:shape id="_x0000_i1026" type="#_x0000_t75" style="width:77pt;height:52pt" o:ole="">
            <v:imagedata r:id="rId65" o:title=""/>
          </v:shape>
          <o:OLEObject Type="Embed" ProgID="PowerPoint.Show.12" ShapeID="_x0000_i1026" DrawAspect="Icon" ObjectID="_1624089931" r:id="rId66"/>
        </w:object>
      </w:r>
    </w:p>
    <w:p w14:paraId="32B37ED8" w14:textId="31110A89" w:rsidR="00652C86" w:rsidRDefault="00652C86" w:rsidP="00652C86">
      <w:pPr>
        <w:pStyle w:val="Heading1"/>
      </w:pPr>
      <w:bookmarkStart w:id="218" w:name="_Toc505257260"/>
      <w:bookmarkStart w:id="219" w:name="_Toc505689988"/>
      <w:bookmarkStart w:id="220" w:name="_Ref505851190"/>
      <w:bookmarkStart w:id="221" w:name="_Toc9934774"/>
      <w:r w:rsidRPr="00A73411">
        <w:t xml:space="preserve">Appendix </w:t>
      </w:r>
      <w:r w:rsidR="002D0FB5">
        <w:t>3</w:t>
      </w:r>
      <w:r w:rsidR="002D0FB5" w:rsidRPr="00A73411">
        <w:t xml:space="preserve"> </w:t>
      </w:r>
      <w:r>
        <w:t>–</w:t>
      </w:r>
      <w:r w:rsidRPr="00A73411">
        <w:t xml:space="preserve"> </w:t>
      </w:r>
      <w:r>
        <w:t>Structure of the DES Service</w:t>
      </w:r>
      <w:bookmarkEnd w:id="218"/>
      <w:bookmarkEnd w:id="219"/>
      <w:bookmarkEnd w:id="220"/>
      <w:bookmarkEnd w:id="221"/>
    </w:p>
    <w:p w14:paraId="779753CA" w14:textId="18A5425E" w:rsidR="00652C86" w:rsidRPr="00652C86" w:rsidRDefault="00652C86" w:rsidP="009613EB">
      <w:pPr>
        <w:pStyle w:val="Paragrapgh"/>
        <w:numPr>
          <w:ilvl w:val="0"/>
          <w:numId w:val="0"/>
        </w:numPr>
      </w:pPr>
      <w:r>
        <w:t xml:space="preserve">UK Link is the </w:t>
      </w:r>
      <w:r w:rsidR="003D3FDC">
        <w:t>service</w:t>
      </w:r>
      <w:r>
        <w:t xml:space="preserve"> through which GTs, iGTs and Shippers interact to maintain (amongst other things) the supply point register. An extract from UK Link is taken to the SAP Business Warehouse (SAP BW), from where all data provision services are provided. This ensures that any data provision services cannot impact the performance of the core UK Link </w:t>
      </w:r>
      <w:r w:rsidR="003D3FDC">
        <w:t>service</w:t>
      </w:r>
      <w:r>
        <w:t>.</w:t>
      </w:r>
    </w:p>
    <w:p w14:paraId="6E8746F6" w14:textId="07280330" w:rsidR="00652C86" w:rsidRPr="00652C86" w:rsidRDefault="00652C86" w:rsidP="009613EB">
      <w:pPr>
        <w:pStyle w:val="Paragrapgh"/>
        <w:numPr>
          <w:ilvl w:val="0"/>
          <w:numId w:val="0"/>
        </w:numPr>
      </w:pPr>
      <w:r>
        <w:t xml:space="preserve">This is shown in the figure below which </w:t>
      </w:r>
      <w:r w:rsidRPr="00652C86">
        <w:t xml:space="preserve">depicts the flow of information to the Xoserve SAP BW </w:t>
      </w:r>
      <w:r w:rsidR="003D3FDC">
        <w:t>service</w:t>
      </w:r>
      <w:r w:rsidRPr="00652C86">
        <w:t xml:space="preserve"> which is utilised as the source for key data provisioning activities.</w:t>
      </w:r>
    </w:p>
    <w:p w14:paraId="6B2A4CDA" w14:textId="280FB95B" w:rsidR="00652C86" w:rsidRDefault="00652C86" w:rsidP="00652C86">
      <w:pPr>
        <w:pStyle w:val="ListParagraph"/>
        <w:ind w:left="0"/>
      </w:pPr>
      <w:r>
        <w:rPr>
          <w:noProof/>
          <w:lang w:eastAsia="en-GB"/>
        </w:rPr>
        <w:drawing>
          <wp:inline distT="0" distB="0" distL="0" distR="0" wp14:anchorId="5249E307" wp14:editId="787B2A39">
            <wp:extent cx="6390005" cy="28816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90005" cy="2881630"/>
                    </a:xfrm>
                    <a:prstGeom prst="rect">
                      <a:avLst/>
                    </a:prstGeom>
                    <a:noFill/>
                    <a:ln>
                      <a:noFill/>
                    </a:ln>
                  </pic:spPr>
                </pic:pic>
              </a:graphicData>
            </a:graphic>
          </wp:inline>
        </w:drawing>
      </w:r>
    </w:p>
    <w:p w14:paraId="0758D0B6" w14:textId="46E6E342" w:rsidR="009D22DE" w:rsidRPr="00A72CB6" w:rsidRDefault="009D22DE" w:rsidP="009D22DE">
      <w:pPr>
        <w:pStyle w:val="Caption"/>
      </w:pPr>
      <w:r w:rsidRPr="00A72CB6">
        <w:t xml:space="preserve">Figure </w:t>
      </w:r>
      <w:r w:rsidR="00112F53">
        <w:rPr>
          <w:noProof/>
        </w:rPr>
        <w:fldChar w:fldCharType="begin"/>
      </w:r>
      <w:r w:rsidR="00112F53">
        <w:rPr>
          <w:noProof/>
        </w:rPr>
        <w:instrText xml:space="preserve"> SEQ Figure \* ARABIC </w:instrText>
      </w:r>
      <w:r w:rsidR="00112F53">
        <w:rPr>
          <w:noProof/>
        </w:rPr>
        <w:fldChar w:fldCharType="separate"/>
      </w:r>
      <w:r w:rsidR="005D4843">
        <w:rPr>
          <w:noProof/>
        </w:rPr>
        <w:t>23</w:t>
      </w:r>
      <w:r w:rsidR="00112F53">
        <w:rPr>
          <w:noProof/>
        </w:rPr>
        <w:fldChar w:fldCharType="end"/>
      </w:r>
      <w:r w:rsidRPr="00A72CB6">
        <w:t xml:space="preserve"> – </w:t>
      </w:r>
      <w:r>
        <w:t>Information Flow for UK Link</w:t>
      </w:r>
    </w:p>
    <w:p w14:paraId="7BF9187C" w14:textId="77777777" w:rsidR="00652C86" w:rsidRPr="00652C86" w:rsidRDefault="00652C86" w:rsidP="009D22DE"/>
    <w:p w14:paraId="27C01A23" w14:textId="0851D94C" w:rsidR="009B3A70" w:rsidRDefault="009B3A70" w:rsidP="009B3A70">
      <w:pPr>
        <w:pStyle w:val="BodyTextNormal"/>
      </w:pPr>
    </w:p>
    <w:p w14:paraId="17BA31BD" w14:textId="77777777" w:rsidR="002B2CB7" w:rsidRDefault="002B2CB7" w:rsidP="009B3A70">
      <w:pPr>
        <w:pStyle w:val="BodyTextNormal"/>
      </w:pPr>
    </w:p>
    <w:sectPr w:rsidR="002B2CB7" w:rsidSect="00F866C0">
      <w:headerReference w:type="even" r:id="rId68"/>
      <w:headerReference w:type="default" r:id="rId69"/>
      <w:footerReference w:type="default" r:id="rId70"/>
      <w:headerReference w:type="first" r:id="rId71"/>
      <w:footerReference w:type="first" r:id="rId72"/>
      <w:pgSz w:w="11900" w:h="16840" w:code="9"/>
      <w:pgMar w:top="1440" w:right="1080" w:bottom="1440" w:left="1080" w:header="589"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433648" w14:textId="77777777" w:rsidR="008E4DF0" w:rsidRDefault="008E4DF0">
      <w:r>
        <w:separator/>
      </w:r>
    </w:p>
    <w:p w14:paraId="038642D3" w14:textId="77777777" w:rsidR="008E4DF0" w:rsidRDefault="008E4DF0"/>
    <w:p w14:paraId="50BE43E3" w14:textId="77777777" w:rsidR="008E4DF0" w:rsidRDefault="008E4DF0"/>
    <w:p w14:paraId="2E3F2DE3" w14:textId="77777777" w:rsidR="008E4DF0" w:rsidRDefault="008E4DF0"/>
    <w:p w14:paraId="48D02FD0" w14:textId="77777777" w:rsidR="008E4DF0" w:rsidRDefault="008E4DF0"/>
  </w:endnote>
  <w:endnote w:type="continuationSeparator" w:id="0">
    <w:p w14:paraId="6FD5320C" w14:textId="77777777" w:rsidR="008E4DF0" w:rsidRDefault="008E4DF0">
      <w:r>
        <w:continuationSeparator/>
      </w:r>
    </w:p>
    <w:p w14:paraId="60EDEBEC" w14:textId="77777777" w:rsidR="008E4DF0" w:rsidRDefault="008E4DF0"/>
    <w:p w14:paraId="2280966D" w14:textId="77777777" w:rsidR="008E4DF0" w:rsidRDefault="008E4DF0"/>
    <w:p w14:paraId="3A179755" w14:textId="77777777" w:rsidR="008E4DF0" w:rsidRDefault="008E4DF0"/>
    <w:p w14:paraId="36157983" w14:textId="77777777" w:rsidR="008E4DF0" w:rsidRDefault="008E4DF0"/>
  </w:endnote>
  <w:endnote w:type="continuationNotice" w:id="1">
    <w:p w14:paraId="5E82B2F8" w14:textId="77777777" w:rsidR="008E4DF0" w:rsidRDefault="008E4D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GOmega-Regular">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Template2"/>
      <w:tblW w:w="5000" w:type="pct"/>
      <w:tblBorders>
        <w:insideH w:val="none" w:sz="0" w:space="0" w:color="auto"/>
        <w:insideV w:val="none" w:sz="0" w:space="0" w:color="auto"/>
      </w:tblBorders>
      <w:tblLook w:val="0600" w:firstRow="0" w:lastRow="0" w:firstColumn="0" w:lastColumn="0" w:noHBand="1" w:noVBand="1"/>
    </w:tblPr>
    <w:tblGrid>
      <w:gridCol w:w="3248"/>
      <w:gridCol w:w="3247"/>
      <w:gridCol w:w="3245"/>
    </w:tblGrid>
    <w:tr w:rsidR="00B86EF8" w:rsidRPr="00CC5D65" w14:paraId="32F045D8" w14:textId="77777777" w:rsidTr="008009EC">
      <w:tc>
        <w:tcPr>
          <w:tcW w:w="1667" w:type="pct"/>
        </w:tcPr>
        <w:p w14:paraId="3E42B967" w14:textId="5D60A4CA" w:rsidR="00B86EF8" w:rsidRPr="00CC5D65" w:rsidRDefault="00B86EF8" w:rsidP="00CC42B7">
          <w:pPr>
            <w:pStyle w:val="Footer"/>
            <w:rPr>
              <w:i/>
              <w:szCs w:val="16"/>
            </w:rPr>
          </w:pPr>
          <w:r w:rsidRPr="00CC5D65">
            <w:rPr>
              <w:i/>
              <w:szCs w:val="16"/>
            </w:rPr>
            <w:fldChar w:fldCharType="begin"/>
          </w:r>
          <w:r w:rsidRPr="00CC5D65">
            <w:rPr>
              <w:i/>
              <w:szCs w:val="16"/>
            </w:rPr>
            <w:instrText xml:space="preserve"> FILENAME \* MERGEFORMAT </w:instrText>
          </w:r>
          <w:r w:rsidRPr="00CC5D65">
            <w:rPr>
              <w:i/>
              <w:szCs w:val="16"/>
            </w:rPr>
            <w:fldChar w:fldCharType="separate"/>
          </w:r>
          <w:r>
            <w:rPr>
              <w:i/>
              <w:noProof/>
              <w:szCs w:val="16"/>
            </w:rPr>
            <w:t>D-4.1.5 E2E SA - GM QA</w:t>
          </w:r>
          <w:r w:rsidRPr="00CC5D65">
            <w:rPr>
              <w:i/>
              <w:szCs w:val="16"/>
            </w:rPr>
            <w:fldChar w:fldCharType="end"/>
          </w:r>
        </w:p>
      </w:tc>
      <w:tc>
        <w:tcPr>
          <w:tcW w:w="1667" w:type="pct"/>
        </w:tcPr>
        <w:p w14:paraId="20CF6D07" w14:textId="77777777" w:rsidR="00B86EF8" w:rsidRPr="00CC5D65" w:rsidRDefault="00B86EF8" w:rsidP="00CC42B7">
          <w:pPr>
            <w:pStyle w:val="Footer"/>
            <w:jc w:val="center"/>
            <w:rPr>
              <w:i/>
              <w:szCs w:val="16"/>
            </w:rPr>
          </w:pPr>
        </w:p>
      </w:tc>
      <w:tc>
        <w:tcPr>
          <w:tcW w:w="1666" w:type="pct"/>
        </w:tcPr>
        <w:p w14:paraId="50965965" w14:textId="10FB7450" w:rsidR="00B86EF8" w:rsidRPr="00CC5D65" w:rsidRDefault="00123A06" w:rsidP="00CC42B7">
          <w:pPr>
            <w:pStyle w:val="Footer"/>
            <w:jc w:val="right"/>
            <w:rPr>
              <w:i/>
              <w:szCs w:val="16"/>
            </w:rPr>
          </w:pPr>
          <w:sdt>
            <w:sdtPr>
              <w:rPr>
                <w:i/>
                <w:szCs w:val="16"/>
              </w:rPr>
              <w:id w:val="-2082204663"/>
              <w:docPartObj>
                <w:docPartGallery w:val="Page Numbers (Top of Page)"/>
                <w:docPartUnique/>
              </w:docPartObj>
            </w:sdtPr>
            <w:sdtEndPr/>
            <w:sdtContent>
              <w:r w:rsidR="00B86EF8" w:rsidRPr="00CC5D65">
                <w:rPr>
                  <w:i/>
                  <w:szCs w:val="16"/>
                </w:rPr>
                <w:t xml:space="preserve">Page </w:t>
              </w:r>
              <w:r w:rsidR="00B86EF8" w:rsidRPr="00CC5D65">
                <w:rPr>
                  <w:bCs/>
                  <w:i/>
                  <w:szCs w:val="16"/>
                </w:rPr>
                <w:fldChar w:fldCharType="begin"/>
              </w:r>
              <w:r w:rsidR="00B86EF8" w:rsidRPr="00CC5D65">
                <w:rPr>
                  <w:bCs/>
                  <w:i/>
                  <w:szCs w:val="16"/>
                </w:rPr>
                <w:instrText xml:space="preserve"> PAGE </w:instrText>
              </w:r>
              <w:r w:rsidR="00B86EF8" w:rsidRPr="00CC5D65">
                <w:rPr>
                  <w:bCs/>
                  <w:i/>
                  <w:szCs w:val="16"/>
                </w:rPr>
                <w:fldChar w:fldCharType="separate"/>
              </w:r>
              <w:r w:rsidR="00B86EF8">
                <w:rPr>
                  <w:bCs/>
                  <w:i/>
                  <w:noProof/>
                  <w:szCs w:val="16"/>
                </w:rPr>
                <w:t>21</w:t>
              </w:r>
              <w:r w:rsidR="00B86EF8" w:rsidRPr="00CC5D65">
                <w:rPr>
                  <w:bCs/>
                  <w:i/>
                  <w:szCs w:val="16"/>
                </w:rPr>
                <w:fldChar w:fldCharType="end"/>
              </w:r>
              <w:r w:rsidR="00B86EF8" w:rsidRPr="00CC5D65">
                <w:rPr>
                  <w:i/>
                  <w:szCs w:val="16"/>
                </w:rPr>
                <w:t xml:space="preserve"> of </w:t>
              </w:r>
              <w:r w:rsidR="00B86EF8" w:rsidRPr="00CC5D65">
                <w:rPr>
                  <w:bCs/>
                  <w:i/>
                  <w:szCs w:val="16"/>
                </w:rPr>
                <w:fldChar w:fldCharType="begin"/>
              </w:r>
              <w:r w:rsidR="00B86EF8" w:rsidRPr="00CC5D65">
                <w:rPr>
                  <w:bCs/>
                  <w:i/>
                  <w:szCs w:val="16"/>
                </w:rPr>
                <w:instrText xml:space="preserve"> NUMPAGES  </w:instrText>
              </w:r>
              <w:r w:rsidR="00B86EF8" w:rsidRPr="00CC5D65">
                <w:rPr>
                  <w:bCs/>
                  <w:i/>
                  <w:szCs w:val="16"/>
                </w:rPr>
                <w:fldChar w:fldCharType="separate"/>
              </w:r>
              <w:r w:rsidR="00B86EF8">
                <w:rPr>
                  <w:bCs/>
                  <w:i/>
                  <w:noProof/>
                  <w:szCs w:val="16"/>
                </w:rPr>
                <w:t>2</w:t>
              </w:r>
              <w:r w:rsidR="00B86EF8" w:rsidRPr="00CC5D65">
                <w:rPr>
                  <w:bCs/>
                  <w:i/>
                  <w:szCs w:val="16"/>
                </w:rPr>
                <w:fldChar w:fldCharType="end"/>
              </w:r>
            </w:sdtContent>
          </w:sdt>
        </w:p>
      </w:tc>
    </w:tr>
  </w:tbl>
  <w:p w14:paraId="46B43441" w14:textId="77777777" w:rsidR="00B86EF8" w:rsidRPr="00CC42B7" w:rsidRDefault="00B86EF8" w:rsidP="00CC42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42974" w14:textId="77777777" w:rsidR="00123A06" w:rsidRDefault="00123A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0B5CED" w14:textId="77777777" w:rsidR="00123A06" w:rsidRDefault="00123A0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C76C6" w14:textId="77777777" w:rsidR="00B86EF8" w:rsidRDefault="00B86EF8" w:rsidP="00A54049">
    <w:pPr>
      <w:pStyle w:val="Footer"/>
      <w:tabs>
        <w:tab w:val="left" w:pos="904"/>
      </w:tabs>
    </w:pPr>
  </w:p>
  <w:tbl>
    <w:tblPr>
      <w:tblStyle w:val="TableTemplate2"/>
      <w:tblW w:w="5000" w:type="pct"/>
      <w:tblBorders>
        <w:insideH w:val="none" w:sz="0" w:space="0" w:color="auto"/>
        <w:insideV w:val="none" w:sz="0" w:space="0" w:color="auto"/>
      </w:tblBorders>
      <w:tblLook w:val="0600" w:firstRow="0" w:lastRow="0" w:firstColumn="0" w:lastColumn="0" w:noHBand="1" w:noVBand="1"/>
    </w:tblPr>
    <w:tblGrid>
      <w:gridCol w:w="3246"/>
      <w:gridCol w:w="3247"/>
      <w:gridCol w:w="3247"/>
    </w:tblGrid>
    <w:tr w:rsidR="00B86EF8" w:rsidRPr="00CC5D65" w14:paraId="4625F84E" w14:textId="77777777" w:rsidTr="00625133">
      <w:tc>
        <w:tcPr>
          <w:tcW w:w="1666" w:type="pct"/>
        </w:tcPr>
        <w:p w14:paraId="0E057874" w14:textId="77777777" w:rsidR="00B86EF8" w:rsidRPr="00CC5D65" w:rsidRDefault="00B86EF8" w:rsidP="004C3E76">
          <w:pPr>
            <w:pStyle w:val="Footer"/>
            <w:rPr>
              <w:i/>
              <w:szCs w:val="16"/>
            </w:rPr>
          </w:pPr>
          <w:r w:rsidRPr="00CC5D65">
            <w:rPr>
              <w:i/>
              <w:szCs w:val="16"/>
            </w:rPr>
            <w:fldChar w:fldCharType="begin"/>
          </w:r>
          <w:r w:rsidRPr="00CC5D65">
            <w:rPr>
              <w:i/>
              <w:szCs w:val="16"/>
            </w:rPr>
            <w:instrText xml:space="preserve"> FILENAME \* MERGEFORMAT </w:instrText>
          </w:r>
          <w:r w:rsidRPr="00CC5D65">
            <w:rPr>
              <w:i/>
              <w:szCs w:val="16"/>
            </w:rPr>
            <w:fldChar w:fldCharType="separate"/>
          </w:r>
          <w:r>
            <w:rPr>
              <w:i/>
              <w:noProof/>
              <w:szCs w:val="16"/>
            </w:rPr>
            <w:t>D-4.1.5 E2E SA</w:t>
          </w:r>
          <w:r w:rsidRPr="00CC5D65">
            <w:rPr>
              <w:i/>
              <w:szCs w:val="16"/>
            </w:rPr>
            <w:fldChar w:fldCharType="end"/>
          </w:r>
        </w:p>
      </w:tc>
      <w:tc>
        <w:tcPr>
          <w:tcW w:w="1667" w:type="pct"/>
        </w:tcPr>
        <w:p w14:paraId="02EAAAA0" w14:textId="77777777" w:rsidR="00B86EF8" w:rsidRPr="00CC5D65" w:rsidRDefault="00B86EF8" w:rsidP="004C3E76">
          <w:pPr>
            <w:pStyle w:val="Footer"/>
            <w:jc w:val="center"/>
            <w:rPr>
              <w:i/>
              <w:szCs w:val="16"/>
            </w:rPr>
          </w:pPr>
        </w:p>
      </w:tc>
      <w:tc>
        <w:tcPr>
          <w:tcW w:w="1667" w:type="pct"/>
        </w:tcPr>
        <w:p w14:paraId="7FA05D3D" w14:textId="77777777" w:rsidR="00B86EF8" w:rsidRPr="00CC5D65" w:rsidRDefault="00123A06" w:rsidP="004C3E76">
          <w:pPr>
            <w:pStyle w:val="Footer"/>
            <w:jc w:val="right"/>
            <w:rPr>
              <w:i/>
              <w:szCs w:val="16"/>
            </w:rPr>
          </w:pPr>
          <w:sdt>
            <w:sdtPr>
              <w:rPr>
                <w:i/>
                <w:szCs w:val="16"/>
              </w:rPr>
              <w:id w:val="-565725322"/>
              <w:docPartObj>
                <w:docPartGallery w:val="Page Numbers (Top of Page)"/>
                <w:docPartUnique/>
              </w:docPartObj>
            </w:sdtPr>
            <w:sdtEndPr/>
            <w:sdtContent>
              <w:r w:rsidR="00B86EF8" w:rsidRPr="00CC5D65">
                <w:rPr>
                  <w:i/>
                  <w:szCs w:val="16"/>
                </w:rPr>
                <w:t xml:space="preserve">Page </w:t>
              </w:r>
              <w:r w:rsidR="00B86EF8" w:rsidRPr="00CC5D65">
                <w:rPr>
                  <w:bCs/>
                  <w:i/>
                  <w:szCs w:val="16"/>
                </w:rPr>
                <w:fldChar w:fldCharType="begin"/>
              </w:r>
              <w:r w:rsidR="00B86EF8" w:rsidRPr="00CC5D65">
                <w:rPr>
                  <w:bCs/>
                  <w:i/>
                  <w:szCs w:val="16"/>
                </w:rPr>
                <w:instrText xml:space="preserve"> PAGE </w:instrText>
              </w:r>
              <w:r w:rsidR="00B86EF8" w:rsidRPr="00CC5D65">
                <w:rPr>
                  <w:bCs/>
                  <w:i/>
                  <w:szCs w:val="16"/>
                </w:rPr>
                <w:fldChar w:fldCharType="separate"/>
              </w:r>
              <w:r w:rsidR="00B86EF8">
                <w:rPr>
                  <w:bCs/>
                  <w:i/>
                  <w:noProof/>
                  <w:szCs w:val="16"/>
                </w:rPr>
                <w:t>111</w:t>
              </w:r>
              <w:r w:rsidR="00B86EF8" w:rsidRPr="00CC5D65">
                <w:rPr>
                  <w:bCs/>
                  <w:i/>
                  <w:szCs w:val="16"/>
                </w:rPr>
                <w:fldChar w:fldCharType="end"/>
              </w:r>
              <w:r w:rsidR="00B86EF8" w:rsidRPr="00CC5D65">
                <w:rPr>
                  <w:i/>
                  <w:szCs w:val="16"/>
                </w:rPr>
                <w:t xml:space="preserve"> of </w:t>
              </w:r>
              <w:r w:rsidR="00B86EF8" w:rsidRPr="00CC5D65">
                <w:rPr>
                  <w:bCs/>
                  <w:i/>
                  <w:szCs w:val="16"/>
                </w:rPr>
                <w:fldChar w:fldCharType="begin"/>
              </w:r>
              <w:r w:rsidR="00B86EF8" w:rsidRPr="00CC5D65">
                <w:rPr>
                  <w:bCs/>
                  <w:i/>
                  <w:szCs w:val="16"/>
                </w:rPr>
                <w:instrText xml:space="preserve"> NUMPAGES  </w:instrText>
              </w:r>
              <w:r w:rsidR="00B86EF8" w:rsidRPr="00CC5D65">
                <w:rPr>
                  <w:bCs/>
                  <w:i/>
                  <w:szCs w:val="16"/>
                </w:rPr>
                <w:fldChar w:fldCharType="separate"/>
              </w:r>
              <w:r w:rsidR="00B86EF8">
                <w:rPr>
                  <w:bCs/>
                  <w:i/>
                  <w:noProof/>
                  <w:szCs w:val="16"/>
                </w:rPr>
                <w:t>81</w:t>
              </w:r>
              <w:r w:rsidR="00B86EF8" w:rsidRPr="00CC5D65">
                <w:rPr>
                  <w:bCs/>
                  <w:i/>
                  <w:szCs w:val="16"/>
                </w:rPr>
                <w:fldChar w:fldCharType="end"/>
              </w:r>
            </w:sdtContent>
          </w:sdt>
        </w:p>
      </w:tc>
    </w:tr>
  </w:tbl>
  <w:p w14:paraId="39B39E94" w14:textId="77777777" w:rsidR="00B86EF8" w:rsidRPr="00A54049" w:rsidRDefault="00B86EF8" w:rsidP="0062513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F94073" w14:textId="77777777" w:rsidR="00B86EF8" w:rsidRDefault="00B86EF8" w:rsidP="00FB4028">
    <w:pPr>
      <w:pStyle w:val="Footer"/>
      <w:tabs>
        <w:tab w:val="left" w:pos="904"/>
      </w:tabs>
    </w:pPr>
  </w:p>
  <w:tbl>
    <w:tblPr>
      <w:tblW w:w="534" w:type="dxa"/>
      <w:tblInd w:w="8755" w:type="dxa"/>
      <w:tblLook w:val="0000" w:firstRow="0" w:lastRow="0" w:firstColumn="0" w:lastColumn="0" w:noHBand="0" w:noVBand="0"/>
    </w:tblPr>
    <w:tblGrid>
      <w:gridCol w:w="534"/>
    </w:tblGrid>
    <w:tr w:rsidR="00B86EF8" w14:paraId="58336EB9" w14:textId="77777777" w:rsidTr="00FB4028">
      <w:tc>
        <w:tcPr>
          <w:tcW w:w="534" w:type="dxa"/>
        </w:tcPr>
        <w:p w14:paraId="762A84BE" w14:textId="5A4F9038" w:rsidR="00B86EF8" w:rsidRDefault="00B86EF8" w:rsidP="00FB4028">
          <w:pPr>
            <w:pStyle w:val="Footer"/>
            <w:tabs>
              <w:tab w:val="left" w:pos="904"/>
            </w:tabs>
          </w:pPr>
          <w:r>
            <w:rPr>
              <w:noProof/>
              <w:lang w:eastAsia="en-GB"/>
            </w:rPr>
            <mc:AlternateContent>
              <mc:Choice Requires="wps">
                <w:drawing>
                  <wp:anchor distT="0" distB="0" distL="114300" distR="114300" simplePos="0" relativeHeight="251658242" behindDoc="0" locked="0" layoutInCell="1" allowOverlap="1" wp14:anchorId="6F38BD32" wp14:editId="6EBF18E7">
                    <wp:simplePos x="0" y="0"/>
                    <wp:positionH relativeFrom="column">
                      <wp:posOffset>-5570855</wp:posOffset>
                    </wp:positionH>
                    <wp:positionV relativeFrom="paragraph">
                      <wp:posOffset>62865</wp:posOffset>
                    </wp:positionV>
                    <wp:extent cx="5379720" cy="0"/>
                    <wp:effectExtent l="10795" t="5715" r="10160" b="13335"/>
                    <wp:wrapNone/>
                    <wp:docPr id="7"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9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CAF055" id="_x0000_t32" coordsize="21600,21600" o:spt="32" o:oned="t" path="m,l21600,21600e" filled="f">
                    <v:path arrowok="t" fillok="f" o:connecttype="none"/>
                    <o:lock v:ext="edit" shapetype="t"/>
                  </v:shapetype>
                  <v:shape id="AutoShape 15" o:spid="_x0000_s1026" type="#_x0000_t32" style="position:absolute;margin-left:-438.65pt;margin-top:4.95pt;width:423.6pt;height: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"/>
                </w:pict>
              </mc:Fallback>
            </mc:AlternateContent>
          </w:r>
          <w:r>
            <w:fldChar w:fldCharType="begin"/>
          </w:r>
          <w:r>
            <w:instrText xml:space="preserve"> PAGE   \* MERGEFORMAT </w:instrText>
          </w:r>
          <w:r>
            <w:fldChar w:fldCharType="separate"/>
          </w:r>
          <w:r>
            <w:rPr>
              <w:noProof/>
            </w:rPr>
            <w:t>51</w:t>
          </w:r>
          <w:r>
            <w:rPr>
              <w:noProof/>
            </w:rPr>
            <w:fldChar w:fldCharType="end"/>
          </w:r>
        </w:p>
      </w:tc>
    </w:tr>
  </w:tbl>
  <w:p w14:paraId="482B993B" w14:textId="77777777" w:rsidR="00B86EF8" w:rsidRPr="00FB4028" w:rsidRDefault="00B86EF8" w:rsidP="00456F9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F8F6D" w14:textId="77777777" w:rsidR="00B86EF8" w:rsidRDefault="00B86EF8" w:rsidP="00FB4028">
    <w:pPr>
      <w:pStyle w:val="Footer"/>
      <w:tabs>
        <w:tab w:val="left" w:pos="904"/>
      </w:tabs>
    </w:pPr>
  </w:p>
  <w:tbl>
    <w:tblPr>
      <w:tblW w:w="534" w:type="dxa"/>
      <w:tblInd w:w="8755" w:type="dxa"/>
      <w:tblLook w:val="0000" w:firstRow="0" w:lastRow="0" w:firstColumn="0" w:lastColumn="0" w:noHBand="0" w:noVBand="0"/>
    </w:tblPr>
    <w:tblGrid>
      <w:gridCol w:w="534"/>
    </w:tblGrid>
    <w:tr w:rsidR="00B86EF8" w14:paraId="64225196" w14:textId="77777777" w:rsidTr="00FB4028">
      <w:tc>
        <w:tcPr>
          <w:tcW w:w="534" w:type="dxa"/>
        </w:tcPr>
        <w:p w14:paraId="4CEE1181" w14:textId="25390613" w:rsidR="00B86EF8" w:rsidRDefault="00B86EF8" w:rsidP="00FB4028">
          <w:pPr>
            <w:pStyle w:val="Footer"/>
            <w:tabs>
              <w:tab w:val="left" w:pos="904"/>
            </w:tabs>
          </w:pPr>
          <w:r>
            <w:rPr>
              <w:noProof/>
              <w:lang w:eastAsia="en-GB"/>
            </w:rPr>
            <mc:AlternateContent>
              <mc:Choice Requires="wps">
                <w:drawing>
                  <wp:anchor distT="0" distB="0" distL="114300" distR="114300" simplePos="0" relativeHeight="251658243" behindDoc="0" locked="0" layoutInCell="1" allowOverlap="1" wp14:anchorId="26EDC247" wp14:editId="0A42E7FA">
                    <wp:simplePos x="0" y="0"/>
                    <wp:positionH relativeFrom="column">
                      <wp:posOffset>-5570855</wp:posOffset>
                    </wp:positionH>
                    <wp:positionV relativeFrom="paragraph">
                      <wp:posOffset>62865</wp:posOffset>
                    </wp:positionV>
                    <wp:extent cx="5379720" cy="0"/>
                    <wp:effectExtent l="10795" t="5715" r="10160" b="13335"/>
                    <wp:wrapNone/>
                    <wp:docPr id="12"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9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9DEC17" id="_x0000_t32" coordsize="21600,21600" o:spt="32" o:oned="t" path="m,l21600,21600e" filled="f">
                    <v:path arrowok="t" fillok="f" o:connecttype="none"/>
                    <o:lock v:ext="edit" shapetype="t"/>
                  </v:shapetype>
                  <v:shape id="AutoShape 15" o:spid="_x0000_s1026" type="#_x0000_t32" style="position:absolute;margin-left:-438.65pt;margin-top:4.95pt;width:423.6pt;height:0;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"/>
                </w:pict>
              </mc:Fallback>
            </mc:AlternateContent>
          </w:r>
          <w:r>
            <w:fldChar w:fldCharType="begin"/>
          </w:r>
          <w:r>
            <w:instrText xml:space="preserve"> PAGE   \* MERGEFORMAT </w:instrText>
          </w:r>
          <w:r>
            <w:fldChar w:fldCharType="separate"/>
          </w:r>
          <w:r>
            <w:rPr>
              <w:noProof/>
            </w:rPr>
            <w:t>54</w:t>
          </w:r>
          <w:r>
            <w:rPr>
              <w:noProof/>
            </w:rPr>
            <w:fldChar w:fldCharType="end"/>
          </w:r>
        </w:p>
      </w:tc>
    </w:tr>
  </w:tbl>
  <w:p w14:paraId="13A0CB86" w14:textId="77777777" w:rsidR="00B86EF8" w:rsidRPr="00FB4028" w:rsidRDefault="00B86EF8" w:rsidP="00FB402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Template2"/>
      <w:tblW w:w="5000" w:type="pct"/>
      <w:tblBorders>
        <w:insideH w:val="none" w:sz="0" w:space="0" w:color="auto"/>
        <w:insideV w:val="none" w:sz="0" w:space="0" w:color="auto"/>
      </w:tblBorders>
      <w:tblLook w:val="0600" w:firstRow="0" w:lastRow="0" w:firstColumn="0" w:lastColumn="0" w:noHBand="1" w:noVBand="1"/>
    </w:tblPr>
    <w:tblGrid>
      <w:gridCol w:w="3248"/>
      <w:gridCol w:w="3247"/>
      <w:gridCol w:w="3245"/>
    </w:tblGrid>
    <w:tr w:rsidR="00B86EF8" w:rsidRPr="00CC5D65" w14:paraId="6987A826" w14:textId="77777777" w:rsidTr="00E3462F">
      <w:tc>
        <w:tcPr>
          <w:tcW w:w="1667" w:type="pct"/>
        </w:tcPr>
        <w:p w14:paraId="3128BB8D" w14:textId="18CD0530" w:rsidR="00B86EF8" w:rsidRPr="00CC5D65" w:rsidRDefault="00B86EF8" w:rsidP="00E3462F">
          <w:pPr>
            <w:pStyle w:val="Footer"/>
            <w:rPr>
              <w:i/>
              <w:szCs w:val="16"/>
            </w:rPr>
          </w:pPr>
        </w:p>
      </w:tc>
      <w:tc>
        <w:tcPr>
          <w:tcW w:w="1667" w:type="pct"/>
        </w:tcPr>
        <w:p w14:paraId="02AFD922" w14:textId="5E95182B" w:rsidR="00B86EF8" w:rsidRPr="00CC5D65" w:rsidRDefault="00B86EF8" w:rsidP="005D4843">
          <w:pPr>
            <w:pStyle w:val="Footer"/>
            <w:jc w:val="center"/>
            <w:rPr>
              <w:i/>
              <w:szCs w:val="16"/>
            </w:rPr>
          </w:pPr>
        </w:p>
      </w:tc>
      <w:tc>
        <w:tcPr>
          <w:tcW w:w="1666" w:type="pct"/>
        </w:tcPr>
        <w:p w14:paraId="2F2996B7" w14:textId="31ADE5F0" w:rsidR="00B86EF8" w:rsidRPr="00CC5D65" w:rsidRDefault="00123A06" w:rsidP="005D4843">
          <w:pPr>
            <w:pStyle w:val="Footer"/>
            <w:jc w:val="right"/>
            <w:rPr>
              <w:i/>
              <w:szCs w:val="16"/>
            </w:rPr>
          </w:pPr>
          <w:sdt>
            <w:sdtPr>
              <w:rPr>
                <w:i/>
                <w:szCs w:val="16"/>
              </w:rPr>
              <w:id w:val="180251709"/>
              <w:docPartObj>
                <w:docPartGallery w:val="Page Numbers (Top of Page)"/>
                <w:docPartUnique/>
              </w:docPartObj>
            </w:sdtPr>
            <w:sdtEndPr/>
            <w:sdtContent>
              <w:r w:rsidR="00B86EF8" w:rsidRPr="00CC5D65">
                <w:rPr>
                  <w:bCs/>
                  <w:i/>
                  <w:szCs w:val="16"/>
                </w:rPr>
                <w:fldChar w:fldCharType="begin"/>
              </w:r>
              <w:r w:rsidR="00B86EF8" w:rsidRPr="00CC5D65">
                <w:rPr>
                  <w:bCs/>
                  <w:i/>
                  <w:szCs w:val="16"/>
                </w:rPr>
                <w:instrText xml:space="preserve"> PAGE </w:instrText>
              </w:r>
              <w:r w:rsidR="00B86EF8" w:rsidRPr="00CC5D65">
                <w:rPr>
                  <w:bCs/>
                  <w:i/>
                  <w:szCs w:val="16"/>
                </w:rPr>
                <w:fldChar w:fldCharType="separate"/>
              </w:r>
              <w:r w:rsidR="00B86EF8">
                <w:rPr>
                  <w:bCs/>
                  <w:i/>
                  <w:noProof/>
                  <w:szCs w:val="16"/>
                </w:rPr>
                <w:t>88</w:t>
              </w:r>
              <w:r w:rsidR="00B86EF8" w:rsidRPr="00CC5D65">
                <w:rPr>
                  <w:bCs/>
                  <w:i/>
                  <w:szCs w:val="16"/>
                </w:rPr>
                <w:fldChar w:fldCharType="end"/>
              </w:r>
            </w:sdtContent>
          </w:sdt>
        </w:p>
      </w:tc>
    </w:tr>
  </w:tbl>
  <w:p w14:paraId="144A9718" w14:textId="77777777" w:rsidR="00B86EF8" w:rsidRPr="00B83C3C" w:rsidRDefault="00B86EF8" w:rsidP="00E3462F">
    <w:pPr>
      <w:pStyle w:val="Footer"/>
      <w:jc w:val="both"/>
      <w:rPr>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490"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36774"/>
      <w:tblLook w:val="04A0" w:firstRow="1" w:lastRow="0" w:firstColumn="1" w:lastColumn="0" w:noHBand="0" w:noVBand="1"/>
    </w:tblPr>
    <w:tblGrid>
      <w:gridCol w:w="10490"/>
    </w:tblGrid>
    <w:tr w:rsidR="00B86EF8" w:rsidRPr="000A160F" w14:paraId="322783BD" w14:textId="77777777" w:rsidTr="000414D3">
      <w:tc>
        <w:tcPr>
          <w:tcW w:w="10490" w:type="dxa"/>
          <w:shd w:val="clear" w:color="auto" w:fill="336774"/>
        </w:tcPr>
        <w:p w14:paraId="648735CA" w14:textId="77777777" w:rsidR="00B86EF8" w:rsidRPr="000A160F" w:rsidRDefault="00B86EF8" w:rsidP="003477DF">
          <w:pPr>
            <w:pStyle w:val="Footer"/>
            <w:rPr>
              <w:sz w:val="8"/>
              <w:szCs w:val="8"/>
            </w:rPr>
          </w:pPr>
        </w:p>
      </w:tc>
    </w:tr>
  </w:tbl>
  <w:p w14:paraId="30F5BF14" w14:textId="77777777" w:rsidR="00B86EF8" w:rsidRDefault="00B86EF8" w:rsidP="003477DF">
    <w:pPr>
      <w:pStyle w:val="Footer"/>
      <w:ind w:left="-709"/>
    </w:pPr>
  </w:p>
  <w:tbl>
    <w:tblPr>
      <w:tblStyle w:val="TableTemplate2"/>
      <w:tblW w:w="5000" w:type="pct"/>
      <w:tblBorders>
        <w:insideH w:val="none" w:sz="0" w:space="0" w:color="auto"/>
        <w:insideV w:val="none" w:sz="0" w:space="0" w:color="auto"/>
      </w:tblBorders>
      <w:tblLook w:val="0600" w:firstRow="0" w:lastRow="0" w:firstColumn="0" w:lastColumn="0" w:noHBand="1" w:noVBand="1"/>
    </w:tblPr>
    <w:tblGrid>
      <w:gridCol w:w="3248"/>
      <w:gridCol w:w="3247"/>
      <w:gridCol w:w="3245"/>
    </w:tblGrid>
    <w:tr w:rsidR="00B86EF8" w:rsidRPr="00CC5D65" w14:paraId="238FC76E" w14:textId="77777777" w:rsidTr="0076726A">
      <w:tc>
        <w:tcPr>
          <w:tcW w:w="1667" w:type="pct"/>
        </w:tcPr>
        <w:p w14:paraId="5EB03ECD" w14:textId="07A4CFCE" w:rsidR="00B86EF8" w:rsidRPr="00CC5D65" w:rsidRDefault="00B86EF8" w:rsidP="004C3E76">
          <w:pPr>
            <w:pStyle w:val="Footer"/>
            <w:rPr>
              <w:i/>
              <w:szCs w:val="16"/>
            </w:rPr>
          </w:pPr>
        </w:p>
      </w:tc>
      <w:tc>
        <w:tcPr>
          <w:tcW w:w="1667" w:type="pct"/>
        </w:tcPr>
        <w:p w14:paraId="2A6624D4" w14:textId="77777777" w:rsidR="00B86EF8" w:rsidRPr="00CC5D65" w:rsidRDefault="00B86EF8" w:rsidP="004C3E76">
          <w:pPr>
            <w:pStyle w:val="Footer"/>
            <w:jc w:val="center"/>
            <w:rPr>
              <w:i/>
              <w:szCs w:val="16"/>
            </w:rPr>
          </w:pPr>
        </w:p>
      </w:tc>
      <w:tc>
        <w:tcPr>
          <w:tcW w:w="1666" w:type="pct"/>
        </w:tcPr>
        <w:p w14:paraId="2B9F9123" w14:textId="2D064419" w:rsidR="00B86EF8" w:rsidRPr="00CC5D65" w:rsidRDefault="00123A06" w:rsidP="005D4843">
          <w:pPr>
            <w:pStyle w:val="Footer"/>
            <w:jc w:val="right"/>
            <w:rPr>
              <w:i/>
              <w:szCs w:val="16"/>
            </w:rPr>
          </w:pPr>
          <w:sdt>
            <w:sdtPr>
              <w:rPr>
                <w:i/>
                <w:szCs w:val="16"/>
              </w:rPr>
              <w:id w:val="654031884"/>
              <w:docPartObj>
                <w:docPartGallery w:val="Page Numbers (Top of Page)"/>
                <w:docPartUnique/>
              </w:docPartObj>
            </w:sdtPr>
            <w:sdtEndPr/>
            <w:sdtContent>
              <w:r w:rsidR="00B86EF8" w:rsidRPr="00CC5D65">
                <w:rPr>
                  <w:bCs/>
                  <w:i/>
                  <w:szCs w:val="16"/>
                </w:rPr>
                <w:fldChar w:fldCharType="begin"/>
              </w:r>
              <w:r w:rsidR="00B86EF8" w:rsidRPr="00CC5D65">
                <w:rPr>
                  <w:bCs/>
                  <w:i/>
                  <w:szCs w:val="16"/>
                </w:rPr>
                <w:instrText xml:space="preserve"> PAGE </w:instrText>
              </w:r>
              <w:r w:rsidR="00B86EF8" w:rsidRPr="00CC5D65">
                <w:rPr>
                  <w:bCs/>
                  <w:i/>
                  <w:szCs w:val="16"/>
                </w:rPr>
                <w:fldChar w:fldCharType="separate"/>
              </w:r>
              <w:r w:rsidR="00B86EF8">
                <w:rPr>
                  <w:bCs/>
                  <w:i/>
                  <w:noProof/>
                  <w:szCs w:val="16"/>
                </w:rPr>
                <w:t>84</w:t>
              </w:r>
              <w:r w:rsidR="00B86EF8" w:rsidRPr="00CC5D65">
                <w:rPr>
                  <w:bCs/>
                  <w:i/>
                  <w:szCs w:val="16"/>
                </w:rPr>
                <w:fldChar w:fldCharType="end"/>
              </w:r>
            </w:sdtContent>
          </w:sdt>
        </w:p>
      </w:tc>
    </w:tr>
  </w:tbl>
  <w:p w14:paraId="5DE28706" w14:textId="77777777" w:rsidR="00B86EF8" w:rsidRPr="00D34403" w:rsidRDefault="00B86EF8" w:rsidP="004C3E76">
    <w:pPr>
      <w:pStyle w:val="Footer"/>
      <w:tabs>
        <w:tab w:val="clear" w:pos="8640"/>
        <w:tab w:val="right" w:pos="9639"/>
      </w:tabs>
      <w:ind w:left="-709" w:right="-993"/>
      <w:rPr>
        <w:b/>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560B5E" w14:textId="77777777" w:rsidR="008E4DF0" w:rsidRDefault="008E4DF0">
      <w:r>
        <w:separator/>
      </w:r>
    </w:p>
    <w:p w14:paraId="27FEDE5B" w14:textId="77777777" w:rsidR="008E4DF0" w:rsidRDefault="008E4DF0"/>
    <w:p w14:paraId="77A50E4A" w14:textId="77777777" w:rsidR="008E4DF0" w:rsidRDefault="008E4DF0"/>
  </w:footnote>
  <w:footnote w:type="continuationSeparator" w:id="0">
    <w:p w14:paraId="4337019A" w14:textId="77777777" w:rsidR="008E4DF0" w:rsidRDefault="008E4DF0">
      <w:r>
        <w:continuationSeparator/>
      </w:r>
    </w:p>
    <w:p w14:paraId="30455234" w14:textId="77777777" w:rsidR="008E4DF0" w:rsidRDefault="008E4DF0"/>
    <w:p w14:paraId="6E6F65E3" w14:textId="77777777" w:rsidR="008E4DF0" w:rsidRDefault="008E4DF0"/>
    <w:p w14:paraId="42A49CDE" w14:textId="77777777" w:rsidR="008E4DF0" w:rsidRDefault="008E4DF0"/>
    <w:p w14:paraId="4022BD9A" w14:textId="77777777" w:rsidR="008E4DF0" w:rsidRDefault="008E4DF0"/>
  </w:footnote>
  <w:footnote w:type="continuationNotice" w:id="1">
    <w:p w14:paraId="4D97ACD3" w14:textId="77777777" w:rsidR="008E4DF0" w:rsidRDefault="008E4DF0"/>
  </w:footnote>
  <w:footnote w:id="2">
    <w:p w14:paraId="323A0C3B" w14:textId="45F79647" w:rsidR="00B86EF8" w:rsidRDefault="00B86EF8">
      <w:pPr>
        <w:pStyle w:val="FootnoteText"/>
      </w:pPr>
      <w:r>
        <w:rPr>
          <w:rStyle w:val="FootnoteReference"/>
        </w:rPr>
        <w:footnoteRef/>
      </w:r>
      <w:r>
        <w:t xml:space="preserve"> This referred to in ABACUS as DCC Data Service</w:t>
      </w:r>
    </w:p>
  </w:footnote>
  <w:footnote w:id="3">
    <w:p w14:paraId="42D67BD3" w14:textId="6BBED088" w:rsidR="00B86EF8" w:rsidRDefault="00B86EF8">
      <w:pPr>
        <w:pStyle w:val="FootnoteText"/>
      </w:pPr>
      <w:r>
        <w:rPr>
          <w:rStyle w:val="FootnoteReference"/>
        </w:rPr>
        <w:footnoteRef/>
      </w:r>
      <w:r>
        <w:t xml:space="preserve"> This referred to in ABACUS as Governance Data Service</w:t>
      </w:r>
    </w:p>
  </w:footnote>
  <w:footnote w:id="4">
    <w:p w14:paraId="00D1D45B" w14:textId="7B52DB5A" w:rsidR="00B86EF8" w:rsidRDefault="00B86EF8">
      <w:pPr>
        <w:pStyle w:val="FootnoteText"/>
      </w:pPr>
      <w:r>
        <w:rPr>
          <w:rStyle w:val="FootnoteReference"/>
        </w:rPr>
        <w:footnoteRef/>
      </w:r>
      <w:r>
        <w:t xml:space="preserve"> This interface is not envisaged to be system-to-system, but to use some other means of distributing the Switching Domain Data, possibly email.  This will ensure that all participants possess a common set of data.</w:t>
      </w:r>
    </w:p>
  </w:footnote>
  <w:footnote w:id="5">
    <w:p w14:paraId="6FD49515" w14:textId="3B1F9A3B" w:rsidR="00B86EF8" w:rsidRDefault="00B86EF8">
      <w:pPr>
        <w:pStyle w:val="FootnoteText"/>
      </w:pPr>
      <w:r>
        <w:rPr>
          <w:rStyle w:val="FootnoteReference"/>
        </w:rPr>
        <w:footnoteRef/>
      </w:r>
      <w:r>
        <w:t xml:space="preserve"> This interface is not envisaged to be system-to-system, but to use some other means of distributing the Switching Domain Data, possibly email.  This will ensure that all participants possess a common set of data.</w:t>
      </w:r>
    </w:p>
  </w:footnote>
  <w:footnote w:id="6">
    <w:p w14:paraId="331320BF" w14:textId="77777777" w:rsidR="00B86EF8" w:rsidRDefault="00B86EF8" w:rsidP="001325D6">
      <w:pPr>
        <w:pStyle w:val="FootnoteText"/>
      </w:pPr>
      <w:r>
        <w:rPr>
          <w:rStyle w:val="FootnoteReference"/>
        </w:rPr>
        <w:footnoteRef/>
      </w:r>
      <w:r>
        <w:t xml:space="preserve"> The existing interfaces are specified in </w:t>
      </w:r>
      <w:r w:rsidRPr="005B39F1">
        <w:t>Registration Data Interface Specification</w:t>
      </w:r>
      <w:r>
        <w:t xml:space="preserve"> at </w:t>
      </w:r>
      <w:r w:rsidRPr="005B39F1">
        <w:t>ttps://www.smartdcc.co.uk/implementation/design-and-assurance/interface-specifications/registration-data-interface-specification/</w:t>
      </w:r>
      <w:r>
        <w:t xml:space="preserve"> </w:t>
      </w:r>
    </w:p>
  </w:footnote>
  <w:footnote w:id="7">
    <w:p w14:paraId="4F53C16C" w14:textId="378626CA" w:rsidR="00B86EF8" w:rsidRDefault="00B86EF8">
      <w:pPr>
        <w:pStyle w:val="FootnoteText"/>
      </w:pPr>
      <w:r>
        <w:rPr>
          <w:rStyle w:val="FootnoteReference"/>
        </w:rPr>
        <w:footnoteRef/>
      </w:r>
      <w:r>
        <w:t xml:space="preserve"> This interface is not envisaged to be system-to-system, but to use some other means of distributing the Switching Domain Data, possibly email.  This will ensure that all participants possess a common set of data.</w:t>
      </w:r>
    </w:p>
  </w:footnote>
  <w:footnote w:id="8">
    <w:p w14:paraId="38DDB38C" w14:textId="4F8F50D5" w:rsidR="00B86EF8" w:rsidRDefault="00B86EF8">
      <w:pPr>
        <w:pStyle w:val="FootnoteText"/>
      </w:pPr>
      <w:r>
        <w:rPr>
          <w:rStyle w:val="FootnoteReference"/>
        </w:rPr>
        <w:footnoteRef/>
      </w:r>
      <w:r>
        <w:t xml:space="preserve"> This interface is not envisaged to be system-to-system, but to use some other means of distributing the Switching Domain Data, possibly email.  This will ensure that all participants possess a common set of data.</w:t>
      </w:r>
    </w:p>
  </w:footnote>
  <w:footnote w:id="9">
    <w:p w14:paraId="6DC6C373" w14:textId="78FADE2E" w:rsidR="00B86EF8" w:rsidRDefault="00B86EF8">
      <w:pPr>
        <w:pStyle w:val="FootnoteText"/>
      </w:pPr>
      <w:r>
        <w:rPr>
          <w:rStyle w:val="FootnoteReference"/>
        </w:rPr>
        <w:footnoteRef/>
      </w:r>
      <w:r>
        <w:t xml:space="preserve"> This interface is not envisaged to be system-to-system, but to use some other means of distributing the Switching Domain Data, possibly email.  This will ensure that all participants possess a common set of data.</w:t>
      </w:r>
    </w:p>
  </w:footnote>
  <w:footnote w:id="10">
    <w:p w14:paraId="39F8C058" w14:textId="77777777" w:rsidR="00B86EF8" w:rsidRDefault="00B86EF8" w:rsidP="001325D6">
      <w:pPr>
        <w:pStyle w:val="FootnoteText"/>
      </w:pPr>
      <w:r>
        <w:rPr>
          <w:rStyle w:val="FootnoteReference"/>
        </w:rPr>
        <w:footnoteRef/>
      </w:r>
      <w:r>
        <w:t xml:space="preserve"> Objection reasons will be set out in regulation, but will no longer include Related RMPs as a valid reason</w:t>
      </w:r>
    </w:p>
  </w:footnote>
  <w:footnote w:id="11">
    <w:p w14:paraId="1BD3E414" w14:textId="389AFCC6" w:rsidR="00B86EF8" w:rsidRDefault="00B86EF8">
      <w:pPr>
        <w:pStyle w:val="FootnoteText"/>
      </w:pPr>
      <w:r>
        <w:rPr>
          <w:rStyle w:val="FootnoteReference"/>
        </w:rPr>
        <w:footnoteRef/>
      </w:r>
      <w:r>
        <w:t xml:space="preserve"> This interface is not envisaged to be system-to-system, but to use some other means of distributing the Switching Domain Data, possibly email.  This will ensure that all participants possess a common set of data.</w:t>
      </w:r>
    </w:p>
  </w:footnote>
  <w:footnote w:id="12">
    <w:p w14:paraId="74767D6F" w14:textId="36C8FAAB" w:rsidR="00B86EF8" w:rsidRDefault="00B86EF8">
      <w:pPr>
        <w:pStyle w:val="FootnoteText"/>
      </w:pPr>
      <w:r>
        <w:rPr>
          <w:rStyle w:val="FootnoteReference"/>
        </w:rPr>
        <w:footnoteRef/>
      </w:r>
      <w:r>
        <w:t xml:space="preserve"> This interface is not envisaged to be system-to-system, but to use some other means of distributing the Switching Domain Data, possibly email.  This will ensure that all participants possess a common set of data.</w:t>
      </w:r>
    </w:p>
  </w:footnote>
  <w:footnote w:id="13">
    <w:p w14:paraId="73647C51" w14:textId="141B129C" w:rsidR="00B86EF8" w:rsidRDefault="00B86EF8">
      <w:pPr>
        <w:pStyle w:val="FootnoteText"/>
      </w:pPr>
      <w:r>
        <w:rPr>
          <w:rStyle w:val="FootnoteReference"/>
        </w:rPr>
        <w:footnoteRef/>
      </w:r>
      <w:r>
        <w:t xml:space="preserve"> This interface is not envisaged to be system-to-system, but to use some other means of distributing the Switching Domain Data, possibly email.  This will ensure that all participants possess a common set of data.</w:t>
      </w:r>
    </w:p>
  </w:footnote>
  <w:footnote w:id="14">
    <w:p w14:paraId="79A33F83" w14:textId="3FFE1AAA" w:rsidR="00B86EF8" w:rsidRDefault="00B86EF8">
      <w:pPr>
        <w:pStyle w:val="FootnoteText"/>
      </w:pPr>
      <w:r>
        <w:rPr>
          <w:rStyle w:val="FootnoteReference"/>
        </w:rPr>
        <w:footnoteRef/>
      </w:r>
      <w:r>
        <w:t xml:space="preserve"> This interface is not envisaged to be system-to-system, but to use some other means of distributing the Switching Domain Data, possibly email.  This will ensure that all participants possess a common set of data.</w:t>
      </w:r>
    </w:p>
  </w:footnote>
  <w:footnote w:id="15">
    <w:p w14:paraId="0497AE51" w14:textId="0A292EA8" w:rsidR="00B86EF8" w:rsidRDefault="00B86EF8">
      <w:pPr>
        <w:pStyle w:val="FootnoteText"/>
      </w:pPr>
      <w:r>
        <w:rPr>
          <w:rStyle w:val="FootnoteReference"/>
        </w:rPr>
        <w:footnoteRef/>
      </w:r>
      <w:r>
        <w:t xml:space="preserve"> This interface is not envisaged to be system-to-system, but to use some other means of distributing the Switching Domain Data, possibly email.  This will ensure that all participants possess a common set of data.</w:t>
      </w:r>
    </w:p>
  </w:footnote>
  <w:footnote w:id="16">
    <w:p w14:paraId="7DA69E53" w14:textId="07FB878E" w:rsidR="00B86EF8" w:rsidRDefault="00B86EF8">
      <w:pPr>
        <w:pStyle w:val="FootnoteText"/>
      </w:pPr>
      <w:r>
        <w:rPr>
          <w:rStyle w:val="FootnoteReference"/>
        </w:rPr>
        <w:footnoteRef/>
      </w:r>
      <w:r>
        <w:t xml:space="preserve"> This interface is not envisaged to be system-to-system, but to use some other means of distributing the Switching Domain Data, possibly email.  This will ensure that all participants possess a common set of data.</w:t>
      </w:r>
    </w:p>
  </w:footnote>
  <w:footnote w:id="17">
    <w:p w14:paraId="4D18298D" w14:textId="13CA3029" w:rsidR="00B86EF8" w:rsidRDefault="00B86EF8">
      <w:pPr>
        <w:pStyle w:val="FootnoteText"/>
      </w:pPr>
      <w:r>
        <w:rPr>
          <w:rStyle w:val="FootnoteReference"/>
        </w:rPr>
        <w:footnoteRef/>
      </w:r>
      <w:r>
        <w:t xml:space="preserve"> This section contains terms relating to the specialised subjects of Data Management and Master Data Management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16445" w14:textId="77777777" w:rsidR="00123A06" w:rsidRDefault="00123A0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B5ABD" w14:textId="77777777" w:rsidR="00B86EF8" w:rsidRDefault="00B86EF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5B19E" w14:textId="0FF194A0" w:rsidR="00B86EF8" w:rsidRDefault="00B86EF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74FFA" w14:textId="46827FB9" w:rsidR="00B86EF8" w:rsidRDefault="00B86EF8" w:rsidP="005D4843">
    <w:pPr>
      <w:pStyle w:val="Header"/>
      <w:jc w:val="center"/>
    </w:pPr>
    <w:r>
      <w:t>Switching Programme - E2E Solution Architecture</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8221D" w14:textId="1F64593F" w:rsidR="00B86EF8" w:rsidRDefault="00B86EF8" w:rsidP="005D4843">
    <w:pPr>
      <w:pStyle w:val="Header"/>
      <w:jc w:val="center"/>
    </w:pPr>
    <w:r>
      <w:t>Switching Programme - E2E Solution Architecture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
      <w:gridCol w:w="8058"/>
      <w:gridCol w:w="435"/>
    </w:tblGrid>
    <w:tr w:rsidR="00B86EF8" w:rsidRPr="00B045F7" w14:paraId="1242A8AB" w14:textId="77777777" w:rsidTr="00BA1726">
      <w:tc>
        <w:tcPr>
          <w:tcW w:w="296" w:type="dxa"/>
        </w:tcPr>
        <w:p w14:paraId="4F8F7667" w14:textId="77777777" w:rsidR="00B86EF8" w:rsidRPr="00B045F7" w:rsidRDefault="00B86EF8" w:rsidP="00456F9F">
          <w:pPr>
            <w:pStyle w:val="Header"/>
          </w:pPr>
        </w:p>
      </w:tc>
      <w:tc>
        <w:tcPr>
          <w:tcW w:w="8101" w:type="dxa"/>
          <w:gridSpan w:val="2"/>
        </w:tcPr>
        <w:p w14:paraId="4DBE229C" w14:textId="77777777" w:rsidR="00B86EF8" w:rsidRPr="00B045F7" w:rsidRDefault="00B86EF8" w:rsidP="00456F9F">
          <w:pPr>
            <w:pStyle w:val="Header"/>
          </w:pPr>
        </w:p>
      </w:tc>
    </w:tr>
    <w:tr w:rsidR="00B86EF8" w:rsidRPr="00B045F7" w14:paraId="38A9C0B4" w14:textId="77777777" w:rsidTr="00BA1726">
      <w:trPr>
        <w:gridAfter w:val="1"/>
        <w:wAfter w:w="438" w:type="dxa"/>
      </w:trPr>
      <w:tc>
        <w:tcPr>
          <w:tcW w:w="296" w:type="dxa"/>
        </w:tcPr>
        <w:p w14:paraId="224D747A" w14:textId="77777777" w:rsidR="00B86EF8" w:rsidRPr="00B045F7" w:rsidRDefault="00B86EF8" w:rsidP="00456F9F">
          <w:pPr>
            <w:pStyle w:val="Header"/>
          </w:pPr>
        </w:p>
      </w:tc>
      <w:tc>
        <w:tcPr>
          <w:tcW w:w="8101" w:type="dxa"/>
          <w:tcMar>
            <w:left w:w="0" w:type="dxa"/>
          </w:tcMar>
        </w:tcPr>
        <w:p w14:paraId="107A2352" w14:textId="5CB280D3" w:rsidR="00B86EF8" w:rsidRPr="00B045F7" w:rsidRDefault="00B86EF8" w:rsidP="00456F9F">
          <w:pPr>
            <w:pStyle w:val="Header"/>
            <w:jc w:val="center"/>
          </w:pPr>
          <w:r>
            <w:t>Switching Programme - E2E Solution Architecture</w:t>
          </w:r>
        </w:p>
      </w:tc>
    </w:tr>
    <w:tr w:rsidR="00B86EF8" w:rsidRPr="00B045F7" w14:paraId="6DDAE296" w14:textId="77777777" w:rsidTr="00BA1726">
      <w:tc>
        <w:tcPr>
          <w:tcW w:w="296" w:type="dxa"/>
        </w:tcPr>
        <w:p w14:paraId="635290E8" w14:textId="77777777" w:rsidR="00B86EF8" w:rsidRPr="00B045F7" w:rsidRDefault="00B86EF8" w:rsidP="00456F9F">
          <w:pPr>
            <w:pStyle w:val="Header"/>
          </w:pPr>
        </w:p>
      </w:tc>
      <w:tc>
        <w:tcPr>
          <w:tcW w:w="8101" w:type="dxa"/>
          <w:gridSpan w:val="2"/>
        </w:tcPr>
        <w:p w14:paraId="718DF41D" w14:textId="77777777" w:rsidR="00B86EF8" w:rsidRPr="00B045F7" w:rsidRDefault="00B86EF8" w:rsidP="00456F9F">
          <w:pPr>
            <w:pStyle w:val="Header"/>
          </w:pPr>
        </w:p>
      </w:tc>
    </w:tr>
  </w:tbl>
  <w:p w14:paraId="202840D1" w14:textId="49C63293" w:rsidR="00B86EF8" w:rsidRPr="00456F9F" w:rsidRDefault="00B86EF8" w:rsidP="00456F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22072" w14:textId="77777777" w:rsidR="00123A06" w:rsidRDefault="00123A0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33FC68" w14:textId="77777777" w:rsidR="00B86EF8" w:rsidRDefault="00B86EF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
      <w:gridCol w:w="8479"/>
    </w:tblGrid>
    <w:tr w:rsidR="00B86EF8" w:rsidRPr="00B045F7" w14:paraId="09C6343F" w14:textId="77777777" w:rsidTr="00BA1726">
      <w:tc>
        <w:tcPr>
          <w:tcW w:w="296" w:type="dxa"/>
        </w:tcPr>
        <w:p w14:paraId="660E639F" w14:textId="77777777" w:rsidR="00B86EF8" w:rsidRPr="00B045F7" w:rsidRDefault="00B86EF8" w:rsidP="00456F9F">
          <w:pPr>
            <w:pStyle w:val="Header"/>
          </w:pPr>
        </w:p>
      </w:tc>
      <w:tc>
        <w:tcPr>
          <w:tcW w:w="8101" w:type="dxa"/>
        </w:tcPr>
        <w:p w14:paraId="5110BA41" w14:textId="77777777" w:rsidR="00B86EF8" w:rsidRPr="00B045F7" w:rsidRDefault="00B86EF8" w:rsidP="00456F9F">
          <w:pPr>
            <w:pStyle w:val="Header"/>
          </w:pPr>
        </w:p>
      </w:tc>
    </w:tr>
    <w:tr w:rsidR="00B86EF8" w:rsidRPr="00B045F7" w14:paraId="4CF7C810" w14:textId="77777777" w:rsidTr="00BA1726">
      <w:tc>
        <w:tcPr>
          <w:tcW w:w="296" w:type="dxa"/>
        </w:tcPr>
        <w:p w14:paraId="13CF0631" w14:textId="77777777" w:rsidR="00B86EF8" w:rsidRPr="00B045F7" w:rsidRDefault="00B86EF8" w:rsidP="00456F9F">
          <w:pPr>
            <w:pStyle w:val="Header"/>
          </w:pPr>
        </w:p>
      </w:tc>
      <w:tc>
        <w:tcPr>
          <w:tcW w:w="8101" w:type="dxa"/>
          <w:tcMar>
            <w:left w:w="0" w:type="dxa"/>
          </w:tcMar>
        </w:tcPr>
        <w:p w14:paraId="082D4D36" w14:textId="77777777" w:rsidR="00B86EF8" w:rsidRPr="00B045F7" w:rsidRDefault="00B86EF8" w:rsidP="00456F9F">
          <w:pPr>
            <w:pStyle w:val="Header"/>
            <w:jc w:val="center"/>
          </w:pPr>
          <w:r>
            <w:t>Switching Programme - E2E Solution Architecture</w:t>
          </w:r>
        </w:p>
      </w:tc>
    </w:tr>
    <w:tr w:rsidR="00B86EF8" w:rsidRPr="00B045F7" w14:paraId="56CB6AD0" w14:textId="77777777" w:rsidTr="00BA1726">
      <w:tc>
        <w:tcPr>
          <w:tcW w:w="296" w:type="dxa"/>
        </w:tcPr>
        <w:p w14:paraId="58C2F789" w14:textId="77777777" w:rsidR="00B86EF8" w:rsidRPr="00B045F7" w:rsidRDefault="00B86EF8" w:rsidP="00456F9F">
          <w:pPr>
            <w:pStyle w:val="Header"/>
          </w:pPr>
        </w:p>
      </w:tc>
      <w:tc>
        <w:tcPr>
          <w:tcW w:w="8101" w:type="dxa"/>
        </w:tcPr>
        <w:p w14:paraId="4A9F27EC" w14:textId="77777777" w:rsidR="00B86EF8" w:rsidRPr="00B045F7" w:rsidRDefault="00B86EF8" w:rsidP="00456F9F">
          <w:pPr>
            <w:pStyle w:val="Header"/>
          </w:pPr>
        </w:p>
      </w:tc>
    </w:tr>
  </w:tbl>
  <w:p w14:paraId="54CDA4D9" w14:textId="77777777" w:rsidR="00B86EF8" w:rsidRPr="00456F9F" w:rsidRDefault="00B86EF8" w:rsidP="00456F9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E5BAE" w14:textId="77777777" w:rsidR="00B86EF8" w:rsidRDefault="00B86EF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92570D" w14:textId="2FAE5FEA" w:rsidR="00B86EF8" w:rsidRDefault="00B86EF8" w:rsidP="00673E56">
    <w:pPr>
      <w:pStyle w:val="Header"/>
      <w:jc w:val="center"/>
    </w:pPr>
    <w:r>
      <w:t>Switching Programme - E2E Solution Architecture</w:t>
    </w:r>
    <w:r>
      <w:rPr>
        <w:noProof/>
        <w:lang w:eastAsia="en-GB"/>
      </w:rPr>
      <mc:AlternateContent>
        <mc:Choice Requires="wps">
          <w:drawing>
            <wp:anchor distT="0" distB="0" distL="114300" distR="114300" simplePos="0" relativeHeight="251658240" behindDoc="1" locked="0" layoutInCell="0" allowOverlap="1" wp14:anchorId="76F8383C" wp14:editId="4D53535C">
              <wp:simplePos x="0" y="0"/>
              <wp:positionH relativeFrom="margin">
                <wp:align>center</wp:align>
              </wp:positionH>
              <wp:positionV relativeFrom="margin">
                <wp:align>center</wp:align>
              </wp:positionV>
              <wp:extent cx="8204835" cy="512445"/>
              <wp:effectExtent l="0" t="2733675" r="0" b="2716530"/>
              <wp:wrapNone/>
              <wp:docPr id="4"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204835" cy="5124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99A3C7" w14:textId="77777777" w:rsidR="00B86EF8" w:rsidRDefault="00B86EF8" w:rsidP="000126A5">
                          <w:pPr>
                            <w:pStyle w:val="NormalWeb"/>
                            <w:spacing w:before="0" w:after="0"/>
                            <w:jc w:val="center"/>
                          </w:pPr>
                          <w:r>
                            <w:rPr>
                              <w:rFonts w:ascii="Verdana" w:eastAsia="Verdana" w:hAnsi="Verdana" w:cs="Verdana"/>
                              <w:color w:val="C0C0C0"/>
                              <w:sz w:val="2"/>
                              <w:szCs w:val="2"/>
                              <w14:textFill>
                                <w14:solidFill>
                                  <w14:srgbClr w14:val="C0C0C0">
                                    <w14:alpha w14:val="50000"/>
                                  </w14:srgbClr>
                                </w14:solidFill>
                              </w14:textFill>
                            </w:rPr>
                            <w:t>Draft; Awaiting QA Alignment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6F8383C" id="_x0000_t202" coordsize="21600,21600" o:spt="202" path="m,l,21600r21600,l21600,xe">
              <v:stroke joinstyle="miter"/>
              <v:path gradientshapeok="t" o:connecttype="rect"/>
            </v:shapetype>
            <v:shape id="WordArt 23" o:spid="_x0000_s1026" type="#_x0000_t202" style="position:absolute;left:0;text-align:left;margin-left:0;margin-top:0;width:646.05pt;height:40.3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" o:allowincell="f" filled="f" stroked="f">
              <v:stroke joinstyle="round"/>
              <o:lock v:ext="edit" shapetype="t"/>
              <v:textbox style="mso-fit-shape-to-text:t">
                <w:txbxContent>
                  <w:p w14:paraId="5A99A3C7" w14:textId="77777777" w:rsidR="00B86EF8" w:rsidRDefault="00B86EF8" w:rsidP="000126A5">
                    <w:pPr>
                      <w:pStyle w:val="NormalWeb"/>
                      <w:spacing w:before="0" w:after="0"/>
                      <w:jc w:val="center"/>
                    </w:pPr>
                    <w:r>
                      <w:rPr>
                        <w:rFonts w:ascii="Verdana" w:eastAsia="Verdana" w:hAnsi="Verdana" w:cs="Verdana"/>
                        <w:color w:val="C0C0C0"/>
                        <w:sz w:val="2"/>
                        <w:szCs w:val="2"/>
                        <w14:textFill>
                          <w14:solidFill>
                            <w14:srgbClr w14:val="C0C0C0">
                              <w14:alpha w14:val="50000"/>
                            </w14:srgbClr>
                          </w14:solidFill>
                        </w14:textFill>
                      </w:rPr>
                      <w:t>Draft; Awaiting QA Alignment</w:t>
                    </w:r>
                  </w:p>
                </w:txbxContent>
              </v:textbox>
              <w10:wrap anchorx="margin"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B7999" w14:textId="77777777" w:rsidR="00B86EF8" w:rsidRDefault="00B86EF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23F4DB" w14:textId="77777777" w:rsidR="00B86EF8" w:rsidRDefault="00B86EF8" w:rsidP="00673E56">
    <w:pPr>
      <w:pStyle w:val="Header"/>
      <w:jc w:val="center"/>
    </w:pPr>
    <w:r>
      <w:t>Switching Programme - E2E Solution Architecture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E0C1C5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5975EC"/>
    <w:multiLevelType w:val="hybridMultilevel"/>
    <w:tmpl w:val="0EEA62E8"/>
    <w:lvl w:ilvl="0" w:tplc="23B8D476">
      <w:start w:val="1"/>
      <w:numFmt w:val="decimal"/>
      <w:pStyle w:val="Text-Numbered"/>
      <w:lvlText w:val="%1."/>
      <w:lvlJc w:val="left"/>
      <w:pPr>
        <w:tabs>
          <w:tab w:val="num" w:pos="360"/>
        </w:tabs>
        <w:ind w:left="360" w:hanging="360"/>
      </w:pPr>
      <w:rPr>
        <w:rFonts w:hint="default"/>
        <w:b/>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10413F6"/>
    <w:multiLevelType w:val="hybridMultilevel"/>
    <w:tmpl w:val="E19CD49C"/>
    <w:lvl w:ilvl="0" w:tplc="F1BE98EC">
      <w:numFmt w:val="bullet"/>
      <w:lvlText w:val="-"/>
      <w:lvlJc w:val="left"/>
      <w:pPr>
        <w:ind w:left="360" w:hanging="360"/>
      </w:pPr>
      <w:rPr>
        <w:rFonts w:ascii="Arial" w:eastAsiaTheme="minorEastAsia"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53F7602"/>
    <w:multiLevelType w:val="hybridMultilevel"/>
    <w:tmpl w:val="073866DC"/>
    <w:lvl w:ilvl="0" w:tplc="7EF610F4">
      <w:start w:val="1"/>
      <w:numFmt w:val="bullet"/>
      <w:pStyle w:val="CaseStudyQuoteBullets"/>
      <w:lvlText w:val=""/>
      <w:lvlJc w:val="left"/>
      <w:pPr>
        <w:ind w:left="360" w:hanging="360"/>
      </w:pPr>
      <w:rPr>
        <w:rFonts w:ascii="Wingdings" w:hAnsi="Wingdings" w:hint="default"/>
        <w:b w:val="0"/>
        <w:bCs w:val="0"/>
        <w:i w:val="0"/>
        <w:iCs w:val="0"/>
        <w:color w:val="auto"/>
        <w:sz w:val="28"/>
        <w:szCs w:val="28"/>
      </w:rPr>
    </w:lvl>
    <w:lvl w:ilvl="1" w:tplc="FFC82C90">
      <w:start w:val="1"/>
      <w:numFmt w:val="bullet"/>
      <w:lvlText w:val="o"/>
      <w:lvlJc w:val="left"/>
      <w:pPr>
        <w:ind w:left="1440" w:hanging="360"/>
      </w:pPr>
      <w:rPr>
        <w:rFonts w:ascii="Courier New" w:hAnsi="Courier New" w:hint="default"/>
      </w:rPr>
    </w:lvl>
    <w:lvl w:ilvl="2" w:tplc="FA6829DC" w:tentative="1">
      <w:start w:val="1"/>
      <w:numFmt w:val="bullet"/>
      <w:lvlText w:val=""/>
      <w:lvlJc w:val="left"/>
      <w:pPr>
        <w:ind w:left="2160" w:hanging="360"/>
      </w:pPr>
      <w:rPr>
        <w:rFonts w:ascii="Wingdings" w:hAnsi="Wingdings" w:hint="default"/>
      </w:rPr>
    </w:lvl>
    <w:lvl w:ilvl="3" w:tplc="49E2ED40" w:tentative="1">
      <w:start w:val="1"/>
      <w:numFmt w:val="bullet"/>
      <w:lvlText w:val=""/>
      <w:lvlJc w:val="left"/>
      <w:pPr>
        <w:ind w:left="2880" w:hanging="360"/>
      </w:pPr>
      <w:rPr>
        <w:rFonts w:ascii="Symbol" w:hAnsi="Symbol" w:hint="default"/>
      </w:rPr>
    </w:lvl>
    <w:lvl w:ilvl="4" w:tplc="48C66B2A" w:tentative="1">
      <w:start w:val="1"/>
      <w:numFmt w:val="bullet"/>
      <w:lvlText w:val="o"/>
      <w:lvlJc w:val="left"/>
      <w:pPr>
        <w:ind w:left="3600" w:hanging="360"/>
      </w:pPr>
      <w:rPr>
        <w:rFonts w:ascii="Courier New" w:hAnsi="Courier New" w:hint="default"/>
      </w:rPr>
    </w:lvl>
    <w:lvl w:ilvl="5" w:tplc="8D8CBA3E" w:tentative="1">
      <w:start w:val="1"/>
      <w:numFmt w:val="bullet"/>
      <w:lvlText w:val=""/>
      <w:lvlJc w:val="left"/>
      <w:pPr>
        <w:ind w:left="4320" w:hanging="360"/>
      </w:pPr>
      <w:rPr>
        <w:rFonts w:ascii="Wingdings" w:hAnsi="Wingdings" w:hint="default"/>
      </w:rPr>
    </w:lvl>
    <w:lvl w:ilvl="6" w:tplc="61405850" w:tentative="1">
      <w:start w:val="1"/>
      <w:numFmt w:val="bullet"/>
      <w:lvlText w:val=""/>
      <w:lvlJc w:val="left"/>
      <w:pPr>
        <w:ind w:left="5040" w:hanging="360"/>
      </w:pPr>
      <w:rPr>
        <w:rFonts w:ascii="Symbol" w:hAnsi="Symbol" w:hint="default"/>
      </w:rPr>
    </w:lvl>
    <w:lvl w:ilvl="7" w:tplc="56AC94DC" w:tentative="1">
      <w:start w:val="1"/>
      <w:numFmt w:val="bullet"/>
      <w:lvlText w:val="o"/>
      <w:lvlJc w:val="left"/>
      <w:pPr>
        <w:ind w:left="5760" w:hanging="360"/>
      </w:pPr>
      <w:rPr>
        <w:rFonts w:ascii="Courier New" w:hAnsi="Courier New" w:hint="default"/>
      </w:rPr>
    </w:lvl>
    <w:lvl w:ilvl="8" w:tplc="5C96835E" w:tentative="1">
      <w:start w:val="1"/>
      <w:numFmt w:val="bullet"/>
      <w:lvlText w:val=""/>
      <w:lvlJc w:val="left"/>
      <w:pPr>
        <w:ind w:left="6480" w:hanging="360"/>
      </w:pPr>
      <w:rPr>
        <w:rFonts w:ascii="Wingdings" w:hAnsi="Wingdings" w:hint="default"/>
      </w:rPr>
    </w:lvl>
  </w:abstractNum>
  <w:abstractNum w:abstractNumId="4" w15:restartNumberingAfterBreak="0">
    <w:nsid w:val="09147058"/>
    <w:multiLevelType w:val="hybridMultilevel"/>
    <w:tmpl w:val="4548325C"/>
    <w:lvl w:ilvl="0" w:tplc="08090001">
      <w:start w:val="1"/>
      <w:numFmt w:val="bullet"/>
      <w:lvlText w:val=""/>
      <w:lvlJc w:val="left"/>
      <w:pPr>
        <w:ind w:left="1792" w:hanging="360"/>
      </w:pPr>
      <w:rPr>
        <w:rFonts w:ascii="Symbol" w:hAnsi="Symbol" w:hint="default"/>
      </w:rPr>
    </w:lvl>
    <w:lvl w:ilvl="1" w:tplc="08090003">
      <w:start w:val="1"/>
      <w:numFmt w:val="bullet"/>
      <w:lvlText w:val="o"/>
      <w:lvlJc w:val="left"/>
      <w:pPr>
        <w:ind w:left="2512" w:hanging="360"/>
      </w:pPr>
      <w:rPr>
        <w:rFonts w:ascii="Courier New" w:hAnsi="Courier New" w:cs="Courier New" w:hint="default"/>
      </w:rPr>
    </w:lvl>
    <w:lvl w:ilvl="2" w:tplc="08090005" w:tentative="1">
      <w:start w:val="1"/>
      <w:numFmt w:val="bullet"/>
      <w:lvlText w:val=""/>
      <w:lvlJc w:val="left"/>
      <w:pPr>
        <w:ind w:left="3232" w:hanging="360"/>
      </w:pPr>
      <w:rPr>
        <w:rFonts w:ascii="Wingdings" w:hAnsi="Wingdings" w:hint="default"/>
      </w:rPr>
    </w:lvl>
    <w:lvl w:ilvl="3" w:tplc="08090001" w:tentative="1">
      <w:start w:val="1"/>
      <w:numFmt w:val="bullet"/>
      <w:lvlText w:val=""/>
      <w:lvlJc w:val="left"/>
      <w:pPr>
        <w:ind w:left="3952" w:hanging="360"/>
      </w:pPr>
      <w:rPr>
        <w:rFonts w:ascii="Symbol" w:hAnsi="Symbol" w:hint="default"/>
      </w:rPr>
    </w:lvl>
    <w:lvl w:ilvl="4" w:tplc="08090003" w:tentative="1">
      <w:start w:val="1"/>
      <w:numFmt w:val="bullet"/>
      <w:lvlText w:val="o"/>
      <w:lvlJc w:val="left"/>
      <w:pPr>
        <w:ind w:left="4672" w:hanging="360"/>
      </w:pPr>
      <w:rPr>
        <w:rFonts w:ascii="Courier New" w:hAnsi="Courier New" w:cs="Courier New" w:hint="default"/>
      </w:rPr>
    </w:lvl>
    <w:lvl w:ilvl="5" w:tplc="08090005" w:tentative="1">
      <w:start w:val="1"/>
      <w:numFmt w:val="bullet"/>
      <w:lvlText w:val=""/>
      <w:lvlJc w:val="left"/>
      <w:pPr>
        <w:ind w:left="5392" w:hanging="360"/>
      </w:pPr>
      <w:rPr>
        <w:rFonts w:ascii="Wingdings" w:hAnsi="Wingdings" w:hint="default"/>
      </w:rPr>
    </w:lvl>
    <w:lvl w:ilvl="6" w:tplc="08090001" w:tentative="1">
      <w:start w:val="1"/>
      <w:numFmt w:val="bullet"/>
      <w:lvlText w:val=""/>
      <w:lvlJc w:val="left"/>
      <w:pPr>
        <w:ind w:left="6112" w:hanging="360"/>
      </w:pPr>
      <w:rPr>
        <w:rFonts w:ascii="Symbol" w:hAnsi="Symbol" w:hint="default"/>
      </w:rPr>
    </w:lvl>
    <w:lvl w:ilvl="7" w:tplc="08090003" w:tentative="1">
      <w:start w:val="1"/>
      <w:numFmt w:val="bullet"/>
      <w:lvlText w:val="o"/>
      <w:lvlJc w:val="left"/>
      <w:pPr>
        <w:ind w:left="6832" w:hanging="360"/>
      </w:pPr>
      <w:rPr>
        <w:rFonts w:ascii="Courier New" w:hAnsi="Courier New" w:cs="Courier New" w:hint="default"/>
      </w:rPr>
    </w:lvl>
    <w:lvl w:ilvl="8" w:tplc="08090005" w:tentative="1">
      <w:start w:val="1"/>
      <w:numFmt w:val="bullet"/>
      <w:lvlText w:val=""/>
      <w:lvlJc w:val="left"/>
      <w:pPr>
        <w:ind w:left="7552" w:hanging="360"/>
      </w:pPr>
      <w:rPr>
        <w:rFonts w:ascii="Wingdings" w:hAnsi="Wingdings" w:hint="default"/>
      </w:rPr>
    </w:lvl>
  </w:abstractNum>
  <w:abstractNum w:abstractNumId="5" w15:restartNumberingAfterBreak="0">
    <w:nsid w:val="0A494C07"/>
    <w:multiLevelType w:val="hybridMultilevel"/>
    <w:tmpl w:val="C7C2F934"/>
    <w:lvl w:ilvl="0" w:tplc="AE9AF768">
      <w:numFmt w:val="bullet"/>
      <w:lvlText w:val="-"/>
      <w:lvlJc w:val="left"/>
      <w:pPr>
        <w:ind w:left="227" w:hanging="227"/>
      </w:pPr>
      <w:rPr>
        <w:rFonts w:ascii="Arial" w:eastAsiaTheme="minorEastAsia" w:hAnsi="Arial" w:hint="default"/>
      </w:rPr>
    </w:lvl>
    <w:lvl w:ilvl="1" w:tplc="08090003">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6" w15:restartNumberingAfterBreak="0">
    <w:nsid w:val="10DE59C6"/>
    <w:multiLevelType w:val="hybridMultilevel"/>
    <w:tmpl w:val="A78661C4"/>
    <w:lvl w:ilvl="0" w:tplc="60307EC0">
      <w:start w:val="1"/>
      <w:numFmt w:val="bullet"/>
      <w:pStyle w:val="ChapterSummary"/>
      <w:lvlText w:val=""/>
      <w:lvlJc w:val="left"/>
      <w:pPr>
        <w:tabs>
          <w:tab w:val="num" w:pos="357"/>
        </w:tabs>
        <w:ind w:left="357" w:hanging="357"/>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3D41CC"/>
    <w:multiLevelType w:val="multilevel"/>
    <w:tmpl w:val="C5C485AE"/>
    <w:lvl w:ilvl="0">
      <w:start w:val="1"/>
      <w:numFmt w:val="lowerLetter"/>
      <w:pStyle w:val="ListLettering"/>
      <w:lvlText w:val="%1."/>
      <w:lvlJc w:val="left"/>
      <w:pPr>
        <w:ind w:left="1211" w:hanging="360"/>
      </w:pPr>
      <w:rPr>
        <w:rFonts w:hint="default"/>
        <w:b w:val="0"/>
        <w:bCs w:val="0"/>
        <w:i w:val="0"/>
        <w:iCs w:val="0"/>
        <w:color w:val="auto"/>
        <w:sz w:val="22"/>
        <w:szCs w:val="22"/>
      </w:rPr>
    </w:lvl>
    <w:lvl w:ilvl="1">
      <w:start w:val="1"/>
      <w:numFmt w:val="none"/>
      <w:suff w:val="nothing"/>
      <w:lvlText w:val=""/>
      <w:lvlJc w:val="left"/>
      <w:pPr>
        <w:ind w:left="-397" w:firstLine="0"/>
      </w:pPr>
      <w:rPr>
        <w:rFonts w:hint="default"/>
      </w:rPr>
    </w:lvl>
    <w:lvl w:ilvl="2">
      <w:start w:val="1"/>
      <w:numFmt w:val="none"/>
      <w:suff w:val="nothing"/>
      <w:lvlText w:val=""/>
      <w:lvlJc w:val="left"/>
      <w:pPr>
        <w:ind w:left="-397" w:firstLine="0"/>
      </w:pPr>
      <w:rPr>
        <w:rFonts w:hint="default"/>
      </w:rPr>
    </w:lvl>
    <w:lvl w:ilvl="3">
      <w:start w:val="1"/>
      <w:numFmt w:val="none"/>
      <w:suff w:val="nothing"/>
      <w:lvlText w:val=""/>
      <w:lvlJc w:val="left"/>
      <w:pPr>
        <w:ind w:left="-397" w:firstLine="0"/>
      </w:pPr>
      <w:rPr>
        <w:rFonts w:hint="default"/>
      </w:rPr>
    </w:lvl>
    <w:lvl w:ilvl="4">
      <w:start w:val="1"/>
      <w:numFmt w:val="none"/>
      <w:suff w:val="nothing"/>
      <w:lvlText w:val=""/>
      <w:lvlJc w:val="left"/>
      <w:pPr>
        <w:ind w:left="-397" w:firstLine="0"/>
      </w:pPr>
      <w:rPr>
        <w:rFonts w:hint="default"/>
      </w:rPr>
    </w:lvl>
    <w:lvl w:ilvl="5">
      <w:start w:val="1"/>
      <w:numFmt w:val="none"/>
      <w:suff w:val="nothing"/>
      <w:lvlText w:val=""/>
      <w:lvlJc w:val="left"/>
      <w:pPr>
        <w:ind w:left="-397" w:firstLine="0"/>
      </w:pPr>
      <w:rPr>
        <w:rFonts w:hint="default"/>
      </w:rPr>
    </w:lvl>
    <w:lvl w:ilvl="6">
      <w:start w:val="1"/>
      <w:numFmt w:val="none"/>
      <w:suff w:val="nothing"/>
      <w:lvlText w:val=""/>
      <w:lvlJc w:val="left"/>
      <w:pPr>
        <w:ind w:left="-397" w:firstLine="0"/>
      </w:pPr>
      <w:rPr>
        <w:rFonts w:hint="default"/>
      </w:rPr>
    </w:lvl>
    <w:lvl w:ilvl="7">
      <w:start w:val="1"/>
      <w:numFmt w:val="none"/>
      <w:suff w:val="nothing"/>
      <w:lvlText w:val=""/>
      <w:lvlJc w:val="left"/>
      <w:pPr>
        <w:ind w:left="-397" w:firstLine="0"/>
      </w:pPr>
      <w:rPr>
        <w:rFonts w:hint="default"/>
      </w:rPr>
    </w:lvl>
    <w:lvl w:ilvl="8">
      <w:start w:val="1"/>
      <w:numFmt w:val="none"/>
      <w:suff w:val="nothing"/>
      <w:lvlText w:val=""/>
      <w:lvlJc w:val="left"/>
      <w:pPr>
        <w:ind w:left="-397" w:firstLine="0"/>
      </w:pPr>
      <w:rPr>
        <w:rFonts w:hint="default"/>
      </w:rPr>
    </w:lvl>
  </w:abstractNum>
  <w:abstractNum w:abstractNumId="8" w15:restartNumberingAfterBreak="0">
    <w:nsid w:val="1D7251CD"/>
    <w:multiLevelType w:val="multilevel"/>
    <w:tmpl w:val="7E285AC0"/>
    <w:lvl w:ilvl="0">
      <w:start w:val="1"/>
      <w:numFmt w:val="bullet"/>
      <w:lvlText w:val=""/>
      <w:lvlJc w:val="left"/>
      <w:pPr>
        <w:ind w:left="567" w:hanging="567"/>
      </w:pPr>
      <w:rPr>
        <w:rFonts w:ascii="Wingdings" w:hAnsi="Wingdings" w:hint="default"/>
        <w:b w:val="0"/>
        <w:bCs w:val="0"/>
        <w:i w:val="0"/>
        <w:iCs w:val="0"/>
        <w:color w:val="auto"/>
        <w:sz w:val="28"/>
      </w:rPr>
    </w:lvl>
    <w:lvl w:ilvl="1">
      <w:start w:val="1"/>
      <w:numFmt w:val="bullet"/>
      <w:lvlText w:val=""/>
      <w:lvlJc w:val="left"/>
      <w:pPr>
        <w:ind w:left="1134" w:hanging="567"/>
      </w:pPr>
      <w:rPr>
        <w:rFonts w:ascii="Wingdings" w:hAnsi="Wingdings" w:hint="default"/>
        <w:color w:val="auto"/>
      </w:rPr>
    </w:lvl>
    <w:lvl w:ilvl="2">
      <w:start w:val="1"/>
      <w:numFmt w:val="bullet"/>
      <w:lvlText w:val="‒"/>
      <w:lvlJc w:val="left"/>
      <w:pPr>
        <w:ind w:left="1701" w:hanging="567"/>
      </w:pPr>
      <w:rPr>
        <w:rFonts w:ascii="Arial" w:hAnsi="Arial" w:hint="default"/>
        <w:color w:val="auto"/>
      </w:rPr>
    </w:lvl>
    <w:lvl w:ilvl="3">
      <w:start w:val="1"/>
      <w:numFmt w:val="lowerLetter"/>
      <w:lvlText w:val="%4."/>
      <w:lvlJc w:val="left"/>
      <w:pPr>
        <w:ind w:left="2268" w:hanging="567"/>
      </w:pPr>
      <w:rPr>
        <w:rFonts w:hint="default"/>
      </w:rPr>
    </w:lvl>
    <w:lvl w:ilvl="4">
      <w:start w:val="1"/>
      <w:numFmt w:val="lowerRoman"/>
      <w:lvlText w:val="%5."/>
      <w:lvlJc w:val="left"/>
      <w:pPr>
        <w:ind w:left="2268" w:hanging="567"/>
      </w:pPr>
      <w:rPr>
        <w:rFonts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41040CD"/>
    <w:multiLevelType w:val="hybridMultilevel"/>
    <w:tmpl w:val="690A2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CF6309"/>
    <w:multiLevelType w:val="multilevel"/>
    <w:tmpl w:val="E16A2AEE"/>
    <w:lvl w:ilvl="0">
      <w:start w:val="1"/>
      <w:numFmt w:val="decimal"/>
      <w:pStyle w:val="ListNumber"/>
      <w:lvlText w:val="%1."/>
      <w:lvlJc w:val="left"/>
      <w:pPr>
        <w:tabs>
          <w:tab w:val="num" w:pos="510"/>
        </w:tabs>
        <w:ind w:left="851" w:hanging="851"/>
      </w:pPr>
      <w:rPr>
        <w:rFonts w:hint="default"/>
        <w:color w:val="auto"/>
        <w:sz w:val="22"/>
        <w:szCs w:val="22"/>
      </w:rPr>
    </w:lvl>
    <w:lvl w:ilvl="1">
      <w:start w:val="1"/>
      <w:numFmt w:val="decimal"/>
      <w:pStyle w:val="ListNumber2"/>
      <w:lvlText w:val="%1.%2."/>
      <w:lvlJc w:val="left"/>
      <w:pPr>
        <w:tabs>
          <w:tab w:val="num" w:pos="851"/>
        </w:tabs>
        <w:ind w:left="397" w:hanging="397"/>
      </w:pPr>
      <w:rPr>
        <w:rFonts w:hint="default"/>
        <w:color w:val="auto"/>
        <w:sz w:val="22"/>
        <w:szCs w:val="22"/>
      </w:rPr>
    </w:lvl>
    <w:lvl w:ilvl="2">
      <w:start w:val="1"/>
      <w:numFmt w:val="decimal"/>
      <w:pStyle w:val="ListNumber3"/>
      <w:lvlText w:val="%1.%2.%3."/>
      <w:lvlJc w:val="left"/>
      <w:pPr>
        <w:tabs>
          <w:tab w:val="num" w:pos="-31680"/>
        </w:tabs>
        <w:ind w:left="2552" w:hanging="851"/>
      </w:pPr>
      <w:rPr>
        <w:rFonts w:hint="default"/>
        <w:color w:val="auto"/>
      </w:rPr>
    </w:lvl>
    <w:lvl w:ilvl="3">
      <w:start w:val="1"/>
      <w:numFmt w:val="decimal"/>
      <w:lvlText w:val="%1.%2.%3.%4."/>
      <w:lvlJc w:val="left"/>
      <w:pPr>
        <w:ind w:left="951" w:hanging="648"/>
      </w:pPr>
      <w:rPr>
        <w:rFonts w:hint="default"/>
      </w:rPr>
    </w:lvl>
    <w:lvl w:ilvl="4">
      <w:start w:val="1"/>
      <w:numFmt w:val="decimal"/>
      <w:lvlText w:val="%1.%2.%3.%4.%5."/>
      <w:lvlJc w:val="left"/>
      <w:pPr>
        <w:ind w:left="1455" w:hanging="792"/>
      </w:pPr>
      <w:rPr>
        <w:rFonts w:hint="default"/>
      </w:rPr>
    </w:lvl>
    <w:lvl w:ilvl="5">
      <w:start w:val="1"/>
      <w:numFmt w:val="decimal"/>
      <w:lvlText w:val="%1.%2.%3.%4.%5.%6."/>
      <w:lvlJc w:val="left"/>
      <w:pPr>
        <w:ind w:left="1959" w:hanging="936"/>
      </w:pPr>
      <w:rPr>
        <w:rFonts w:hint="default"/>
      </w:rPr>
    </w:lvl>
    <w:lvl w:ilvl="6">
      <w:start w:val="1"/>
      <w:numFmt w:val="decimal"/>
      <w:lvlText w:val="%1.%2.%3.%4.%5.%6.%7."/>
      <w:lvlJc w:val="left"/>
      <w:pPr>
        <w:ind w:left="2463" w:hanging="1080"/>
      </w:pPr>
      <w:rPr>
        <w:rFonts w:hint="default"/>
      </w:rPr>
    </w:lvl>
    <w:lvl w:ilvl="7">
      <w:start w:val="1"/>
      <w:numFmt w:val="decimal"/>
      <w:lvlText w:val="%1.%2.%3.%4.%5.%6.%7.%8."/>
      <w:lvlJc w:val="left"/>
      <w:pPr>
        <w:ind w:left="2967" w:hanging="1224"/>
      </w:pPr>
      <w:rPr>
        <w:rFonts w:hint="default"/>
      </w:rPr>
    </w:lvl>
    <w:lvl w:ilvl="8">
      <w:start w:val="1"/>
      <w:numFmt w:val="decimal"/>
      <w:lvlText w:val="%1.%2.%3.%4.%5.%6.%7.%8.%9."/>
      <w:lvlJc w:val="left"/>
      <w:pPr>
        <w:ind w:left="3543" w:hanging="1440"/>
      </w:pPr>
      <w:rPr>
        <w:rFonts w:hint="default"/>
      </w:rPr>
    </w:lvl>
  </w:abstractNum>
  <w:abstractNum w:abstractNumId="11" w15:restartNumberingAfterBreak="0">
    <w:nsid w:val="290026BF"/>
    <w:multiLevelType w:val="hybridMultilevel"/>
    <w:tmpl w:val="71100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3A6B62"/>
    <w:multiLevelType w:val="multilevel"/>
    <w:tmpl w:val="470AC6FA"/>
    <w:lvl w:ilvl="0">
      <w:start w:val="1"/>
      <w:numFmt w:val="decimal"/>
      <w:pStyle w:val="ChapterHeading"/>
      <w:suff w:val="space"/>
      <w:lvlText w:val="%1."/>
      <w:lvlJc w:val="left"/>
      <w:pPr>
        <w:ind w:left="360" w:hanging="360"/>
      </w:pPr>
      <w:rPr>
        <w:rFonts w:hint="default"/>
      </w:rPr>
    </w:lvl>
    <w:lvl w:ilvl="1">
      <w:start w:val="1"/>
      <w:numFmt w:val="decimal"/>
      <w:pStyle w:val="Paragrapgh"/>
      <w:lvlText w:val="%1.%2."/>
      <w:lvlJc w:val="left"/>
      <w:pPr>
        <w:tabs>
          <w:tab w:val="num" w:pos="680"/>
        </w:tabs>
        <w:ind w:left="0" w:firstLine="0"/>
      </w:pPr>
      <w:rPr>
        <w:rFonts w:hint="default"/>
        <w:b w:val="0"/>
      </w:rPr>
    </w:lvl>
    <w:lvl w:ilvl="2">
      <w:start w:val="1"/>
      <w:numFmt w:val="bullet"/>
      <w:lvlText w:val=""/>
      <w:lvlJc w:val="left"/>
      <w:pPr>
        <w:tabs>
          <w:tab w:val="num" w:pos="1440"/>
        </w:tabs>
        <w:ind w:left="1224" w:hanging="504"/>
      </w:pPr>
      <w:rPr>
        <w:rFonts w:ascii="Symbol" w:hAnsi="Symbol"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2D2510E6"/>
    <w:multiLevelType w:val="multilevel"/>
    <w:tmpl w:val="C49C2D04"/>
    <w:lvl w:ilvl="0">
      <w:start w:val="1"/>
      <w:numFmt w:val="bullet"/>
      <w:pStyle w:val="TableBullet1"/>
      <w:lvlText w:val=""/>
      <w:lvlJc w:val="left"/>
      <w:pPr>
        <w:tabs>
          <w:tab w:val="num" w:pos="397"/>
        </w:tabs>
        <w:ind w:left="284" w:hanging="284"/>
      </w:pPr>
      <w:rPr>
        <w:rFonts w:ascii="Wingdings" w:hAnsi="Wingdings" w:hint="default"/>
        <w:b w:val="0"/>
        <w:bCs w:val="0"/>
        <w:i w:val="0"/>
        <w:iCs w:val="0"/>
        <w:color w:val="auto"/>
        <w:sz w:val="28"/>
        <w:szCs w:val="28"/>
      </w:rPr>
    </w:lvl>
    <w:lvl w:ilvl="1">
      <w:start w:val="1"/>
      <w:numFmt w:val="bullet"/>
      <w:lvlText w:val=""/>
      <w:lvlJc w:val="left"/>
      <w:pPr>
        <w:ind w:left="851" w:hanging="511"/>
      </w:pPr>
      <w:rPr>
        <w:rFonts w:ascii="Wingdings" w:hAnsi="Wingdings"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D531325"/>
    <w:multiLevelType w:val="multilevel"/>
    <w:tmpl w:val="3F400786"/>
    <w:lvl w:ilvl="0">
      <w:start w:val="1"/>
      <w:numFmt w:val="decimal"/>
      <w:lvlText w:val="%1."/>
      <w:lvlJc w:val="left"/>
      <w:pPr>
        <w:tabs>
          <w:tab w:val="num" w:pos="510"/>
        </w:tabs>
        <w:ind w:left="851" w:hanging="851"/>
      </w:pPr>
      <w:rPr>
        <w:rFonts w:hint="default"/>
        <w:color w:val="auto"/>
        <w:sz w:val="22"/>
        <w:szCs w:val="22"/>
      </w:rPr>
    </w:lvl>
    <w:lvl w:ilvl="1">
      <w:start w:val="1"/>
      <w:numFmt w:val="bullet"/>
      <w:lvlText w:val=""/>
      <w:lvlJc w:val="left"/>
      <w:pPr>
        <w:tabs>
          <w:tab w:val="num" w:pos="851"/>
        </w:tabs>
        <w:ind w:left="397" w:hanging="397"/>
      </w:pPr>
      <w:rPr>
        <w:rFonts w:ascii="Wingdings" w:hAnsi="Wingdings" w:hint="default"/>
        <w:color w:val="auto"/>
        <w:sz w:val="22"/>
        <w:szCs w:val="22"/>
      </w:rPr>
    </w:lvl>
    <w:lvl w:ilvl="2">
      <w:start w:val="1"/>
      <w:numFmt w:val="decimal"/>
      <w:lvlText w:val="%1.%2.%3."/>
      <w:lvlJc w:val="left"/>
      <w:pPr>
        <w:tabs>
          <w:tab w:val="num" w:pos="-31680"/>
        </w:tabs>
        <w:ind w:left="2552" w:hanging="851"/>
      </w:pPr>
      <w:rPr>
        <w:rFonts w:hint="default"/>
        <w:color w:val="auto"/>
      </w:rPr>
    </w:lvl>
    <w:lvl w:ilvl="3">
      <w:start w:val="1"/>
      <w:numFmt w:val="decimal"/>
      <w:lvlText w:val="%1.%2.%3.%4."/>
      <w:lvlJc w:val="left"/>
      <w:pPr>
        <w:ind w:left="951" w:hanging="648"/>
      </w:pPr>
      <w:rPr>
        <w:rFonts w:hint="default"/>
      </w:rPr>
    </w:lvl>
    <w:lvl w:ilvl="4">
      <w:start w:val="1"/>
      <w:numFmt w:val="decimal"/>
      <w:lvlText w:val="%1.%2.%3.%4.%5."/>
      <w:lvlJc w:val="left"/>
      <w:pPr>
        <w:ind w:left="1455" w:hanging="792"/>
      </w:pPr>
      <w:rPr>
        <w:rFonts w:hint="default"/>
      </w:rPr>
    </w:lvl>
    <w:lvl w:ilvl="5">
      <w:start w:val="1"/>
      <w:numFmt w:val="decimal"/>
      <w:lvlText w:val="%1.%2.%3.%4.%5.%6."/>
      <w:lvlJc w:val="left"/>
      <w:pPr>
        <w:ind w:left="1959" w:hanging="936"/>
      </w:pPr>
      <w:rPr>
        <w:rFonts w:hint="default"/>
      </w:rPr>
    </w:lvl>
    <w:lvl w:ilvl="6">
      <w:start w:val="1"/>
      <w:numFmt w:val="decimal"/>
      <w:lvlText w:val="%1.%2.%3.%4.%5.%6.%7."/>
      <w:lvlJc w:val="left"/>
      <w:pPr>
        <w:ind w:left="2463" w:hanging="1080"/>
      </w:pPr>
      <w:rPr>
        <w:rFonts w:hint="default"/>
      </w:rPr>
    </w:lvl>
    <w:lvl w:ilvl="7">
      <w:start w:val="1"/>
      <w:numFmt w:val="decimal"/>
      <w:lvlText w:val="%1.%2.%3.%4.%5.%6.%7.%8."/>
      <w:lvlJc w:val="left"/>
      <w:pPr>
        <w:ind w:left="2967" w:hanging="1224"/>
      </w:pPr>
      <w:rPr>
        <w:rFonts w:hint="default"/>
      </w:rPr>
    </w:lvl>
    <w:lvl w:ilvl="8">
      <w:start w:val="1"/>
      <w:numFmt w:val="decimal"/>
      <w:lvlText w:val="%1.%2.%3.%4.%5.%6.%7.%8.%9."/>
      <w:lvlJc w:val="left"/>
      <w:pPr>
        <w:ind w:left="3543" w:hanging="1440"/>
      </w:pPr>
      <w:rPr>
        <w:rFonts w:hint="default"/>
      </w:rPr>
    </w:lvl>
  </w:abstractNum>
  <w:abstractNum w:abstractNumId="15" w15:restartNumberingAfterBreak="0">
    <w:nsid w:val="2F3B182D"/>
    <w:multiLevelType w:val="hybridMultilevel"/>
    <w:tmpl w:val="626AD2C2"/>
    <w:lvl w:ilvl="0" w:tplc="F1BE98EC">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8A67A2"/>
    <w:multiLevelType w:val="multilevel"/>
    <w:tmpl w:val="EA4AB698"/>
    <w:lvl w:ilvl="0">
      <w:start w:val="1"/>
      <w:numFmt w:val="decimal"/>
      <w:pStyle w:val="ParagraphNumbering"/>
      <w:lvlText w:val="%1."/>
      <w:lvlJc w:val="left"/>
      <w:pPr>
        <w:tabs>
          <w:tab w:val="num" w:pos="0"/>
        </w:tabs>
        <w:ind w:left="0" w:hanging="567"/>
      </w:pPr>
      <w:rPr>
        <w:rFonts w:hint="default"/>
        <w:b/>
        <w:bCs/>
        <w:i w:val="0"/>
        <w:iCs w:val="0"/>
        <w:color w:val="auto"/>
        <w:sz w:val="16"/>
        <w:szCs w:val="1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318D3268"/>
    <w:multiLevelType w:val="multilevel"/>
    <w:tmpl w:val="0EB8E6FC"/>
    <w:lvl w:ilvl="0">
      <w:start w:val="1"/>
      <w:numFmt w:val="bullet"/>
      <w:pStyle w:val="ListBullet"/>
      <w:lvlText w:val=""/>
      <w:lvlJc w:val="left"/>
      <w:pPr>
        <w:ind w:left="567" w:hanging="567"/>
      </w:pPr>
      <w:rPr>
        <w:rFonts w:ascii="Wingdings" w:hAnsi="Wingdings" w:hint="default"/>
        <w:b w:val="0"/>
        <w:bCs w:val="0"/>
        <w:i w:val="0"/>
        <w:iCs w:val="0"/>
        <w:color w:val="auto"/>
        <w:sz w:val="28"/>
      </w:rPr>
    </w:lvl>
    <w:lvl w:ilvl="1">
      <w:start w:val="1"/>
      <w:numFmt w:val="bullet"/>
      <w:pStyle w:val="ListBullet2"/>
      <w:lvlText w:val=""/>
      <w:lvlJc w:val="left"/>
      <w:pPr>
        <w:ind w:left="1134" w:hanging="567"/>
      </w:pPr>
      <w:rPr>
        <w:rFonts w:ascii="Symbol" w:hAnsi="Symbol" w:hint="default"/>
        <w:color w:val="auto"/>
      </w:rPr>
    </w:lvl>
    <w:lvl w:ilvl="2">
      <w:start w:val="1"/>
      <w:numFmt w:val="bullet"/>
      <w:pStyle w:val="ListBullet3"/>
      <w:lvlText w:val="‒"/>
      <w:lvlJc w:val="left"/>
      <w:pPr>
        <w:ind w:left="1701" w:hanging="567"/>
      </w:pPr>
      <w:rPr>
        <w:rFonts w:ascii="Arial" w:hAnsi="Arial" w:hint="default"/>
        <w:color w:val="auto"/>
      </w:rPr>
    </w:lvl>
    <w:lvl w:ilvl="3">
      <w:start w:val="1"/>
      <w:numFmt w:val="lowerLetter"/>
      <w:pStyle w:val="ListBullet4"/>
      <w:lvlText w:val="%4."/>
      <w:lvlJc w:val="left"/>
      <w:pPr>
        <w:ind w:left="2268" w:hanging="567"/>
      </w:pPr>
      <w:rPr>
        <w:rFonts w:hint="default"/>
      </w:rPr>
    </w:lvl>
    <w:lvl w:ilvl="4">
      <w:start w:val="1"/>
      <w:numFmt w:val="lowerRoman"/>
      <w:pStyle w:val="ListBullet5"/>
      <w:lvlText w:val="%5."/>
      <w:lvlJc w:val="left"/>
      <w:pPr>
        <w:ind w:left="2268" w:hanging="567"/>
      </w:pPr>
      <w:rPr>
        <w:rFonts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5C04266"/>
    <w:multiLevelType w:val="hybridMultilevel"/>
    <w:tmpl w:val="F4CA6ED0"/>
    <w:lvl w:ilvl="0" w:tplc="748CBD72">
      <w:numFmt w:val="bullet"/>
      <w:pStyle w:val="TableBullet2"/>
      <w:lvlText w:val="-"/>
      <w:lvlJc w:val="left"/>
      <w:pPr>
        <w:ind w:left="777" w:hanging="360"/>
      </w:pPr>
      <w:rPr>
        <w:rFonts w:ascii="Arial" w:eastAsiaTheme="minorEastAsia" w:hAnsi="Arial" w:cs="Aria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9" w15:restartNumberingAfterBreak="0">
    <w:nsid w:val="375C7545"/>
    <w:multiLevelType w:val="hybridMultilevel"/>
    <w:tmpl w:val="406487F8"/>
    <w:lvl w:ilvl="0" w:tplc="F1BE98EC">
      <w:numFmt w:val="bullet"/>
      <w:lvlText w:val="-"/>
      <w:lvlJc w:val="left"/>
      <w:pPr>
        <w:ind w:left="360" w:hanging="360"/>
      </w:pPr>
      <w:rPr>
        <w:rFonts w:ascii="Arial" w:eastAsiaTheme="minorEastAsia"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BA73ED4"/>
    <w:multiLevelType w:val="hybridMultilevel"/>
    <w:tmpl w:val="002AB4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FE17C4"/>
    <w:multiLevelType w:val="hybridMultilevel"/>
    <w:tmpl w:val="DFBCED82"/>
    <w:lvl w:ilvl="0" w:tplc="8638BB42">
      <w:start w:val="1"/>
      <w:numFmt w:val="lowerLetter"/>
      <w:pStyle w:val="Text-LowerCase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26A2276"/>
    <w:multiLevelType w:val="multilevel"/>
    <w:tmpl w:val="9A509850"/>
    <w:styleLink w:val="Appendix"/>
    <w:lvl w:ilvl="0">
      <w:start w:val="1"/>
      <w:numFmt w:val="upperLetter"/>
      <w:lvlText w:val="Appendix %1 – "/>
      <w:lvlJc w:val="left"/>
      <w:pPr>
        <w:tabs>
          <w:tab w:val="num" w:pos="848"/>
        </w:tabs>
        <w:ind w:left="848" w:hanging="848"/>
      </w:pPr>
      <w:rPr>
        <w:rFonts w:ascii="Arial Bold" w:hAnsi="Arial Bold" w:hint="default"/>
        <w:b/>
        <w:i w:val="0"/>
        <w:caps w:val="0"/>
        <w:color w:val="000000" w:themeColor="text1"/>
        <w:sz w:val="36"/>
        <w:szCs w:val="32"/>
      </w:rPr>
    </w:lvl>
    <w:lvl w:ilvl="1">
      <w:start w:val="1"/>
      <w:numFmt w:val="decimal"/>
      <w:lvlText w:val="%1.%2"/>
      <w:lvlJc w:val="left"/>
      <w:pPr>
        <w:tabs>
          <w:tab w:val="num" w:pos="851"/>
        </w:tabs>
        <w:ind w:left="851" w:hanging="851"/>
      </w:pPr>
      <w:rPr>
        <w:rFonts w:ascii="Arial Bold" w:hAnsi="Arial Bold" w:hint="default"/>
        <w:b/>
        <w:bCs/>
        <w:i w:val="0"/>
        <w:iCs w:val="0"/>
        <w:caps w:val="0"/>
        <w:strike w:val="0"/>
        <w:dstrike w:val="0"/>
        <w:vanish w:val="0"/>
        <w:color w:val="000000" w:themeColor="text1"/>
        <w:spacing w:val="0"/>
        <w:kern w:val="0"/>
        <w:position w:val="0"/>
        <w:sz w:val="32"/>
        <w:szCs w:val="28"/>
        <w:u w:val="none"/>
        <w:vertAlign w:val="baseline"/>
        <w:em w:val="none"/>
      </w:rPr>
    </w:lvl>
    <w:lvl w:ilvl="2">
      <w:start w:val="1"/>
      <w:numFmt w:val="decimal"/>
      <w:lvlText w:val="%1.%2.%3"/>
      <w:lvlJc w:val="left"/>
      <w:pPr>
        <w:tabs>
          <w:tab w:val="num" w:pos="848"/>
        </w:tabs>
        <w:ind w:left="848" w:hanging="848"/>
      </w:pPr>
      <w:rPr>
        <w:rFonts w:ascii="Arial Bold" w:hAnsi="Arial Bold" w:hint="default"/>
        <w:b/>
        <w:bCs/>
        <w:i w:val="0"/>
        <w:iCs w:val="0"/>
        <w:caps w:val="0"/>
        <w:smallCaps w:val="0"/>
        <w:strike w:val="0"/>
        <w:dstrike w:val="0"/>
        <w:vanish w:val="0"/>
        <w:color w:val="000000" w:themeColor="text1"/>
        <w:spacing w:val="0"/>
        <w:kern w:val="0"/>
        <w:position w:val="0"/>
        <w:sz w:val="28"/>
        <w:szCs w:val="26"/>
        <w:u w:val="none"/>
        <w:vertAlign w:val="baseline"/>
        <w:em w:val="none"/>
      </w:rPr>
    </w:lvl>
    <w:lvl w:ilvl="3">
      <w:start w:val="1"/>
      <w:numFmt w:val="decimal"/>
      <w:lvlText w:val="%1.%2.%3.%4"/>
      <w:lvlJc w:val="left"/>
      <w:pPr>
        <w:tabs>
          <w:tab w:val="num" w:pos="848"/>
        </w:tabs>
        <w:ind w:left="848" w:hanging="848"/>
      </w:pPr>
      <w:rPr>
        <w:rFonts w:ascii="Arial Bold" w:hAnsi="Arial Bold" w:cs="Arial" w:hint="default"/>
        <w:b/>
        <w:i w:val="0"/>
        <w:iCs w:val="0"/>
        <w:caps w:val="0"/>
        <w:strike w:val="0"/>
        <w:dstrike w:val="0"/>
        <w:vanish w:val="0"/>
        <w:color w:val="000000" w:themeColor="text1"/>
        <w:spacing w:val="0"/>
        <w:kern w:val="0"/>
        <w:position w:val="0"/>
        <w:sz w:val="28"/>
        <w:szCs w:val="24"/>
        <w:u w:val="none"/>
        <w:vertAlign w:val="baseline"/>
        <w:em w:val="none"/>
      </w:rPr>
    </w:lvl>
    <w:lvl w:ilvl="4">
      <w:start w:val="1"/>
      <w:numFmt w:val="decimal"/>
      <w:lvlText w:val="%1.%2.%3.%4.%5"/>
      <w:lvlJc w:val="left"/>
      <w:pPr>
        <w:tabs>
          <w:tab w:val="num" w:pos="1365"/>
        </w:tabs>
        <w:ind w:left="1365" w:hanging="1365"/>
      </w:pPr>
      <w:rPr>
        <w:rFonts w:ascii="Arial Bold" w:hAnsi="Arial Bold" w:cs="Arial" w:hint="default"/>
        <w:b/>
        <w:i w:val="0"/>
        <w:color w:val="29235C"/>
        <w:sz w:val="22"/>
        <w:szCs w:val="22"/>
        <w:u w:val="none"/>
      </w:rPr>
    </w:lvl>
    <w:lvl w:ilvl="5">
      <w:start w:val="1"/>
      <w:numFmt w:val="decimal"/>
      <w:lvlText w:val="%1.%2.%3.%4.%5.%6"/>
      <w:lvlJc w:val="left"/>
      <w:pPr>
        <w:tabs>
          <w:tab w:val="num" w:pos="1149"/>
        </w:tabs>
        <w:ind w:left="1149" w:hanging="1149"/>
      </w:pPr>
      <w:rPr>
        <w:rFonts w:hint="default"/>
        <w:u w:val="single"/>
      </w:rPr>
    </w:lvl>
    <w:lvl w:ilvl="6">
      <w:start w:val="1"/>
      <w:numFmt w:val="decimal"/>
      <w:lvlText w:val="%1.%2.%3.%4.%5.%6.%7"/>
      <w:lvlJc w:val="left"/>
      <w:pPr>
        <w:tabs>
          <w:tab w:val="num" w:pos="1293"/>
        </w:tabs>
        <w:ind w:left="1293" w:hanging="1293"/>
      </w:pPr>
      <w:rPr>
        <w:rFonts w:hint="default"/>
        <w:u w:val="single"/>
      </w:rPr>
    </w:lvl>
    <w:lvl w:ilvl="7">
      <w:start w:val="1"/>
      <w:numFmt w:val="decimal"/>
      <w:lvlText w:val="%1.%2.%3.%4.%5.%6.%7.%8"/>
      <w:lvlJc w:val="left"/>
      <w:pPr>
        <w:tabs>
          <w:tab w:val="num" w:pos="1437"/>
        </w:tabs>
        <w:ind w:left="1437" w:hanging="1437"/>
      </w:pPr>
      <w:rPr>
        <w:rFonts w:hint="default"/>
        <w:u w:val="single"/>
      </w:rPr>
    </w:lvl>
    <w:lvl w:ilvl="8">
      <w:start w:val="1"/>
      <w:numFmt w:val="decimal"/>
      <w:lvlText w:val="%1.%2.%3.%4.%5.%6.%7.%8.%9"/>
      <w:lvlJc w:val="left"/>
      <w:pPr>
        <w:tabs>
          <w:tab w:val="num" w:pos="1581"/>
        </w:tabs>
        <w:ind w:left="1581" w:hanging="1581"/>
      </w:pPr>
      <w:rPr>
        <w:rFonts w:hint="default"/>
        <w:u w:val="single"/>
      </w:rPr>
    </w:lvl>
  </w:abstractNum>
  <w:abstractNum w:abstractNumId="23" w15:restartNumberingAfterBreak="0">
    <w:nsid w:val="4567354D"/>
    <w:multiLevelType w:val="hybridMultilevel"/>
    <w:tmpl w:val="301AB05E"/>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4" w15:restartNumberingAfterBreak="0">
    <w:nsid w:val="46D771AE"/>
    <w:multiLevelType w:val="multilevel"/>
    <w:tmpl w:val="04A81762"/>
    <w:lvl w:ilvl="0">
      <w:start w:val="1"/>
      <w:numFmt w:val="decimal"/>
      <w:pStyle w:val="Tableannotation"/>
      <w:suff w:val="nothing"/>
      <w:lvlText w:val="Table %1 – "/>
      <w:lvlJc w:val="left"/>
      <w:pPr>
        <w:ind w:left="720" w:hanging="360"/>
      </w:pPr>
      <w:rPr>
        <w:rFonts w:hint="default"/>
        <w:b/>
        <w:i w:val="0"/>
        <w:color w:val="4F81BD" w:themeColor="accent1"/>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4D4D47C2"/>
    <w:multiLevelType w:val="hybridMultilevel"/>
    <w:tmpl w:val="EC1EFB42"/>
    <w:lvl w:ilvl="0" w:tplc="EDDCD918">
      <w:start w:val="1"/>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A03130"/>
    <w:multiLevelType w:val="multilevel"/>
    <w:tmpl w:val="7F52E028"/>
    <w:lvl w:ilvl="0">
      <w:start w:val="1"/>
      <w:numFmt w:val="decimal"/>
      <w:pStyle w:val="Figureannotation"/>
      <w:suff w:val="nothing"/>
      <w:lvlText w:val="Figure %1 – "/>
      <w:lvlJc w:val="left"/>
      <w:pPr>
        <w:ind w:left="720" w:hanging="360"/>
      </w:pPr>
      <w:rPr>
        <w:rFonts w:hint="default"/>
        <w:b/>
        <w:i w:val="0"/>
        <w:color w:val="4F81BD" w:themeColor="accent1"/>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52D62FF6"/>
    <w:multiLevelType w:val="hybridMultilevel"/>
    <w:tmpl w:val="7F04554E"/>
    <w:lvl w:ilvl="0" w:tplc="4FA6E70C">
      <w:start w:val="1"/>
      <w:numFmt w:val="lowerRoman"/>
      <w:pStyle w:val="Text-Romannumbered"/>
      <w:lvlText w:val="%1."/>
      <w:lvlJc w:val="right"/>
      <w:pPr>
        <w:tabs>
          <w:tab w:val="num" w:pos="180"/>
        </w:tabs>
        <w:ind w:left="180" w:hanging="18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550F5F44"/>
    <w:multiLevelType w:val="hybridMultilevel"/>
    <w:tmpl w:val="398E5D9E"/>
    <w:lvl w:ilvl="0" w:tplc="9252CE64">
      <w:start w:val="1"/>
      <w:numFmt w:val="bullet"/>
      <w:pStyle w:val="ListTick"/>
      <w:lvlText w:val="ü"/>
      <w:lvlJc w:val="left"/>
      <w:pPr>
        <w:tabs>
          <w:tab w:val="num" w:pos="851"/>
        </w:tabs>
        <w:ind w:left="851" w:hanging="397"/>
      </w:pPr>
      <w:rPr>
        <w:rFonts w:ascii="Wingdings" w:hAnsi="Wingdings" w:hint="default"/>
        <w:color w:val="861889"/>
      </w:rPr>
    </w:lvl>
    <w:lvl w:ilvl="1" w:tplc="8B3017FA" w:tentative="1">
      <w:start w:val="1"/>
      <w:numFmt w:val="bullet"/>
      <w:lvlText w:val="o"/>
      <w:lvlJc w:val="left"/>
      <w:pPr>
        <w:ind w:left="1440" w:hanging="360"/>
      </w:pPr>
      <w:rPr>
        <w:rFonts w:ascii="Courier New" w:hAnsi="Courier New" w:cs="Courier New" w:hint="default"/>
      </w:rPr>
    </w:lvl>
    <w:lvl w:ilvl="2" w:tplc="392E022A" w:tentative="1">
      <w:start w:val="1"/>
      <w:numFmt w:val="bullet"/>
      <w:lvlText w:val=""/>
      <w:lvlJc w:val="left"/>
      <w:pPr>
        <w:ind w:left="2160" w:hanging="360"/>
      </w:pPr>
      <w:rPr>
        <w:rFonts w:ascii="Wingdings" w:hAnsi="Wingdings" w:hint="default"/>
      </w:rPr>
    </w:lvl>
    <w:lvl w:ilvl="3" w:tplc="84983852" w:tentative="1">
      <w:start w:val="1"/>
      <w:numFmt w:val="bullet"/>
      <w:lvlText w:val=""/>
      <w:lvlJc w:val="left"/>
      <w:pPr>
        <w:ind w:left="2880" w:hanging="360"/>
      </w:pPr>
      <w:rPr>
        <w:rFonts w:ascii="Symbol" w:hAnsi="Symbol" w:hint="default"/>
      </w:rPr>
    </w:lvl>
    <w:lvl w:ilvl="4" w:tplc="30EC2EC0" w:tentative="1">
      <w:start w:val="1"/>
      <w:numFmt w:val="bullet"/>
      <w:lvlText w:val="o"/>
      <w:lvlJc w:val="left"/>
      <w:pPr>
        <w:ind w:left="3600" w:hanging="360"/>
      </w:pPr>
      <w:rPr>
        <w:rFonts w:ascii="Courier New" w:hAnsi="Courier New" w:cs="Courier New" w:hint="default"/>
      </w:rPr>
    </w:lvl>
    <w:lvl w:ilvl="5" w:tplc="D4BCF14E" w:tentative="1">
      <w:start w:val="1"/>
      <w:numFmt w:val="bullet"/>
      <w:lvlText w:val=""/>
      <w:lvlJc w:val="left"/>
      <w:pPr>
        <w:ind w:left="4320" w:hanging="360"/>
      </w:pPr>
      <w:rPr>
        <w:rFonts w:ascii="Wingdings" w:hAnsi="Wingdings" w:hint="default"/>
      </w:rPr>
    </w:lvl>
    <w:lvl w:ilvl="6" w:tplc="06A67C5E" w:tentative="1">
      <w:start w:val="1"/>
      <w:numFmt w:val="bullet"/>
      <w:lvlText w:val=""/>
      <w:lvlJc w:val="left"/>
      <w:pPr>
        <w:ind w:left="5040" w:hanging="360"/>
      </w:pPr>
      <w:rPr>
        <w:rFonts w:ascii="Symbol" w:hAnsi="Symbol" w:hint="default"/>
      </w:rPr>
    </w:lvl>
    <w:lvl w:ilvl="7" w:tplc="B2588592" w:tentative="1">
      <w:start w:val="1"/>
      <w:numFmt w:val="bullet"/>
      <w:lvlText w:val="o"/>
      <w:lvlJc w:val="left"/>
      <w:pPr>
        <w:ind w:left="5760" w:hanging="360"/>
      </w:pPr>
      <w:rPr>
        <w:rFonts w:ascii="Courier New" w:hAnsi="Courier New" w:cs="Courier New" w:hint="default"/>
      </w:rPr>
    </w:lvl>
    <w:lvl w:ilvl="8" w:tplc="A22CF1F2" w:tentative="1">
      <w:start w:val="1"/>
      <w:numFmt w:val="bullet"/>
      <w:lvlText w:val=""/>
      <w:lvlJc w:val="left"/>
      <w:pPr>
        <w:ind w:left="6480" w:hanging="360"/>
      </w:pPr>
      <w:rPr>
        <w:rFonts w:ascii="Wingdings" w:hAnsi="Wingdings" w:hint="default"/>
      </w:rPr>
    </w:lvl>
  </w:abstractNum>
  <w:abstractNum w:abstractNumId="29" w15:restartNumberingAfterBreak="0">
    <w:nsid w:val="582975C6"/>
    <w:multiLevelType w:val="hybridMultilevel"/>
    <w:tmpl w:val="43987720"/>
    <w:lvl w:ilvl="0" w:tplc="84763D04">
      <w:start w:val="1"/>
      <w:numFmt w:val="bullet"/>
      <w:pStyle w:val="Text-bulleted"/>
      <w:lvlText w:val=""/>
      <w:lvlJc w:val="left"/>
      <w:pPr>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5C045C98"/>
    <w:multiLevelType w:val="hybridMultilevel"/>
    <w:tmpl w:val="0C00C1A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8D323F"/>
    <w:multiLevelType w:val="hybridMultilevel"/>
    <w:tmpl w:val="975636F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AB63A0"/>
    <w:multiLevelType w:val="hybridMultilevel"/>
    <w:tmpl w:val="6CA8D1AC"/>
    <w:lvl w:ilvl="0" w:tplc="13C26AA4">
      <w:start w:val="1"/>
      <w:numFmt w:val="bullet"/>
      <w:pStyle w:val="ListCross"/>
      <w:lvlText w:val="û"/>
      <w:lvlJc w:val="left"/>
      <w:pPr>
        <w:tabs>
          <w:tab w:val="num" w:pos="851"/>
        </w:tabs>
        <w:ind w:left="851" w:hanging="397"/>
      </w:pPr>
      <w:rPr>
        <w:rFonts w:ascii="Wingdings" w:hAnsi="Wingdings" w:hint="default"/>
        <w:color w:val="861889"/>
      </w:rPr>
    </w:lvl>
    <w:lvl w:ilvl="1" w:tplc="96301856" w:tentative="1">
      <w:start w:val="1"/>
      <w:numFmt w:val="bullet"/>
      <w:lvlText w:val="o"/>
      <w:lvlJc w:val="left"/>
      <w:pPr>
        <w:ind w:left="1440" w:hanging="360"/>
      </w:pPr>
      <w:rPr>
        <w:rFonts w:ascii="Courier New" w:hAnsi="Courier New" w:cs="Courier New" w:hint="default"/>
      </w:rPr>
    </w:lvl>
    <w:lvl w:ilvl="2" w:tplc="F9D4D25A" w:tentative="1">
      <w:start w:val="1"/>
      <w:numFmt w:val="bullet"/>
      <w:lvlText w:val=""/>
      <w:lvlJc w:val="left"/>
      <w:pPr>
        <w:ind w:left="2160" w:hanging="360"/>
      </w:pPr>
      <w:rPr>
        <w:rFonts w:ascii="Wingdings" w:hAnsi="Wingdings" w:hint="default"/>
      </w:rPr>
    </w:lvl>
    <w:lvl w:ilvl="3" w:tplc="4364DE92" w:tentative="1">
      <w:start w:val="1"/>
      <w:numFmt w:val="bullet"/>
      <w:lvlText w:val=""/>
      <w:lvlJc w:val="left"/>
      <w:pPr>
        <w:ind w:left="2880" w:hanging="360"/>
      </w:pPr>
      <w:rPr>
        <w:rFonts w:ascii="Symbol" w:hAnsi="Symbol" w:hint="default"/>
      </w:rPr>
    </w:lvl>
    <w:lvl w:ilvl="4" w:tplc="4B5C5C90" w:tentative="1">
      <w:start w:val="1"/>
      <w:numFmt w:val="bullet"/>
      <w:lvlText w:val="o"/>
      <w:lvlJc w:val="left"/>
      <w:pPr>
        <w:ind w:left="3600" w:hanging="360"/>
      </w:pPr>
      <w:rPr>
        <w:rFonts w:ascii="Courier New" w:hAnsi="Courier New" w:cs="Courier New" w:hint="default"/>
      </w:rPr>
    </w:lvl>
    <w:lvl w:ilvl="5" w:tplc="7CE272B6" w:tentative="1">
      <w:start w:val="1"/>
      <w:numFmt w:val="bullet"/>
      <w:lvlText w:val=""/>
      <w:lvlJc w:val="left"/>
      <w:pPr>
        <w:ind w:left="4320" w:hanging="360"/>
      </w:pPr>
      <w:rPr>
        <w:rFonts w:ascii="Wingdings" w:hAnsi="Wingdings" w:hint="default"/>
      </w:rPr>
    </w:lvl>
    <w:lvl w:ilvl="6" w:tplc="51EC5D28" w:tentative="1">
      <w:start w:val="1"/>
      <w:numFmt w:val="bullet"/>
      <w:lvlText w:val=""/>
      <w:lvlJc w:val="left"/>
      <w:pPr>
        <w:ind w:left="5040" w:hanging="360"/>
      </w:pPr>
      <w:rPr>
        <w:rFonts w:ascii="Symbol" w:hAnsi="Symbol" w:hint="default"/>
      </w:rPr>
    </w:lvl>
    <w:lvl w:ilvl="7" w:tplc="3E0A8E60" w:tentative="1">
      <w:start w:val="1"/>
      <w:numFmt w:val="bullet"/>
      <w:lvlText w:val="o"/>
      <w:lvlJc w:val="left"/>
      <w:pPr>
        <w:ind w:left="5760" w:hanging="360"/>
      </w:pPr>
      <w:rPr>
        <w:rFonts w:ascii="Courier New" w:hAnsi="Courier New" w:cs="Courier New" w:hint="default"/>
      </w:rPr>
    </w:lvl>
    <w:lvl w:ilvl="8" w:tplc="90AA2CE0" w:tentative="1">
      <w:start w:val="1"/>
      <w:numFmt w:val="bullet"/>
      <w:lvlText w:val=""/>
      <w:lvlJc w:val="left"/>
      <w:pPr>
        <w:ind w:left="6480" w:hanging="360"/>
      </w:pPr>
      <w:rPr>
        <w:rFonts w:ascii="Wingdings" w:hAnsi="Wingdings" w:hint="default"/>
      </w:rPr>
    </w:lvl>
  </w:abstractNum>
  <w:abstractNum w:abstractNumId="33" w15:restartNumberingAfterBreak="0">
    <w:nsid w:val="69C9215A"/>
    <w:multiLevelType w:val="hybridMultilevel"/>
    <w:tmpl w:val="5016ECB2"/>
    <w:lvl w:ilvl="0" w:tplc="AE9AF768">
      <w:numFmt w:val="bullet"/>
      <w:lvlText w:val="-"/>
      <w:lvlJc w:val="left"/>
      <w:pPr>
        <w:ind w:left="227" w:hanging="227"/>
      </w:pPr>
      <w:rPr>
        <w:rFonts w:ascii="Arial" w:eastAsiaTheme="minorEastAsia"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017DE0"/>
    <w:multiLevelType w:val="hybridMultilevel"/>
    <w:tmpl w:val="BE50A6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DC14D1D"/>
    <w:multiLevelType w:val="multilevel"/>
    <w:tmpl w:val="F4505866"/>
    <w:lvl w:ilvl="0">
      <w:start w:val="1"/>
      <w:numFmt w:val="none"/>
      <w:pStyle w:val="AppendixSection"/>
      <w:suff w:val="space"/>
      <w:lvlText w:val=""/>
      <w:lvlJc w:val="left"/>
      <w:pPr>
        <w:ind w:left="360" w:hanging="360"/>
      </w:pPr>
      <w:rPr>
        <w:rFonts w:hint="default"/>
      </w:rPr>
    </w:lvl>
    <w:lvl w:ilvl="1">
      <w:start w:val="1"/>
      <w:numFmt w:val="decimal"/>
      <w:pStyle w:val="Appendixtext-Numbered"/>
      <w:suff w:val="space"/>
      <w:lvlText w:val="%11.%2."/>
      <w:lvlJc w:val="left"/>
      <w:pPr>
        <w:ind w:left="0" w:firstLine="0"/>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15:restartNumberingAfterBreak="0">
    <w:nsid w:val="6E7A7F56"/>
    <w:multiLevelType w:val="hybridMultilevel"/>
    <w:tmpl w:val="C8C02B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30E1E5E"/>
    <w:multiLevelType w:val="hybridMultilevel"/>
    <w:tmpl w:val="7ACC6E7C"/>
    <w:lvl w:ilvl="0" w:tplc="F8100F48">
      <w:start w:val="1"/>
      <w:numFmt w:val="bullet"/>
      <w:pStyle w:val="Textbox-Bullted"/>
      <w:lvlText w:val=""/>
      <w:lvlJc w:val="left"/>
      <w:pPr>
        <w:tabs>
          <w:tab w:val="num" w:pos="360"/>
        </w:tabs>
        <w:ind w:left="360" w:hanging="360"/>
      </w:pPr>
      <w:rPr>
        <w:rFonts w:ascii="Wingdings" w:hAnsi="Wingdings" w:hint="default"/>
        <w:sz w:val="18"/>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15:restartNumberingAfterBreak="0">
    <w:nsid w:val="73D16790"/>
    <w:multiLevelType w:val="hybridMultilevel"/>
    <w:tmpl w:val="92404984"/>
    <w:lvl w:ilvl="0" w:tplc="E04EA03C">
      <w:start w:val="1"/>
      <w:numFmt w:val="upperLetter"/>
      <w:pStyle w:val="AppendixHeading"/>
      <w:lvlText w:val="Appendix %1 – "/>
      <w:lvlJc w:val="left"/>
      <w:pPr>
        <w:ind w:left="4754" w:hanging="360"/>
      </w:pPr>
      <w:rPr>
        <w:rFonts w:hint="default"/>
      </w:rPr>
    </w:lvl>
    <w:lvl w:ilvl="1" w:tplc="08090019" w:tentative="1">
      <w:start w:val="1"/>
      <w:numFmt w:val="lowerLetter"/>
      <w:lvlText w:val="%2."/>
      <w:lvlJc w:val="left"/>
      <w:pPr>
        <w:ind w:left="5474" w:hanging="360"/>
      </w:pPr>
    </w:lvl>
    <w:lvl w:ilvl="2" w:tplc="0809001B" w:tentative="1">
      <w:start w:val="1"/>
      <w:numFmt w:val="lowerRoman"/>
      <w:lvlText w:val="%3."/>
      <w:lvlJc w:val="right"/>
      <w:pPr>
        <w:ind w:left="6194" w:hanging="180"/>
      </w:pPr>
    </w:lvl>
    <w:lvl w:ilvl="3" w:tplc="0809000F" w:tentative="1">
      <w:start w:val="1"/>
      <w:numFmt w:val="decimal"/>
      <w:lvlText w:val="%4."/>
      <w:lvlJc w:val="left"/>
      <w:pPr>
        <w:ind w:left="6914" w:hanging="360"/>
      </w:pPr>
    </w:lvl>
    <w:lvl w:ilvl="4" w:tplc="08090019" w:tentative="1">
      <w:start w:val="1"/>
      <w:numFmt w:val="lowerLetter"/>
      <w:lvlText w:val="%5."/>
      <w:lvlJc w:val="left"/>
      <w:pPr>
        <w:ind w:left="7634" w:hanging="360"/>
      </w:pPr>
    </w:lvl>
    <w:lvl w:ilvl="5" w:tplc="0809001B" w:tentative="1">
      <w:start w:val="1"/>
      <w:numFmt w:val="lowerRoman"/>
      <w:lvlText w:val="%6."/>
      <w:lvlJc w:val="right"/>
      <w:pPr>
        <w:ind w:left="8354" w:hanging="180"/>
      </w:pPr>
    </w:lvl>
    <w:lvl w:ilvl="6" w:tplc="0809000F" w:tentative="1">
      <w:start w:val="1"/>
      <w:numFmt w:val="decimal"/>
      <w:lvlText w:val="%7."/>
      <w:lvlJc w:val="left"/>
      <w:pPr>
        <w:ind w:left="9074" w:hanging="360"/>
      </w:pPr>
    </w:lvl>
    <w:lvl w:ilvl="7" w:tplc="08090019" w:tentative="1">
      <w:start w:val="1"/>
      <w:numFmt w:val="lowerLetter"/>
      <w:lvlText w:val="%8."/>
      <w:lvlJc w:val="left"/>
      <w:pPr>
        <w:ind w:left="9794" w:hanging="360"/>
      </w:pPr>
    </w:lvl>
    <w:lvl w:ilvl="8" w:tplc="0809001B" w:tentative="1">
      <w:start w:val="1"/>
      <w:numFmt w:val="lowerRoman"/>
      <w:lvlText w:val="%9."/>
      <w:lvlJc w:val="right"/>
      <w:pPr>
        <w:ind w:left="10514" w:hanging="180"/>
      </w:pPr>
    </w:lvl>
  </w:abstractNum>
  <w:abstractNum w:abstractNumId="39" w15:restartNumberingAfterBreak="0">
    <w:nsid w:val="757D119D"/>
    <w:multiLevelType w:val="hybridMultilevel"/>
    <w:tmpl w:val="38E29864"/>
    <w:lvl w:ilvl="0" w:tplc="1CB49F14">
      <w:start w:val="1"/>
      <w:numFmt w:val="bullet"/>
      <w:pStyle w:val="Bulletted"/>
      <w:lvlText w:val=""/>
      <w:lvlJc w:val="left"/>
      <w:pPr>
        <w:ind w:left="360" w:hanging="360"/>
      </w:pPr>
      <w:rPr>
        <w:rFonts w:ascii="Wingdings" w:hAnsi="Wingdings"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num w:numId="1">
    <w:abstractNumId w:val="37"/>
  </w:num>
  <w:num w:numId="2">
    <w:abstractNumId w:val="1"/>
  </w:num>
  <w:num w:numId="3">
    <w:abstractNumId w:val="27"/>
  </w:num>
  <w:num w:numId="4">
    <w:abstractNumId w:val="12"/>
  </w:num>
  <w:num w:numId="5">
    <w:abstractNumId w:val="21"/>
  </w:num>
  <w:num w:numId="6">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35"/>
  </w:num>
  <w:num w:numId="9">
    <w:abstractNumId w:val="36"/>
  </w:num>
  <w:num w:numId="10">
    <w:abstractNumId w:val="17"/>
  </w:num>
  <w:num w:numId="11">
    <w:abstractNumId w:val="16"/>
  </w:num>
  <w:num w:numId="12">
    <w:abstractNumId w:val="10"/>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num>
  <w:num w:numId="15">
    <w:abstractNumId w:val="32"/>
  </w:num>
  <w:num w:numId="16">
    <w:abstractNumId w:val="7"/>
  </w:num>
  <w:num w:numId="17">
    <w:abstractNumId w:val="3"/>
  </w:num>
  <w:num w:numId="18">
    <w:abstractNumId w:val="13"/>
  </w:num>
  <w:num w:numId="19">
    <w:abstractNumId w:val="22"/>
  </w:num>
  <w:num w:numId="20">
    <w:abstractNumId w:val="38"/>
  </w:num>
  <w:num w:numId="21">
    <w:abstractNumId w:val="26"/>
  </w:num>
  <w:num w:numId="22">
    <w:abstractNumId w:val="24"/>
  </w:num>
  <w:num w:numId="23">
    <w:abstractNumId w:val="39"/>
  </w:num>
  <w:num w:numId="24">
    <w:abstractNumId w:val="5"/>
  </w:num>
  <w:num w:numId="25">
    <w:abstractNumId w:val="33"/>
  </w:num>
  <w:num w:numId="26">
    <w:abstractNumId w:val="18"/>
  </w:num>
  <w:num w:numId="27">
    <w:abstractNumId w:val="2"/>
  </w:num>
  <w:num w:numId="28">
    <w:abstractNumId w:val="19"/>
  </w:num>
  <w:num w:numId="29">
    <w:abstractNumId w:val="15"/>
  </w:num>
  <w:num w:numId="30">
    <w:abstractNumId w:val="30"/>
  </w:num>
  <w:num w:numId="31">
    <w:abstractNumId w:val="14"/>
  </w:num>
  <w:num w:numId="32">
    <w:abstractNumId w:val="31"/>
  </w:num>
  <w:num w:numId="33">
    <w:abstractNumId w:val="25"/>
  </w:num>
  <w:num w:numId="34">
    <w:abstractNumId w:val="8"/>
  </w:num>
  <w:num w:numId="35">
    <w:abstractNumId w:val="0"/>
  </w:num>
  <w:num w:numId="36">
    <w:abstractNumId w:val="34"/>
  </w:num>
  <w:num w:numId="37">
    <w:abstractNumId w:val="12"/>
  </w:num>
  <w:num w:numId="38">
    <w:abstractNumId w:val="12"/>
  </w:num>
  <w:num w:numId="39">
    <w:abstractNumId w:val="12"/>
  </w:num>
  <w:num w:numId="40">
    <w:abstractNumId w:val="12"/>
  </w:num>
  <w:num w:numId="41">
    <w:abstractNumId w:val="12"/>
  </w:num>
  <w:num w:numId="42">
    <w:abstractNumId w:val="12"/>
  </w:num>
  <w:num w:numId="43">
    <w:abstractNumId w:val="12"/>
  </w:num>
  <w:num w:numId="44">
    <w:abstractNumId w:val="12"/>
  </w:num>
  <w:num w:numId="45">
    <w:abstractNumId w:val="12"/>
  </w:num>
  <w:num w:numId="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
  </w:num>
  <w:num w:numId="48">
    <w:abstractNumId w:val="20"/>
  </w:num>
  <w:num w:numId="49">
    <w:abstractNumId w:val="11"/>
  </w:num>
  <w:num w:numId="50">
    <w:abstractNumId w:val="9"/>
  </w:num>
  <w:num w:numId="51">
    <w:abstractNumId w:val="17"/>
  </w:num>
  <w:num w:numId="52">
    <w:abstractNumId w:val="17"/>
  </w:num>
  <w:num w:numId="53">
    <w:abstractNumId w:val="12"/>
  </w:num>
  <w:num w:numId="54">
    <w:abstractNumId w:val="17"/>
  </w:num>
  <w:num w:numId="55">
    <w:abstractNumId w:val="12"/>
  </w:num>
  <w:num w:numId="56">
    <w:abstractNumId w:val="12"/>
  </w:num>
  <w:num w:numId="57">
    <w:abstractNumId w:val="23"/>
  </w:num>
  <w:num w:numId="58">
    <w:abstractNumId w:val="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ocumentProtection w:formatting="1" w:enforcement="0"/>
  <w:styleLockTheme/>
  <w:styleLockQFSet/>
  <w:defaultTabStop w:val="720"/>
  <w:drawingGridHorizontalSpacing w:val="100"/>
  <w:displayHorizontalDrawingGridEvery w:val="2"/>
  <w:noPunctuationKerning/>
  <w:characterSpacingControl w:val="doNotCompress"/>
  <w:hdrShapeDefaults>
    <o:shapedefaults v:ext="edit" spidmax="4097">
      <o:colormru v:ext="edit" colors="red,#f6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tr" w:val="橄ㄴ㙠ިپ찔㈇"/>
  </w:docVars>
  <w:rsids>
    <w:rsidRoot w:val="0074603D"/>
    <w:rsid w:val="00001D6F"/>
    <w:rsid w:val="000029B7"/>
    <w:rsid w:val="000042B0"/>
    <w:rsid w:val="00004E71"/>
    <w:rsid w:val="000060C2"/>
    <w:rsid w:val="0000655E"/>
    <w:rsid w:val="00006E56"/>
    <w:rsid w:val="0000723B"/>
    <w:rsid w:val="000075BB"/>
    <w:rsid w:val="000077F5"/>
    <w:rsid w:val="00007DC2"/>
    <w:rsid w:val="00010572"/>
    <w:rsid w:val="00010688"/>
    <w:rsid w:val="00010700"/>
    <w:rsid w:val="000126A5"/>
    <w:rsid w:val="000128C0"/>
    <w:rsid w:val="00012BF4"/>
    <w:rsid w:val="00013DDF"/>
    <w:rsid w:val="0001401F"/>
    <w:rsid w:val="0001420F"/>
    <w:rsid w:val="00014ED1"/>
    <w:rsid w:val="00014F4C"/>
    <w:rsid w:val="0001585E"/>
    <w:rsid w:val="00016237"/>
    <w:rsid w:val="0001651A"/>
    <w:rsid w:val="000172E8"/>
    <w:rsid w:val="00017CCC"/>
    <w:rsid w:val="00017E76"/>
    <w:rsid w:val="00020690"/>
    <w:rsid w:val="00020BDA"/>
    <w:rsid w:val="00020E11"/>
    <w:rsid w:val="000212CC"/>
    <w:rsid w:val="000226AF"/>
    <w:rsid w:val="00023DDD"/>
    <w:rsid w:val="00024B51"/>
    <w:rsid w:val="00025A01"/>
    <w:rsid w:val="000275BA"/>
    <w:rsid w:val="00027D13"/>
    <w:rsid w:val="00030205"/>
    <w:rsid w:val="00030468"/>
    <w:rsid w:val="00030DAB"/>
    <w:rsid w:val="00030DBB"/>
    <w:rsid w:val="00033F09"/>
    <w:rsid w:val="0003461F"/>
    <w:rsid w:val="000354A9"/>
    <w:rsid w:val="00035A86"/>
    <w:rsid w:val="00036B53"/>
    <w:rsid w:val="00037064"/>
    <w:rsid w:val="00037493"/>
    <w:rsid w:val="0004028C"/>
    <w:rsid w:val="0004049E"/>
    <w:rsid w:val="00041046"/>
    <w:rsid w:val="000414D3"/>
    <w:rsid w:val="00041833"/>
    <w:rsid w:val="00042091"/>
    <w:rsid w:val="0004238C"/>
    <w:rsid w:val="00043E22"/>
    <w:rsid w:val="0004524D"/>
    <w:rsid w:val="00045279"/>
    <w:rsid w:val="00046627"/>
    <w:rsid w:val="00046D5D"/>
    <w:rsid w:val="00052E69"/>
    <w:rsid w:val="00053A10"/>
    <w:rsid w:val="0005661E"/>
    <w:rsid w:val="00057C31"/>
    <w:rsid w:val="00057DA4"/>
    <w:rsid w:val="000601AC"/>
    <w:rsid w:val="00060353"/>
    <w:rsid w:val="0006097D"/>
    <w:rsid w:val="00061C4D"/>
    <w:rsid w:val="00061DDA"/>
    <w:rsid w:val="00062D08"/>
    <w:rsid w:val="00064C77"/>
    <w:rsid w:val="00064F5F"/>
    <w:rsid w:val="00065705"/>
    <w:rsid w:val="00067187"/>
    <w:rsid w:val="000702DE"/>
    <w:rsid w:val="00070468"/>
    <w:rsid w:val="00072E65"/>
    <w:rsid w:val="00073C11"/>
    <w:rsid w:val="00073CD8"/>
    <w:rsid w:val="00073EA4"/>
    <w:rsid w:val="00075D54"/>
    <w:rsid w:val="0007703C"/>
    <w:rsid w:val="0007770D"/>
    <w:rsid w:val="0008062A"/>
    <w:rsid w:val="000808EB"/>
    <w:rsid w:val="00080AC6"/>
    <w:rsid w:val="00081442"/>
    <w:rsid w:val="00082083"/>
    <w:rsid w:val="000820E8"/>
    <w:rsid w:val="0008234D"/>
    <w:rsid w:val="0008278F"/>
    <w:rsid w:val="00082921"/>
    <w:rsid w:val="00082DF1"/>
    <w:rsid w:val="000839E0"/>
    <w:rsid w:val="00083C57"/>
    <w:rsid w:val="00084546"/>
    <w:rsid w:val="00084946"/>
    <w:rsid w:val="0008625B"/>
    <w:rsid w:val="000873E8"/>
    <w:rsid w:val="000876A9"/>
    <w:rsid w:val="00087E55"/>
    <w:rsid w:val="00090BCB"/>
    <w:rsid w:val="00090C20"/>
    <w:rsid w:val="00090DB4"/>
    <w:rsid w:val="0009153B"/>
    <w:rsid w:val="00091FD6"/>
    <w:rsid w:val="00092186"/>
    <w:rsid w:val="00096943"/>
    <w:rsid w:val="00096DEF"/>
    <w:rsid w:val="00097911"/>
    <w:rsid w:val="000A023C"/>
    <w:rsid w:val="000A03FB"/>
    <w:rsid w:val="000A0E00"/>
    <w:rsid w:val="000A160F"/>
    <w:rsid w:val="000A1BB0"/>
    <w:rsid w:val="000A3007"/>
    <w:rsid w:val="000A3924"/>
    <w:rsid w:val="000A3AAF"/>
    <w:rsid w:val="000A3CBC"/>
    <w:rsid w:val="000A4712"/>
    <w:rsid w:val="000A56DF"/>
    <w:rsid w:val="000A5882"/>
    <w:rsid w:val="000A5F2F"/>
    <w:rsid w:val="000A6A1C"/>
    <w:rsid w:val="000B1C6A"/>
    <w:rsid w:val="000B25D9"/>
    <w:rsid w:val="000B2EC7"/>
    <w:rsid w:val="000B3970"/>
    <w:rsid w:val="000B4EE5"/>
    <w:rsid w:val="000B64E5"/>
    <w:rsid w:val="000B68C1"/>
    <w:rsid w:val="000B6A35"/>
    <w:rsid w:val="000B6F2A"/>
    <w:rsid w:val="000C0106"/>
    <w:rsid w:val="000C0AA5"/>
    <w:rsid w:val="000C0F9E"/>
    <w:rsid w:val="000C11E9"/>
    <w:rsid w:val="000C20CD"/>
    <w:rsid w:val="000C210B"/>
    <w:rsid w:val="000C212E"/>
    <w:rsid w:val="000C26A8"/>
    <w:rsid w:val="000C3677"/>
    <w:rsid w:val="000C3D39"/>
    <w:rsid w:val="000C563B"/>
    <w:rsid w:val="000C5886"/>
    <w:rsid w:val="000C5E76"/>
    <w:rsid w:val="000C7227"/>
    <w:rsid w:val="000C7237"/>
    <w:rsid w:val="000D22D9"/>
    <w:rsid w:val="000D24E2"/>
    <w:rsid w:val="000D3C06"/>
    <w:rsid w:val="000D52C3"/>
    <w:rsid w:val="000D5F78"/>
    <w:rsid w:val="000D6997"/>
    <w:rsid w:val="000D7047"/>
    <w:rsid w:val="000D72F4"/>
    <w:rsid w:val="000E068F"/>
    <w:rsid w:val="000E1DD4"/>
    <w:rsid w:val="000E206A"/>
    <w:rsid w:val="000E2B54"/>
    <w:rsid w:val="000E3022"/>
    <w:rsid w:val="000E3B39"/>
    <w:rsid w:val="000E41FA"/>
    <w:rsid w:val="000E6DC1"/>
    <w:rsid w:val="000E7FC5"/>
    <w:rsid w:val="000F0302"/>
    <w:rsid w:val="000F0343"/>
    <w:rsid w:val="000F09FB"/>
    <w:rsid w:val="000F0AC6"/>
    <w:rsid w:val="000F0BE9"/>
    <w:rsid w:val="000F22B9"/>
    <w:rsid w:val="000F26B3"/>
    <w:rsid w:val="000F2921"/>
    <w:rsid w:val="000F3381"/>
    <w:rsid w:val="000F369B"/>
    <w:rsid w:val="000F3CA3"/>
    <w:rsid w:val="000F4AC9"/>
    <w:rsid w:val="000F5DD5"/>
    <w:rsid w:val="000F6E57"/>
    <w:rsid w:val="000F731A"/>
    <w:rsid w:val="000F7CD3"/>
    <w:rsid w:val="001001E4"/>
    <w:rsid w:val="00100A81"/>
    <w:rsid w:val="00100D8B"/>
    <w:rsid w:val="001013D1"/>
    <w:rsid w:val="001020AC"/>
    <w:rsid w:val="00103090"/>
    <w:rsid w:val="001034BA"/>
    <w:rsid w:val="00104577"/>
    <w:rsid w:val="00105C24"/>
    <w:rsid w:val="00105D65"/>
    <w:rsid w:val="001060B6"/>
    <w:rsid w:val="00106249"/>
    <w:rsid w:val="00107797"/>
    <w:rsid w:val="0011192E"/>
    <w:rsid w:val="001127BC"/>
    <w:rsid w:val="00112ECD"/>
    <w:rsid w:val="00112F53"/>
    <w:rsid w:val="00113284"/>
    <w:rsid w:val="001138AF"/>
    <w:rsid w:val="001168F8"/>
    <w:rsid w:val="00116F36"/>
    <w:rsid w:val="00117267"/>
    <w:rsid w:val="00117AB6"/>
    <w:rsid w:val="00120F69"/>
    <w:rsid w:val="00120F9B"/>
    <w:rsid w:val="001212B9"/>
    <w:rsid w:val="0012139F"/>
    <w:rsid w:val="00121EAF"/>
    <w:rsid w:val="00121ECB"/>
    <w:rsid w:val="00122DC1"/>
    <w:rsid w:val="00123A06"/>
    <w:rsid w:val="00124049"/>
    <w:rsid w:val="00124C1F"/>
    <w:rsid w:val="00125274"/>
    <w:rsid w:val="0012544F"/>
    <w:rsid w:val="00125818"/>
    <w:rsid w:val="0012668C"/>
    <w:rsid w:val="00126D02"/>
    <w:rsid w:val="001272AE"/>
    <w:rsid w:val="001273D9"/>
    <w:rsid w:val="00130558"/>
    <w:rsid w:val="001305E8"/>
    <w:rsid w:val="0013089B"/>
    <w:rsid w:val="001311C5"/>
    <w:rsid w:val="00131B0D"/>
    <w:rsid w:val="001325D6"/>
    <w:rsid w:val="00132EB7"/>
    <w:rsid w:val="00133223"/>
    <w:rsid w:val="0013381D"/>
    <w:rsid w:val="0013388F"/>
    <w:rsid w:val="0013487F"/>
    <w:rsid w:val="00136B15"/>
    <w:rsid w:val="00136B9C"/>
    <w:rsid w:val="00140367"/>
    <w:rsid w:val="0014070A"/>
    <w:rsid w:val="00140D50"/>
    <w:rsid w:val="0014208A"/>
    <w:rsid w:val="00142313"/>
    <w:rsid w:val="00142516"/>
    <w:rsid w:val="0014257E"/>
    <w:rsid w:val="001435E4"/>
    <w:rsid w:val="00144CEA"/>
    <w:rsid w:val="001452F0"/>
    <w:rsid w:val="00145606"/>
    <w:rsid w:val="00146828"/>
    <w:rsid w:val="00146C6C"/>
    <w:rsid w:val="00146FD7"/>
    <w:rsid w:val="001471FD"/>
    <w:rsid w:val="00147754"/>
    <w:rsid w:val="00147CDC"/>
    <w:rsid w:val="00147F79"/>
    <w:rsid w:val="00147FB2"/>
    <w:rsid w:val="0015008A"/>
    <w:rsid w:val="001537CC"/>
    <w:rsid w:val="001539A7"/>
    <w:rsid w:val="00154306"/>
    <w:rsid w:val="00154558"/>
    <w:rsid w:val="00154EA9"/>
    <w:rsid w:val="00154FE7"/>
    <w:rsid w:val="00155397"/>
    <w:rsid w:val="001553FE"/>
    <w:rsid w:val="00155719"/>
    <w:rsid w:val="00155810"/>
    <w:rsid w:val="001558F2"/>
    <w:rsid w:val="00156937"/>
    <w:rsid w:val="001569F7"/>
    <w:rsid w:val="00157ADE"/>
    <w:rsid w:val="001604C9"/>
    <w:rsid w:val="001606A9"/>
    <w:rsid w:val="001613DF"/>
    <w:rsid w:val="00161404"/>
    <w:rsid w:val="00161826"/>
    <w:rsid w:val="001643D8"/>
    <w:rsid w:val="00166C55"/>
    <w:rsid w:val="00166F77"/>
    <w:rsid w:val="0016709A"/>
    <w:rsid w:val="00167B74"/>
    <w:rsid w:val="00170449"/>
    <w:rsid w:val="00171596"/>
    <w:rsid w:val="001716D7"/>
    <w:rsid w:val="00172AE5"/>
    <w:rsid w:val="00173431"/>
    <w:rsid w:val="001736FC"/>
    <w:rsid w:val="00174AC8"/>
    <w:rsid w:val="00174EB7"/>
    <w:rsid w:val="00175ACE"/>
    <w:rsid w:val="00176067"/>
    <w:rsid w:val="00176198"/>
    <w:rsid w:val="00176C74"/>
    <w:rsid w:val="00176F31"/>
    <w:rsid w:val="0017731F"/>
    <w:rsid w:val="001773DB"/>
    <w:rsid w:val="00177670"/>
    <w:rsid w:val="00177C3A"/>
    <w:rsid w:val="00180A22"/>
    <w:rsid w:val="00181C01"/>
    <w:rsid w:val="00181E7A"/>
    <w:rsid w:val="0018292E"/>
    <w:rsid w:val="00185B66"/>
    <w:rsid w:val="00185D90"/>
    <w:rsid w:val="00185DEC"/>
    <w:rsid w:val="0018600D"/>
    <w:rsid w:val="001912C0"/>
    <w:rsid w:val="00191450"/>
    <w:rsid w:val="001917F0"/>
    <w:rsid w:val="0019248B"/>
    <w:rsid w:val="0019347C"/>
    <w:rsid w:val="00193BAC"/>
    <w:rsid w:val="00194502"/>
    <w:rsid w:val="001948AF"/>
    <w:rsid w:val="001952DB"/>
    <w:rsid w:val="001954D7"/>
    <w:rsid w:val="00197114"/>
    <w:rsid w:val="00197C07"/>
    <w:rsid w:val="001A013D"/>
    <w:rsid w:val="001A1916"/>
    <w:rsid w:val="001A1CEC"/>
    <w:rsid w:val="001A3253"/>
    <w:rsid w:val="001A3916"/>
    <w:rsid w:val="001A3B10"/>
    <w:rsid w:val="001A3CC8"/>
    <w:rsid w:val="001A4244"/>
    <w:rsid w:val="001A4631"/>
    <w:rsid w:val="001A5113"/>
    <w:rsid w:val="001A522B"/>
    <w:rsid w:val="001A5C09"/>
    <w:rsid w:val="001A5D7F"/>
    <w:rsid w:val="001A6D4C"/>
    <w:rsid w:val="001A6F1D"/>
    <w:rsid w:val="001B0031"/>
    <w:rsid w:val="001B09A4"/>
    <w:rsid w:val="001B0F66"/>
    <w:rsid w:val="001B19FD"/>
    <w:rsid w:val="001B1B46"/>
    <w:rsid w:val="001B1D2E"/>
    <w:rsid w:val="001B2CCC"/>
    <w:rsid w:val="001B4C00"/>
    <w:rsid w:val="001B5A11"/>
    <w:rsid w:val="001B5EAE"/>
    <w:rsid w:val="001B60E9"/>
    <w:rsid w:val="001B6C12"/>
    <w:rsid w:val="001B6CF0"/>
    <w:rsid w:val="001B76A5"/>
    <w:rsid w:val="001B7F45"/>
    <w:rsid w:val="001C0885"/>
    <w:rsid w:val="001C0B0C"/>
    <w:rsid w:val="001C1200"/>
    <w:rsid w:val="001C1926"/>
    <w:rsid w:val="001C25B9"/>
    <w:rsid w:val="001C3261"/>
    <w:rsid w:val="001C4697"/>
    <w:rsid w:val="001C46D0"/>
    <w:rsid w:val="001C5277"/>
    <w:rsid w:val="001C6200"/>
    <w:rsid w:val="001C6309"/>
    <w:rsid w:val="001C676C"/>
    <w:rsid w:val="001C6989"/>
    <w:rsid w:val="001C7194"/>
    <w:rsid w:val="001C7D5B"/>
    <w:rsid w:val="001C7E89"/>
    <w:rsid w:val="001D0B57"/>
    <w:rsid w:val="001D18FE"/>
    <w:rsid w:val="001D2B0F"/>
    <w:rsid w:val="001D2C0A"/>
    <w:rsid w:val="001D3025"/>
    <w:rsid w:val="001D4494"/>
    <w:rsid w:val="001D594F"/>
    <w:rsid w:val="001D5C1B"/>
    <w:rsid w:val="001D6334"/>
    <w:rsid w:val="001D697B"/>
    <w:rsid w:val="001D6CF7"/>
    <w:rsid w:val="001D7D94"/>
    <w:rsid w:val="001E00D8"/>
    <w:rsid w:val="001E0FE9"/>
    <w:rsid w:val="001E139E"/>
    <w:rsid w:val="001E1D90"/>
    <w:rsid w:val="001E2CBD"/>
    <w:rsid w:val="001E57BD"/>
    <w:rsid w:val="001E5810"/>
    <w:rsid w:val="001E59B8"/>
    <w:rsid w:val="001E6469"/>
    <w:rsid w:val="001E6636"/>
    <w:rsid w:val="001E6699"/>
    <w:rsid w:val="001E74AB"/>
    <w:rsid w:val="001E75C5"/>
    <w:rsid w:val="001F003E"/>
    <w:rsid w:val="001F04FD"/>
    <w:rsid w:val="001F07B2"/>
    <w:rsid w:val="001F07DE"/>
    <w:rsid w:val="001F10CD"/>
    <w:rsid w:val="001F123D"/>
    <w:rsid w:val="001F3C3D"/>
    <w:rsid w:val="001F4666"/>
    <w:rsid w:val="001F5596"/>
    <w:rsid w:val="001F559A"/>
    <w:rsid w:val="001F5839"/>
    <w:rsid w:val="001F6A78"/>
    <w:rsid w:val="001F708C"/>
    <w:rsid w:val="001F742D"/>
    <w:rsid w:val="00200037"/>
    <w:rsid w:val="00200C11"/>
    <w:rsid w:val="002014BD"/>
    <w:rsid w:val="00201880"/>
    <w:rsid w:val="00202466"/>
    <w:rsid w:val="0020308D"/>
    <w:rsid w:val="002030E9"/>
    <w:rsid w:val="00204F2E"/>
    <w:rsid w:val="00204F91"/>
    <w:rsid w:val="00205138"/>
    <w:rsid w:val="00205789"/>
    <w:rsid w:val="00205EEB"/>
    <w:rsid w:val="00206779"/>
    <w:rsid w:val="00206B40"/>
    <w:rsid w:val="00206B46"/>
    <w:rsid w:val="00206E07"/>
    <w:rsid w:val="002077D7"/>
    <w:rsid w:val="00210749"/>
    <w:rsid w:val="00211B98"/>
    <w:rsid w:val="002138C8"/>
    <w:rsid w:val="002140F1"/>
    <w:rsid w:val="002145F8"/>
    <w:rsid w:val="002159EE"/>
    <w:rsid w:val="0021609C"/>
    <w:rsid w:val="002166C6"/>
    <w:rsid w:val="00217614"/>
    <w:rsid w:val="00217AB6"/>
    <w:rsid w:val="00217BB6"/>
    <w:rsid w:val="00220337"/>
    <w:rsid w:val="002207F1"/>
    <w:rsid w:val="002212A7"/>
    <w:rsid w:val="00221763"/>
    <w:rsid w:val="00222D50"/>
    <w:rsid w:val="00224465"/>
    <w:rsid w:val="0022468E"/>
    <w:rsid w:val="002246C2"/>
    <w:rsid w:val="00224EFE"/>
    <w:rsid w:val="002266E1"/>
    <w:rsid w:val="00226A80"/>
    <w:rsid w:val="00226F29"/>
    <w:rsid w:val="00227F2F"/>
    <w:rsid w:val="0023052A"/>
    <w:rsid w:val="002306F3"/>
    <w:rsid w:val="00230818"/>
    <w:rsid w:val="002315EF"/>
    <w:rsid w:val="00231960"/>
    <w:rsid w:val="002319E7"/>
    <w:rsid w:val="00232596"/>
    <w:rsid w:val="00232F61"/>
    <w:rsid w:val="002334F6"/>
    <w:rsid w:val="00233B5C"/>
    <w:rsid w:val="00233C7C"/>
    <w:rsid w:val="00235A06"/>
    <w:rsid w:val="00237AF3"/>
    <w:rsid w:val="002404C8"/>
    <w:rsid w:val="00241622"/>
    <w:rsid w:val="002416E6"/>
    <w:rsid w:val="0024181E"/>
    <w:rsid w:val="00241F58"/>
    <w:rsid w:val="00242379"/>
    <w:rsid w:val="0024251E"/>
    <w:rsid w:val="00242539"/>
    <w:rsid w:val="00242D68"/>
    <w:rsid w:val="002436E0"/>
    <w:rsid w:val="0024383C"/>
    <w:rsid w:val="00243BAE"/>
    <w:rsid w:val="00244763"/>
    <w:rsid w:val="00245070"/>
    <w:rsid w:val="002453B3"/>
    <w:rsid w:val="0024547E"/>
    <w:rsid w:val="002457CA"/>
    <w:rsid w:val="002467EE"/>
    <w:rsid w:val="00247CF1"/>
    <w:rsid w:val="00250067"/>
    <w:rsid w:val="002503D6"/>
    <w:rsid w:val="00250F1B"/>
    <w:rsid w:val="0025102F"/>
    <w:rsid w:val="002518FD"/>
    <w:rsid w:val="0025295D"/>
    <w:rsid w:val="00253B09"/>
    <w:rsid w:val="00253B5E"/>
    <w:rsid w:val="00254B3C"/>
    <w:rsid w:val="00254F11"/>
    <w:rsid w:val="00256E2A"/>
    <w:rsid w:val="0025781C"/>
    <w:rsid w:val="00260506"/>
    <w:rsid w:val="00261361"/>
    <w:rsid w:val="00261B6B"/>
    <w:rsid w:val="00263761"/>
    <w:rsid w:val="002649D8"/>
    <w:rsid w:val="00266098"/>
    <w:rsid w:val="00266268"/>
    <w:rsid w:val="002664AF"/>
    <w:rsid w:val="00266863"/>
    <w:rsid w:val="00266BB5"/>
    <w:rsid w:val="00267292"/>
    <w:rsid w:val="00270120"/>
    <w:rsid w:val="00270485"/>
    <w:rsid w:val="002709C0"/>
    <w:rsid w:val="00271B1E"/>
    <w:rsid w:val="00271FA0"/>
    <w:rsid w:val="002723C0"/>
    <w:rsid w:val="00272999"/>
    <w:rsid w:val="00273765"/>
    <w:rsid w:val="00273A69"/>
    <w:rsid w:val="00274FFD"/>
    <w:rsid w:val="00275501"/>
    <w:rsid w:val="002802AD"/>
    <w:rsid w:val="00280C95"/>
    <w:rsid w:val="00280FE0"/>
    <w:rsid w:val="002814A8"/>
    <w:rsid w:val="002816A7"/>
    <w:rsid w:val="00281F31"/>
    <w:rsid w:val="00281F51"/>
    <w:rsid w:val="00283893"/>
    <w:rsid w:val="0028488B"/>
    <w:rsid w:val="00284890"/>
    <w:rsid w:val="002852E7"/>
    <w:rsid w:val="00286141"/>
    <w:rsid w:val="0028729A"/>
    <w:rsid w:val="00287450"/>
    <w:rsid w:val="0028764F"/>
    <w:rsid w:val="00290AB3"/>
    <w:rsid w:val="0029147D"/>
    <w:rsid w:val="002916EA"/>
    <w:rsid w:val="002930C3"/>
    <w:rsid w:val="00293849"/>
    <w:rsid w:val="00293A6F"/>
    <w:rsid w:val="00294C85"/>
    <w:rsid w:val="002955E1"/>
    <w:rsid w:val="00295B9D"/>
    <w:rsid w:val="00297B6B"/>
    <w:rsid w:val="002A08EF"/>
    <w:rsid w:val="002A0B99"/>
    <w:rsid w:val="002A1018"/>
    <w:rsid w:val="002A175C"/>
    <w:rsid w:val="002A20A8"/>
    <w:rsid w:val="002A222C"/>
    <w:rsid w:val="002A27DA"/>
    <w:rsid w:val="002A2890"/>
    <w:rsid w:val="002A397F"/>
    <w:rsid w:val="002A42AD"/>
    <w:rsid w:val="002A520B"/>
    <w:rsid w:val="002A5267"/>
    <w:rsid w:val="002A5383"/>
    <w:rsid w:val="002A54C7"/>
    <w:rsid w:val="002A553B"/>
    <w:rsid w:val="002A59A7"/>
    <w:rsid w:val="002A6E9C"/>
    <w:rsid w:val="002B0467"/>
    <w:rsid w:val="002B2094"/>
    <w:rsid w:val="002B23AF"/>
    <w:rsid w:val="002B26B3"/>
    <w:rsid w:val="002B2805"/>
    <w:rsid w:val="002B2CB7"/>
    <w:rsid w:val="002B3FE2"/>
    <w:rsid w:val="002B40AA"/>
    <w:rsid w:val="002B46B4"/>
    <w:rsid w:val="002B5150"/>
    <w:rsid w:val="002B58BE"/>
    <w:rsid w:val="002B5B24"/>
    <w:rsid w:val="002B5D85"/>
    <w:rsid w:val="002B6383"/>
    <w:rsid w:val="002C0122"/>
    <w:rsid w:val="002C0E52"/>
    <w:rsid w:val="002C16B1"/>
    <w:rsid w:val="002C2354"/>
    <w:rsid w:val="002C286C"/>
    <w:rsid w:val="002C3874"/>
    <w:rsid w:val="002C4CF0"/>
    <w:rsid w:val="002C53B4"/>
    <w:rsid w:val="002C5843"/>
    <w:rsid w:val="002C59D3"/>
    <w:rsid w:val="002C5E40"/>
    <w:rsid w:val="002C69BF"/>
    <w:rsid w:val="002D0FB5"/>
    <w:rsid w:val="002D197D"/>
    <w:rsid w:val="002D3929"/>
    <w:rsid w:val="002D3F6B"/>
    <w:rsid w:val="002D412C"/>
    <w:rsid w:val="002D5948"/>
    <w:rsid w:val="002D5A05"/>
    <w:rsid w:val="002D7B35"/>
    <w:rsid w:val="002D7DAD"/>
    <w:rsid w:val="002E103D"/>
    <w:rsid w:val="002E1C64"/>
    <w:rsid w:val="002E1F2A"/>
    <w:rsid w:val="002E2262"/>
    <w:rsid w:val="002E4DE3"/>
    <w:rsid w:val="002E529E"/>
    <w:rsid w:val="002E545B"/>
    <w:rsid w:val="002E6133"/>
    <w:rsid w:val="002E64AA"/>
    <w:rsid w:val="002E7914"/>
    <w:rsid w:val="002F0520"/>
    <w:rsid w:val="002F091B"/>
    <w:rsid w:val="002F136B"/>
    <w:rsid w:val="002F22A9"/>
    <w:rsid w:val="002F260F"/>
    <w:rsid w:val="002F28C5"/>
    <w:rsid w:val="002F2CF2"/>
    <w:rsid w:val="002F4CB9"/>
    <w:rsid w:val="002F4FF9"/>
    <w:rsid w:val="002F542B"/>
    <w:rsid w:val="002F55A2"/>
    <w:rsid w:val="002F6D74"/>
    <w:rsid w:val="002F740D"/>
    <w:rsid w:val="003013A7"/>
    <w:rsid w:val="00301D51"/>
    <w:rsid w:val="0030280B"/>
    <w:rsid w:val="00302F0C"/>
    <w:rsid w:val="00303998"/>
    <w:rsid w:val="00304042"/>
    <w:rsid w:val="0030431F"/>
    <w:rsid w:val="00305FF2"/>
    <w:rsid w:val="0030623E"/>
    <w:rsid w:val="00306A7B"/>
    <w:rsid w:val="00306AF3"/>
    <w:rsid w:val="00310689"/>
    <w:rsid w:val="00310CBC"/>
    <w:rsid w:val="00312ED8"/>
    <w:rsid w:val="00312F50"/>
    <w:rsid w:val="003135DE"/>
    <w:rsid w:val="00314031"/>
    <w:rsid w:val="00314206"/>
    <w:rsid w:val="00316621"/>
    <w:rsid w:val="003171F2"/>
    <w:rsid w:val="00317427"/>
    <w:rsid w:val="00317DF0"/>
    <w:rsid w:val="0032003D"/>
    <w:rsid w:val="003201D6"/>
    <w:rsid w:val="003206B1"/>
    <w:rsid w:val="0032179F"/>
    <w:rsid w:val="00322F46"/>
    <w:rsid w:val="003237C6"/>
    <w:rsid w:val="0032381C"/>
    <w:rsid w:val="00323F52"/>
    <w:rsid w:val="00323FB3"/>
    <w:rsid w:val="00324345"/>
    <w:rsid w:val="00324D4F"/>
    <w:rsid w:val="003261F7"/>
    <w:rsid w:val="0032628E"/>
    <w:rsid w:val="00326BFB"/>
    <w:rsid w:val="00326EA8"/>
    <w:rsid w:val="00327316"/>
    <w:rsid w:val="00327B5C"/>
    <w:rsid w:val="00331584"/>
    <w:rsid w:val="00332EF3"/>
    <w:rsid w:val="003372F2"/>
    <w:rsid w:val="00337CE2"/>
    <w:rsid w:val="003409D1"/>
    <w:rsid w:val="0034134B"/>
    <w:rsid w:val="0034153B"/>
    <w:rsid w:val="00341C3C"/>
    <w:rsid w:val="003421BD"/>
    <w:rsid w:val="00342506"/>
    <w:rsid w:val="00342712"/>
    <w:rsid w:val="00342A64"/>
    <w:rsid w:val="00342CA2"/>
    <w:rsid w:val="00342FB3"/>
    <w:rsid w:val="0034312E"/>
    <w:rsid w:val="00343174"/>
    <w:rsid w:val="003432DF"/>
    <w:rsid w:val="00343B5F"/>
    <w:rsid w:val="00343F6B"/>
    <w:rsid w:val="00344B2D"/>
    <w:rsid w:val="003456BF"/>
    <w:rsid w:val="0034611C"/>
    <w:rsid w:val="003477DF"/>
    <w:rsid w:val="003500ED"/>
    <w:rsid w:val="0035049A"/>
    <w:rsid w:val="00351833"/>
    <w:rsid w:val="0035188E"/>
    <w:rsid w:val="00351E63"/>
    <w:rsid w:val="0035225E"/>
    <w:rsid w:val="0035275F"/>
    <w:rsid w:val="00352AA3"/>
    <w:rsid w:val="0035439C"/>
    <w:rsid w:val="00354870"/>
    <w:rsid w:val="003555FF"/>
    <w:rsid w:val="00355898"/>
    <w:rsid w:val="00355BED"/>
    <w:rsid w:val="00355FC9"/>
    <w:rsid w:val="00356D60"/>
    <w:rsid w:val="00357C48"/>
    <w:rsid w:val="00360118"/>
    <w:rsid w:val="00361079"/>
    <w:rsid w:val="00363148"/>
    <w:rsid w:val="00363646"/>
    <w:rsid w:val="003641E5"/>
    <w:rsid w:val="003643F9"/>
    <w:rsid w:val="0036455E"/>
    <w:rsid w:val="003647F7"/>
    <w:rsid w:val="00365389"/>
    <w:rsid w:val="00365ABC"/>
    <w:rsid w:val="00365B57"/>
    <w:rsid w:val="00365E9B"/>
    <w:rsid w:val="00366F70"/>
    <w:rsid w:val="00367073"/>
    <w:rsid w:val="00370900"/>
    <w:rsid w:val="00370935"/>
    <w:rsid w:val="00370F11"/>
    <w:rsid w:val="00371142"/>
    <w:rsid w:val="003712B4"/>
    <w:rsid w:val="00371457"/>
    <w:rsid w:val="003715C5"/>
    <w:rsid w:val="00371DAF"/>
    <w:rsid w:val="0037213F"/>
    <w:rsid w:val="00372633"/>
    <w:rsid w:val="00374FA6"/>
    <w:rsid w:val="0037646E"/>
    <w:rsid w:val="00377B93"/>
    <w:rsid w:val="003801FD"/>
    <w:rsid w:val="003821A3"/>
    <w:rsid w:val="003825AF"/>
    <w:rsid w:val="00383438"/>
    <w:rsid w:val="003838C7"/>
    <w:rsid w:val="00383CC7"/>
    <w:rsid w:val="00383F90"/>
    <w:rsid w:val="00384283"/>
    <w:rsid w:val="00386511"/>
    <w:rsid w:val="00386579"/>
    <w:rsid w:val="00390C08"/>
    <w:rsid w:val="00390D88"/>
    <w:rsid w:val="0039144D"/>
    <w:rsid w:val="00391A6B"/>
    <w:rsid w:val="00391DD7"/>
    <w:rsid w:val="00392D12"/>
    <w:rsid w:val="003931C1"/>
    <w:rsid w:val="0039361E"/>
    <w:rsid w:val="00393645"/>
    <w:rsid w:val="00393B97"/>
    <w:rsid w:val="0039452D"/>
    <w:rsid w:val="00394D03"/>
    <w:rsid w:val="00395654"/>
    <w:rsid w:val="003964D4"/>
    <w:rsid w:val="00396A89"/>
    <w:rsid w:val="00397334"/>
    <w:rsid w:val="003978D7"/>
    <w:rsid w:val="003A03AE"/>
    <w:rsid w:val="003A26F1"/>
    <w:rsid w:val="003A2E30"/>
    <w:rsid w:val="003A4582"/>
    <w:rsid w:val="003A6320"/>
    <w:rsid w:val="003A6527"/>
    <w:rsid w:val="003A6B2E"/>
    <w:rsid w:val="003A7004"/>
    <w:rsid w:val="003A7325"/>
    <w:rsid w:val="003B0204"/>
    <w:rsid w:val="003B0236"/>
    <w:rsid w:val="003B1331"/>
    <w:rsid w:val="003B3765"/>
    <w:rsid w:val="003B3A56"/>
    <w:rsid w:val="003B3B64"/>
    <w:rsid w:val="003B4940"/>
    <w:rsid w:val="003B5150"/>
    <w:rsid w:val="003B5701"/>
    <w:rsid w:val="003B60FB"/>
    <w:rsid w:val="003B6762"/>
    <w:rsid w:val="003B6907"/>
    <w:rsid w:val="003B758A"/>
    <w:rsid w:val="003C0AA6"/>
    <w:rsid w:val="003C0CA2"/>
    <w:rsid w:val="003C1268"/>
    <w:rsid w:val="003C1F8E"/>
    <w:rsid w:val="003C21EB"/>
    <w:rsid w:val="003C3D35"/>
    <w:rsid w:val="003C3F64"/>
    <w:rsid w:val="003C4211"/>
    <w:rsid w:val="003C466B"/>
    <w:rsid w:val="003C46F4"/>
    <w:rsid w:val="003C4FDE"/>
    <w:rsid w:val="003C6070"/>
    <w:rsid w:val="003C7B8B"/>
    <w:rsid w:val="003D005B"/>
    <w:rsid w:val="003D10E8"/>
    <w:rsid w:val="003D114B"/>
    <w:rsid w:val="003D1548"/>
    <w:rsid w:val="003D29B7"/>
    <w:rsid w:val="003D2F63"/>
    <w:rsid w:val="003D3FDC"/>
    <w:rsid w:val="003D5152"/>
    <w:rsid w:val="003D53B9"/>
    <w:rsid w:val="003D557F"/>
    <w:rsid w:val="003D5BEC"/>
    <w:rsid w:val="003D5BFA"/>
    <w:rsid w:val="003D5E59"/>
    <w:rsid w:val="003D6688"/>
    <w:rsid w:val="003D6798"/>
    <w:rsid w:val="003D6A12"/>
    <w:rsid w:val="003D6EB1"/>
    <w:rsid w:val="003D6F28"/>
    <w:rsid w:val="003D74F1"/>
    <w:rsid w:val="003E011B"/>
    <w:rsid w:val="003E0F64"/>
    <w:rsid w:val="003E11D3"/>
    <w:rsid w:val="003E1980"/>
    <w:rsid w:val="003E1DEC"/>
    <w:rsid w:val="003E2D6A"/>
    <w:rsid w:val="003E418D"/>
    <w:rsid w:val="003E48F9"/>
    <w:rsid w:val="003E58DE"/>
    <w:rsid w:val="003E5CF9"/>
    <w:rsid w:val="003E656D"/>
    <w:rsid w:val="003E7569"/>
    <w:rsid w:val="003F0946"/>
    <w:rsid w:val="003F0C3D"/>
    <w:rsid w:val="003F151E"/>
    <w:rsid w:val="003F2E9F"/>
    <w:rsid w:val="003F2FA5"/>
    <w:rsid w:val="003F34B9"/>
    <w:rsid w:val="003F45CE"/>
    <w:rsid w:val="003F48EB"/>
    <w:rsid w:val="003F4B66"/>
    <w:rsid w:val="003F695C"/>
    <w:rsid w:val="003F71C8"/>
    <w:rsid w:val="003F73F7"/>
    <w:rsid w:val="004000FF"/>
    <w:rsid w:val="00401B3F"/>
    <w:rsid w:val="00402FA1"/>
    <w:rsid w:val="00404891"/>
    <w:rsid w:val="00405267"/>
    <w:rsid w:val="00405817"/>
    <w:rsid w:val="004061D2"/>
    <w:rsid w:val="0041152A"/>
    <w:rsid w:val="00411912"/>
    <w:rsid w:val="00411B33"/>
    <w:rsid w:val="00412DEB"/>
    <w:rsid w:val="00413FA8"/>
    <w:rsid w:val="004140D3"/>
    <w:rsid w:val="00414C6B"/>
    <w:rsid w:val="00414DFF"/>
    <w:rsid w:val="004160E1"/>
    <w:rsid w:val="004166AF"/>
    <w:rsid w:val="0041679D"/>
    <w:rsid w:val="00417DD3"/>
    <w:rsid w:val="0042045C"/>
    <w:rsid w:val="004250B3"/>
    <w:rsid w:val="004256D0"/>
    <w:rsid w:val="004256E0"/>
    <w:rsid w:val="004262B0"/>
    <w:rsid w:val="0043112C"/>
    <w:rsid w:val="00431E65"/>
    <w:rsid w:val="004334B0"/>
    <w:rsid w:val="00434A2D"/>
    <w:rsid w:val="00435BB2"/>
    <w:rsid w:val="00435F2E"/>
    <w:rsid w:val="00435F39"/>
    <w:rsid w:val="004361D7"/>
    <w:rsid w:val="00436419"/>
    <w:rsid w:val="00436C17"/>
    <w:rsid w:val="00436DA6"/>
    <w:rsid w:val="004376FC"/>
    <w:rsid w:val="00437AB2"/>
    <w:rsid w:val="0044101F"/>
    <w:rsid w:val="00441FFE"/>
    <w:rsid w:val="00442730"/>
    <w:rsid w:val="00442AD0"/>
    <w:rsid w:val="00442EAA"/>
    <w:rsid w:val="00443439"/>
    <w:rsid w:val="004435FA"/>
    <w:rsid w:val="00443D71"/>
    <w:rsid w:val="0044467B"/>
    <w:rsid w:val="00444AC7"/>
    <w:rsid w:val="00445E08"/>
    <w:rsid w:val="00447846"/>
    <w:rsid w:val="0044794A"/>
    <w:rsid w:val="0045085B"/>
    <w:rsid w:val="00451700"/>
    <w:rsid w:val="00451754"/>
    <w:rsid w:val="00453157"/>
    <w:rsid w:val="00453F42"/>
    <w:rsid w:val="00453F48"/>
    <w:rsid w:val="0045421C"/>
    <w:rsid w:val="00455207"/>
    <w:rsid w:val="004557C8"/>
    <w:rsid w:val="00455AA7"/>
    <w:rsid w:val="00455E0B"/>
    <w:rsid w:val="00456824"/>
    <w:rsid w:val="00456F9F"/>
    <w:rsid w:val="00456FA8"/>
    <w:rsid w:val="004570B4"/>
    <w:rsid w:val="00457876"/>
    <w:rsid w:val="00457BB4"/>
    <w:rsid w:val="00460146"/>
    <w:rsid w:val="004605E1"/>
    <w:rsid w:val="00460619"/>
    <w:rsid w:val="00461ECD"/>
    <w:rsid w:val="00461EEC"/>
    <w:rsid w:val="004621CE"/>
    <w:rsid w:val="00462251"/>
    <w:rsid w:val="004622F7"/>
    <w:rsid w:val="00462EC9"/>
    <w:rsid w:val="0046313E"/>
    <w:rsid w:val="004641D9"/>
    <w:rsid w:val="004647F5"/>
    <w:rsid w:val="00465627"/>
    <w:rsid w:val="004676FC"/>
    <w:rsid w:val="004706C9"/>
    <w:rsid w:val="00470BD9"/>
    <w:rsid w:val="00472903"/>
    <w:rsid w:val="00472E70"/>
    <w:rsid w:val="0047317B"/>
    <w:rsid w:val="00473D75"/>
    <w:rsid w:val="004742F6"/>
    <w:rsid w:val="00475186"/>
    <w:rsid w:val="00475505"/>
    <w:rsid w:val="00476923"/>
    <w:rsid w:val="004776F9"/>
    <w:rsid w:val="00477CB3"/>
    <w:rsid w:val="00481772"/>
    <w:rsid w:val="00481E85"/>
    <w:rsid w:val="00483930"/>
    <w:rsid w:val="00484D87"/>
    <w:rsid w:val="00485AB0"/>
    <w:rsid w:val="00486873"/>
    <w:rsid w:val="004874F3"/>
    <w:rsid w:val="00490B53"/>
    <w:rsid w:val="004914BB"/>
    <w:rsid w:val="00491667"/>
    <w:rsid w:val="0049360B"/>
    <w:rsid w:val="00493C0B"/>
    <w:rsid w:val="004948A3"/>
    <w:rsid w:val="00495F83"/>
    <w:rsid w:val="00496A42"/>
    <w:rsid w:val="004979F4"/>
    <w:rsid w:val="004A0F0C"/>
    <w:rsid w:val="004A0FBA"/>
    <w:rsid w:val="004A17B0"/>
    <w:rsid w:val="004A1898"/>
    <w:rsid w:val="004A1BDA"/>
    <w:rsid w:val="004A262A"/>
    <w:rsid w:val="004A33F9"/>
    <w:rsid w:val="004A498E"/>
    <w:rsid w:val="004A4EB9"/>
    <w:rsid w:val="004A5124"/>
    <w:rsid w:val="004A5D54"/>
    <w:rsid w:val="004A6F9E"/>
    <w:rsid w:val="004A76DF"/>
    <w:rsid w:val="004B0B8F"/>
    <w:rsid w:val="004B169A"/>
    <w:rsid w:val="004B31DF"/>
    <w:rsid w:val="004B34BF"/>
    <w:rsid w:val="004B476F"/>
    <w:rsid w:val="004B5562"/>
    <w:rsid w:val="004B59CC"/>
    <w:rsid w:val="004B64F0"/>
    <w:rsid w:val="004B6C24"/>
    <w:rsid w:val="004C0C47"/>
    <w:rsid w:val="004C12D0"/>
    <w:rsid w:val="004C2464"/>
    <w:rsid w:val="004C3CF5"/>
    <w:rsid w:val="004C3E76"/>
    <w:rsid w:val="004C4960"/>
    <w:rsid w:val="004C4C04"/>
    <w:rsid w:val="004C4CC4"/>
    <w:rsid w:val="004C57B2"/>
    <w:rsid w:val="004C6EAB"/>
    <w:rsid w:val="004C6FB8"/>
    <w:rsid w:val="004C7609"/>
    <w:rsid w:val="004C7867"/>
    <w:rsid w:val="004C7FE0"/>
    <w:rsid w:val="004D0BFE"/>
    <w:rsid w:val="004D3064"/>
    <w:rsid w:val="004D549E"/>
    <w:rsid w:val="004D5D4B"/>
    <w:rsid w:val="004D63F9"/>
    <w:rsid w:val="004D6CD5"/>
    <w:rsid w:val="004D7661"/>
    <w:rsid w:val="004D77E0"/>
    <w:rsid w:val="004D7BCB"/>
    <w:rsid w:val="004D7E5D"/>
    <w:rsid w:val="004E05B4"/>
    <w:rsid w:val="004E0889"/>
    <w:rsid w:val="004E0B1A"/>
    <w:rsid w:val="004E0CA3"/>
    <w:rsid w:val="004E1CBF"/>
    <w:rsid w:val="004E27FC"/>
    <w:rsid w:val="004E36B9"/>
    <w:rsid w:val="004E4073"/>
    <w:rsid w:val="004E4C8A"/>
    <w:rsid w:val="004E5DDE"/>
    <w:rsid w:val="004E6281"/>
    <w:rsid w:val="004E6BDE"/>
    <w:rsid w:val="004E75D1"/>
    <w:rsid w:val="004F18AF"/>
    <w:rsid w:val="004F2406"/>
    <w:rsid w:val="004F4A61"/>
    <w:rsid w:val="004F54AC"/>
    <w:rsid w:val="004F79A8"/>
    <w:rsid w:val="004F7B5D"/>
    <w:rsid w:val="00500D29"/>
    <w:rsid w:val="00500F0A"/>
    <w:rsid w:val="00501369"/>
    <w:rsid w:val="005019CD"/>
    <w:rsid w:val="005020DA"/>
    <w:rsid w:val="005021C3"/>
    <w:rsid w:val="005026B5"/>
    <w:rsid w:val="0050279A"/>
    <w:rsid w:val="00504406"/>
    <w:rsid w:val="005054FA"/>
    <w:rsid w:val="005055BA"/>
    <w:rsid w:val="005055DE"/>
    <w:rsid w:val="00505999"/>
    <w:rsid w:val="00506168"/>
    <w:rsid w:val="00507628"/>
    <w:rsid w:val="005076D6"/>
    <w:rsid w:val="00507DBB"/>
    <w:rsid w:val="0051137A"/>
    <w:rsid w:val="00511B59"/>
    <w:rsid w:val="00511F2C"/>
    <w:rsid w:val="005125F6"/>
    <w:rsid w:val="00512972"/>
    <w:rsid w:val="00512D79"/>
    <w:rsid w:val="00512E74"/>
    <w:rsid w:val="005138A3"/>
    <w:rsid w:val="005141B3"/>
    <w:rsid w:val="00514D13"/>
    <w:rsid w:val="00517D67"/>
    <w:rsid w:val="00517E1E"/>
    <w:rsid w:val="00521015"/>
    <w:rsid w:val="00521D90"/>
    <w:rsid w:val="005235BF"/>
    <w:rsid w:val="00523774"/>
    <w:rsid w:val="00523C48"/>
    <w:rsid w:val="00523E0A"/>
    <w:rsid w:val="0052517B"/>
    <w:rsid w:val="00525F3E"/>
    <w:rsid w:val="005265E8"/>
    <w:rsid w:val="005273B3"/>
    <w:rsid w:val="00527C01"/>
    <w:rsid w:val="00527C25"/>
    <w:rsid w:val="005302E0"/>
    <w:rsid w:val="00530946"/>
    <w:rsid w:val="005322CF"/>
    <w:rsid w:val="00532824"/>
    <w:rsid w:val="005328B8"/>
    <w:rsid w:val="00532D5B"/>
    <w:rsid w:val="005335C4"/>
    <w:rsid w:val="00533797"/>
    <w:rsid w:val="00533EF0"/>
    <w:rsid w:val="00534278"/>
    <w:rsid w:val="0053431E"/>
    <w:rsid w:val="00535B2E"/>
    <w:rsid w:val="005371DF"/>
    <w:rsid w:val="00537A8A"/>
    <w:rsid w:val="005428DA"/>
    <w:rsid w:val="005435E0"/>
    <w:rsid w:val="0054364F"/>
    <w:rsid w:val="00543BFB"/>
    <w:rsid w:val="00543F41"/>
    <w:rsid w:val="005442EA"/>
    <w:rsid w:val="00544D24"/>
    <w:rsid w:val="005453D4"/>
    <w:rsid w:val="00545D78"/>
    <w:rsid w:val="005463EB"/>
    <w:rsid w:val="005466A7"/>
    <w:rsid w:val="00547349"/>
    <w:rsid w:val="00547B17"/>
    <w:rsid w:val="00550AEC"/>
    <w:rsid w:val="00551671"/>
    <w:rsid w:val="00552A66"/>
    <w:rsid w:val="00552E8C"/>
    <w:rsid w:val="00552FB1"/>
    <w:rsid w:val="0055497A"/>
    <w:rsid w:val="005549FE"/>
    <w:rsid w:val="00554B06"/>
    <w:rsid w:val="00554B98"/>
    <w:rsid w:val="00554FBF"/>
    <w:rsid w:val="00556DE1"/>
    <w:rsid w:val="00557320"/>
    <w:rsid w:val="00557DCE"/>
    <w:rsid w:val="00557EBD"/>
    <w:rsid w:val="00560ECA"/>
    <w:rsid w:val="00561B58"/>
    <w:rsid w:val="00562426"/>
    <w:rsid w:val="0056417C"/>
    <w:rsid w:val="005661D6"/>
    <w:rsid w:val="005667A6"/>
    <w:rsid w:val="00567C6D"/>
    <w:rsid w:val="00570554"/>
    <w:rsid w:val="005707B6"/>
    <w:rsid w:val="005728D8"/>
    <w:rsid w:val="00572D5D"/>
    <w:rsid w:val="00572DBD"/>
    <w:rsid w:val="005737E9"/>
    <w:rsid w:val="00573D48"/>
    <w:rsid w:val="0057528B"/>
    <w:rsid w:val="00575AAD"/>
    <w:rsid w:val="00575C1D"/>
    <w:rsid w:val="00575D68"/>
    <w:rsid w:val="0057648E"/>
    <w:rsid w:val="00576886"/>
    <w:rsid w:val="00576EF0"/>
    <w:rsid w:val="00577488"/>
    <w:rsid w:val="0057799A"/>
    <w:rsid w:val="005804BC"/>
    <w:rsid w:val="00582542"/>
    <w:rsid w:val="00583E07"/>
    <w:rsid w:val="0058483D"/>
    <w:rsid w:val="00586E10"/>
    <w:rsid w:val="00587E31"/>
    <w:rsid w:val="005902DD"/>
    <w:rsid w:val="00590E0F"/>
    <w:rsid w:val="00591765"/>
    <w:rsid w:val="00591D6C"/>
    <w:rsid w:val="005927FA"/>
    <w:rsid w:val="005946BC"/>
    <w:rsid w:val="005950DC"/>
    <w:rsid w:val="00595461"/>
    <w:rsid w:val="00596816"/>
    <w:rsid w:val="00597A63"/>
    <w:rsid w:val="00597D9B"/>
    <w:rsid w:val="00597ED2"/>
    <w:rsid w:val="005A2B13"/>
    <w:rsid w:val="005A2ECC"/>
    <w:rsid w:val="005A3E2C"/>
    <w:rsid w:val="005A4393"/>
    <w:rsid w:val="005A478E"/>
    <w:rsid w:val="005A4EFA"/>
    <w:rsid w:val="005A72C0"/>
    <w:rsid w:val="005B02CC"/>
    <w:rsid w:val="005B0F67"/>
    <w:rsid w:val="005B1925"/>
    <w:rsid w:val="005B1954"/>
    <w:rsid w:val="005B1E45"/>
    <w:rsid w:val="005B3590"/>
    <w:rsid w:val="005B3628"/>
    <w:rsid w:val="005B39F1"/>
    <w:rsid w:val="005B57D5"/>
    <w:rsid w:val="005B5885"/>
    <w:rsid w:val="005B5A0B"/>
    <w:rsid w:val="005B5DAF"/>
    <w:rsid w:val="005B78B6"/>
    <w:rsid w:val="005C0092"/>
    <w:rsid w:val="005C0BD7"/>
    <w:rsid w:val="005C0BE7"/>
    <w:rsid w:val="005C0FCB"/>
    <w:rsid w:val="005C1899"/>
    <w:rsid w:val="005C23A4"/>
    <w:rsid w:val="005C2645"/>
    <w:rsid w:val="005C5C94"/>
    <w:rsid w:val="005C7271"/>
    <w:rsid w:val="005D04EC"/>
    <w:rsid w:val="005D088F"/>
    <w:rsid w:val="005D0EFB"/>
    <w:rsid w:val="005D1757"/>
    <w:rsid w:val="005D1FA2"/>
    <w:rsid w:val="005D27E0"/>
    <w:rsid w:val="005D3017"/>
    <w:rsid w:val="005D3894"/>
    <w:rsid w:val="005D3C65"/>
    <w:rsid w:val="005D4843"/>
    <w:rsid w:val="005D4F47"/>
    <w:rsid w:val="005D526D"/>
    <w:rsid w:val="005D5BBC"/>
    <w:rsid w:val="005D72F0"/>
    <w:rsid w:val="005E0513"/>
    <w:rsid w:val="005E135D"/>
    <w:rsid w:val="005E143B"/>
    <w:rsid w:val="005E1489"/>
    <w:rsid w:val="005E1898"/>
    <w:rsid w:val="005E191C"/>
    <w:rsid w:val="005E37BE"/>
    <w:rsid w:val="005E4BDD"/>
    <w:rsid w:val="005E629E"/>
    <w:rsid w:val="005E6C52"/>
    <w:rsid w:val="005E6E0E"/>
    <w:rsid w:val="005E7BA3"/>
    <w:rsid w:val="005F0291"/>
    <w:rsid w:val="005F0D1C"/>
    <w:rsid w:val="005F13D4"/>
    <w:rsid w:val="005F23D2"/>
    <w:rsid w:val="005F241D"/>
    <w:rsid w:val="005F2894"/>
    <w:rsid w:val="005F2FA0"/>
    <w:rsid w:val="005F3507"/>
    <w:rsid w:val="005F3D23"/>
    <w:rsid w:val="005F4F47"/>
    <w:rsid w:val="005F5A0F"/>
    <w:rsid w:val="005F5AA0"/>
    <w:rsid w:val="005F62A8"/>
    <w:rsid w:val="005F7811"/>
    <w:rsid w:val="005F7D96"/>
    <w:rsid w:val="00600F9E"/>
    <w:rsid w:val="0060259B"/>
    <w:rsid w:val="0060288E"/>
    <w:rsid w:val="006028A1"/>
    <w:rsid w:val="00602F07"/>
    <w:rsid w:val="006035C4"/>
    <w:rsid w:val="00604F15"/>
    <w:rsid w:val="0060604F"/>
    <w:rsid w:val="00606149"/>
    <w:rsid w:val="00607051"/>
    <w:rsid w:val="00607876"/>
    <w:rsid w:val="00607BFB"/>
    <w:rsid w:val="00610D4F"/>
    <w:rsid w:val="00611886"/>
    <w:rsid w:val="00612035"/>
    <w:rsid w:val="006124F7"/>
    <w:rsid w:val="00615055"/>
    <w:rsid w:val="00615417"/>
    <w:rsid w:val="006168A4"/>
    <w:rsid w:val="0061790C"/>
    <w:rsid w:val="00617F80"/>
    <w:rsid w:val="00617FA3"/>
    <w:rsid w:val="00617FEA"/>
    <w:rsid w:val="0062055F"/>
    <w:rsid w:val="00620BCE"/>
    <w:rsid w:val="00620DA8"/>
    <w:rsid w:val="00620E9F"/>
    <w:rsid w:val="0062222E"/>
    <w:rsid w:val="0062254E"/>
    <w:rsid w:val="00623604"/>
    <w:rsid w:val="006239C3"/>
    <w:rsid w:val="00623E4D"/>
    <w:rsid w:val="00624120"/>
    <w:rsid w:val="00624BE5"/>
    <w:rsid w:val="00625133"/>
    <w:rsid w:val="00625EE0"/>
    <w:rsid w:val="0062631B"/>
    <w:rsid w:val="00626A84"/>
    <w:rsid w:val="00626BDB"/>
    <w:rsid w:val="00627AF3"/>
    <w:rsid w:val="00627C62"/>
    <w:rsid w:val="00627D07"/>
    <w:rsid w:val="00630F8F"/>
    <w:rsid w:val="00631C8F"/>
    <w:rsid w:val="006343EA"/>
    <w:rsid w:val="00634758"/>
    <w:rsid w:val="00636980"/>
    <w:rsid w:val="00636B7C"/>
    <w:rsid w:val="00636B80"/>
    <w:rsid w:val="00637A3F"/>
    <w:rsid w:val="00640882"/>
    <w:rsid w:val="00640901"/>
    <w:rsid w:val="00641432"/>
    <w:rsid w:val="00641A69"/>
    <w:rsid w:val="00641C3D"/>
    <w:rsid w:val="00641E8D"/>
    <w:rsid w:val="00641F17"/>
    <w:rsid w:val="00642ED2"/>
    <w:rsid w:val="0064311F"/>
    <w:rsid w:val="006439AA"/>
    <w:rsid w:val="006444F0"/>
    <w:rsid w:val="006447D2"/>
    <w:rsid w:val="00645ACB"/>
    <w:rsid w:val="00645BEC"/>
    <w:rsid w:val="00645DA2"/>
    <w:rsid w:val="00645DF0"/>
    <w:rsid w:val="00646304"/>
    <w:rsid w:val="0064655A"/>
    <w:rsid w:val="0064698A"/>
    <w:rsid w:val="00647642"/>
    <w:rsid w:val="00647B88"/>
    <w:rsid w:val="00650665"/>
    <w:rsid w:val="006509C1"/>
    <w:rsid w:val="00650A2A"/>
    <w:rsid w:val="00650B17"/>
    <w:rsid w:val="00651EED"/>
    <w:rsid w:val="006527C2"/>
    <w:rsid w:val="00652C86"/>
    <w:rsid w:val="0065326B"/>
    <w:rsid w:val="00653613"/>
    <w:rsid w:val="0065373F"/>
    <w:rsid w:val="00653812"/>
    <w:rsid w:val="00653895"/>
    <w:rsid w:val="006561C8"/>
    <w:rsid w:val="00656431"/>
    <w:rsid w:val="0065787F"/>
    <w:rsid w:val="00660F7B"/>
    <w:rsid w:val="00661ABE"/>
    <w:rsid w:val="00661C1E"/>
    <w:rsid w:val="0066204D"/>
    <w:rsid w:val="006631CD"/>
    <w:rsid w:val="006636E8"/>
    <w:rsid w:val="00663CD8"/>
    <w:rsid w:val="00663D96"/>
    <w:rsid w:val="00664350"/>
    <w:rsid w:val="00664380"/>
    <w:rsid w:val="00667731"/>
    <w:rsid w:val="00667A58"/>
    <w:rsid w:val="00667E9D"/>
    <w:rsid w:val="00667FA5"/>
    <w:rsid w:val="006700B0"/>
    <w:rsid w:val="0067032D"/>
    <w:rsid w:val="00670763"/>
    <w:rsid w:val="00672664"/>
    <w:rsid w:val="00672FC3"/>
    <w:rsid w:val="0067369A"/>
    <w:rsid w:val="006737DB"/>
    <w:rsid w:val="00673D9F"/>
    <w:rsid w:val="00673E56"/>
    <w:rsid w:val="00673EF9"/>
    <w:rsid w:val="006741E9"/>
    <w:rsid w:val="0067440C"/>
    <w:rsid w:val="006758C9"/>
    <w:rsid w:val="00675EE7"/>
    <w:rsid w:val="00675F3D"/>
    <w:rsid w:val="00676A14"/>
    <w:rsid w:val="00677CCE"/>
    <w:rsid w:val="00681F0E"/>
    <w:rsid w:val="00682414"/>
    <w:rsid w:val="0068245C"/>
    <w:rsid w:val="006826DC"/>
    <w:rsid w:val="006829D2"/>
    <w:rsid w:val="00683309"/>
    <w:rsid w:val="0068434A"/>
    <w:rsid w:val="006847D1"/>
    <w:rsid w:val="006849FF"/>
    <w:rsid w:val="00684B1F"/>
    <w:rsid w:val="00684F50"/>
    <w:rsid w:val="0068587F"/>
    <w:rsid w:val="006872A4"/>
    <w:rsid w:val="00687AF7"/>
    <w:rsid w:val="0069018C"/>
    <w:rsid w:val="00690194"/>
    <w:rsid w:val="00690730"/>
    <w:rsid w:val="00691C30"/>
    <w:rsid w:val="00691CB9"/>
    <w:rsid w:val="00691D3A"/>
    <w:rsid w:val="00691DCE"/>
    <w:rsid w:val="006921DC"/>
    <w:rsid w:val="00692DF8"/>
    <w:rsid w:val="00693118"/>
    <w:rsid w:val="006941C0"/>
    <w:rsid w:val="0069587B"/>
    <w:rsid w:val="00697015"/>
    <w:rsid w:val="00697418"/>
    <w:rsid w:val="00697743"/>
    <w:rsid w:val="006A01B2"/>
    <w:rsid w:val="006A045E"/>
    <w:rsid w:val="006A055F"/>
    <w:rsid w:val="006A0771"/>
    <w:rsid w:val="006A2345"/>
    <w:rsid w:val="006A278F"/>
    <w:rsid w:val="006A3083"/>
    <w:rsid w:val="006A4F55"/>
    <w:rsid w:val="006A6695"/>
    <w:rsid w:val="006A67D0"/>
    <w:rsid w:val="006A6A6F"/>
    <w:rsid w:val="006A74B3"/>
    <w:rsid w:val="006A7833"/>
    <w:rsid w:val="006B1678"/>
    <w:rsid w:val="006B2214"/>
    <w:rsid w:val="006B2447"/>
    <w:rsid w:val="006B2F4D"/>
    <w:rsid w:val="006B37ED"/>
    <w:rsid w:val="006B3FF7"/>
    <w:rsid w:val="006B5A02"/>
    <w:rsid w:val="006B64F7"/>
    <w:rsid w:val="006B65B6"/>
    <w:rsid w:val="006C1326"/>
    <w:rsid w:val="006C1C8B"/>
    <w:rsid w:val="006C5760"/>
    <w:rsid w:val="006C5A93"/>
    <w:rsid w:val="006C6298"/>
    <w:rsid w:val="006C64A6"/>
    <w:rsid w:val="006C6C4A"/>
    <w:rsid w:val="006C71F4"/>
    <w:rsid w:val="006D083B"/>
    <w:rsid w:val="006D0E29"/>
    <w:rsid w:val="006D14FA"/>
    <w:rsid w:val="006D1F48"/>
    <w:rsid w:val="006D23A0"/>
    <w:rsid w:val="006D3345"/>
    <w:rsid w:val="006D6FDB"/>
    <w:rsid w:val="006D72FC"/>
    <w:rsid w:val="006E010F"/>
    <w:rsid w:val="006E025B"/>
    <w:rsid w:val="006E1307"/>
    <w:rsid w:val="006E17F1"/>
    <w:rsid w:val="006E2D79"/>
    <w:rsid w:val="006E2F91"/>
    <w:rsid w:val="006E3589"/>
    <w:rsid w:val="006E4363"/>
    <w:rsid w:val="006E6180"/>
    <w:rsid w:val="006E6286"/>
    <w:rsid w:val="006E79EF"/>
    <w:rsid w:val="006F180D"/>
    <w:rsid w:val="006F2364"/>
    <w:rsid w:val="006F319A"/>
    <w:rsid w:val="006F32A6"/>
    <w:rsid w:val="006F5A41"/>
    <w:rsid w:val="006F5E73"/>
    <w:rsid w:val="006F6A30"/>
    <w:rsid w:val="006F6A40"/>
    <w:rsid w:val="006F6F1C"/>
    <w:rsid w:val="006F7B3A"/>
    <w:rsid w:val="0070170B"/>
    <w:rsid w:val="00702169"/>
    <w:rsid w:val="0070233E"/>
    <w:rsid w:val="00703003"/>
    <w:rsid w:val="0070352F"/>
    <w:rsid w:val="00703A3B"/>
    <w:rsid w:val="00704698"/>
    <w:rsid w:val="007046A7"/>
    <w:rsid w:val="0070526C"/>
    <w:rsid w:val="00705C18"/>
    <w:rsid w:val="00706D0C"/>
    <w:rsid w:val="007075CD"/>
    <w:rsid w:val="00707C11"/>
    <w:rsid w:val="00707F57"/>
    <w:rsid w:val="00710A6C"/>
    <w:rsid w:val="00714088"/>
    <w:rsid w:val="007141DB"/>
    <w:rsid w:val="00714E7C"/>
    <w:rsid w:val="00714EFD"/>
    <w:rsid w:val="007166C6"/>
    <w:rsid w:val="0071717E"/>
    <w:rsid w:val="0071767B"/>
    <w:rsid w:val="00721830"/>
    <w:rsid w:val="00723D22"/>
    <w:rsid w:val="007247EF"/>
    <w:rsid w:val="00726043"/>
    <w:rsid w:val="0072621B"/>
    <w:rsid w:val="00726F55"/>
    <w:rsid w:val="00727A31"/>
    <w:rsid w:val="00727F97"/>
    <w:rsid w:val="007306E5"/>
    <w:rsid w:val="00730C09"/>
    <w:rsid w:val="00731295"/>
    <w:rsid w:val="0073175D"/>
    <w:rsid w:val="007317B1"/>
    <w:rsid w:val="00731810"/>
    <w:rsid w:val="007336E0"/>
    <w:rsid w:val="00734F5E"/>
    <w:rsid w:val="00734FBE"/>
    <w:rsid w:val="00735003"/>
    <w:rsid w:val="00735274"/>
    <w:rsid w:val="007363AA"/>
    <w:rsid w:val="00737A75"/>
    <w:rsid w:val="00737B24"/>
    <w:rsid w:val="00737F3E"/>
    <w:rsid w:val="0074148D"/>
    <w:rsid w:val="007415F4"/>
    <w:rsid w:val="00741828"/>
    <w:rsid w:val="0074487A"/>
    <w:rsid w:val="00745B2C"/>
    <w:rsid w:val="00746018"/>
    <w:rsid w:val="0074603D"/>
    <w:rsid w:val="007461F2"/>
    <w:rsid w:val="00750FCF"/>
    <w:rsid w:val="0075270C"/>
    <w:rsid w:val="00752CCA"/>
    <w:rsid w:val="0075309B"/>
    <w:rsid w:val="0075361B"/>
    <w:rsid w:val="007549BB"/>
    <w:rsid w:val="0075516D"/>
    <w:rsid w:val="00755C75"/>
    <w:rsid w:val="00760236"/>
    <w:rsid w:val="0076041E"/>
    <w:rsid w:val="00760FFA"/>
    <w:rsid w:val="007614D2"/>
    <w:rsid w:val="00761E45"/>
    <w:rsid w:val="0076234A"/>
    <w:rsid w:val="007623D4"/>
    <w:rsid w:val="00762436"/>
    <w:rsid w:val="007628EC"/>
    <w:rsid w:val="00763029"/>
    <w:rsid w:val="00763A64"/>
    <w:rsid w:val="007646AE"/>
    <w:rsid w:val="00764A11"/>
    <w:rsid w:val="0076592D"/>
    <w:rsid w:val="007659F5"/>
    <w:rsid w:val="00765CF1"/>
    <w:rsid w:val="0076726A"/>
    <w:rsid w:val="0076790C"/>
    <w:rsid w:val="00767CB8"/>
    <w:rsid w:val="00770E3A"/>
    <w:rsid w:val="00771138"/>
    <w:rsid w:val="00771438"/>
    <w:rsid w:val="00771A3E"/>
    <w:rsid w:val="00772465"/>
    <w:rsid w:val="0077346C"/>
    <w:rsid w:val="00774005"/>
    <w:rsid w:val="00775198"/>
    <w:rsid w:val="0077572C"/>
    <w:rsid w:val="00775DAC"/>
    <w:rsid w:val="007764D6"/>
    <w:rsid w:val="0077750C"/>
    <w:rsid w:val="0077759B"/>
    <w:rsid w:val="007809AF"/>
    <w:rsid w:val="00780B10"/>
    <w:rsid w:val="00780BD2"/>
    <w:rsid w:val="007810DE"/>
    <w:rsid w:val="00781D10"/>
    <w:rsid w:val="00782AC2"/>
    <w:rsid w:val="00783488"/>
    <w:rsid w:val="007858B4"/>
    <w:rsid w:val="00785EFE"/>
    <w:rsid w:val="00786A0F"/>
    <w:rsid w:val="00787209"/>
    <w:rsid w:val="00790438"/>
    <w:rsid w:val="00790FAA"/>
    <w:rsid w:val="00791D8A"/>
    <w:rsid w:val="007922D0"/>
    <w:rsid w:val="00793013"/>
    <w:rsid w:val="00794884"/>
    <w:rsid w:val="00795B1F"/>
    <w:rsid w:val="00797E42"/>
    <w:rsid w:val="007A039B"/>
    <w:rsid w:val="007A17BC"/>
    <w:rsid w:val="007A17C7"/>
    <w:rsid w:val="007A2714"/>
    <w:rsid w:val="007A63B6"/>
    <w:rsid w:val="007A682F"/>
    <w:rsid w:val="007A7319"/>
    <w:rsid w:val="007A735C"/>
    <w:rsid w:val="007B11EB"/>
    <w:rsid w:val="007B1612"/>
    <w:rsid w:val="007B167E"/>
    <w:rsid w:val="007B17CE"/>
    <w:rsid w:val="007B21BB"/>
    <w:rsid w:val="007B260D"/>
    <w:rsid w:val="007B2892"/>
    <w:rsid w:val="007B2C7E"/>
    <w:rsid w:val="007B2DDA"/>
    <w:rsid w:val="007B3392"/>
    <w:rsid w:val="007B394B"/>
    <w:rsid w:val="007B4E28"/>
    <w:rsid w:val="007B4ED6"/>
    <w:rsid w:val="007B5B40"/>
    <w:rsid w:val="007B6DA5"/>
    <w:rsid w:val="007C02CD"/>
    <w:rsid w:val="007C0755"/>
    <w:rsid w:val="007C1150"/>
    <w:rsid w:val="007C1528"/>
    <w:rsid w:val="007C1A0B"/>
    <w:rsid w:val="007C2E77"/>
    <w:rsid w:val="007C3476"/>
    <w:rsid w:val="007C3C36"/>
    <w:rsid w:val="007C570B"/>
    <w:rsid w:val="007C6222"/>
    <w:rsid w:val="007C6ADC"/>
    <w:rsid w:val="007C6AF7"/>
    <w:rsid w:val="007C70FA"/>
    <w:rsid w:val="007C7442"/>
    <w:rsid w:val="007D11C4"/>
    <w:rsid w:val="007D3A21"/>
    <w:rsid w:val="007D409E"/>
    <w:rsid w:val="007D4875"/>
    <w:rsid w:val="007D529D"/>
    <w:rsid w:val="007D5A62"/>
    <w:rsid w:val="007D5C87"/>
    <w:rsid w:val="007D5D04"/>
    <w:rsid w:val="007D6F6C"/>
    <w:rsid w:val="007D706F"/>
    <w:rsid w:val="007D7449"/>
    <w:rsid w:val="007D7B9A"/>
    <w:rsid w:val="007D7CF6"/>
    <w:rsid w:val="007D7E95"/>
    <w:rsid w:val="007E0191"/>
    <w:rsid w:val="007E1C0F"/>
    <w:rsid w:val="007E2473"/>
    <w:rsid w:val="007E377E"/>
    <w:rsid w:val="007E3ACA"/>
    <w:rsid w:val="007E427B"/>
    <w:rsid w:val="007E439A"/>
    <w:rsid w:val="007E4B08"/>
    <w:rsid w:val="007E4BAB"/>
    <w:rsid w:val="007E59BE"/>
    <w:rsid w:val="007E658C"/>
    <w:rsid w:val="007E7DCA"/>
    <w:rsid w:val="007F0929"/>
    <w:rsid w:val="007F2F00"/>
    <w:rsid w:val="007F30FA"/>
    <w:rsid w:val="007F470F"/>
    <w:rsid w:val="007F4B6C"/>
    <w:rsid w:val="007F4FEF"/>
    <w:rsid w:val="007F5109"/>
    <w:rsid w:val="007F5BE2"/>
    <w:rsid w:val="007F6624"/>
    <w:rsid w:val="007F7192"/>
    <w:rsid w:val="007F763B"/>
    <w:rsid w:val="007F7D76"/>
    <w:rsid w:val="00800371"/>
    <w:rsid w:val="008009EC"/>
    <w:rsid w:val="00801028"/>
    <w:rsid w:val="008014F3"/>
    <w:rsid w:val="00801679"/>
    <w:rsid w:val="008016B9"/>
    <w:rsid w:val="008021E0"/>
    <w:rsid w:val="008022C2"/>
    <w:rsid w:val="008024C5"/>
    <w:rsid w:val="00802C72"/>
    <w:rsid w:val="008050ED"/>
    <w:rsid w:val="008051C4"/>
    <w:rsid w:val="00806555"/>
    <w:rsid w:val="00806F0A"/>
    <w:rsid w:val="008075A0"/>
    <w:rsid w:val="00807E59"/>
    <w:rsid w:val="00807EA9"/>
    <w:rsid w:val="0081222D"/>
    <w:rsid w:val="00813A34"/>
    <w:rsid w:val="00813CAB"/>
    <w:rsid w:val="00814BE8"/>
    <w:rsid w:val="00816648"/>
    <w:rsid w:val="00817830"/>
    <w:rsid w:val="00820511"/>
    <w:rsid w:val="0082061A"/>
    <w:rsid w:val="00820E8D"/>
    <w:rsid w:val="008212DF"/>
    <w:rsid w:val="00822C9D"/>
    <w:rsid w:val="0082355A"/>
    <w:rsid w:val="0082394C"/>
    <w:rsid w:val="00824E0A"/>
    <w:rsid w:val="00826A89"/>
    <w:rsid w:val="00827F62"/>
    <w:rsid w:val="008300D5"/>
    <w:rsid w:val="00831381"/>
    <w:rsid w:val="00831BE3"/>
    <w:rsid w:val="00831C52"/>
    <w:rsid w:val="008341BA"/>
    <w:rsid w:val="008341E2"/>
    <w:rsid w:val="00834407"/>
    <w:rsid w:val="00834B2E"/>
    <w:rsid w:val="00835567"/>
    <w:rsid w:val="0083572A"/>
    <w:rsid w:val="00835E41"/>
    <w:rsid w:val="00836ED1"/>
    <w:rsid w:val="00840354"/>
    <w:rsid w:val="00840F3D"/>
    <w:rsid w:val="008417F1"/>
    <w:rsid w:val="0084257F"/>
    <w:rsid w:val="00843C76"/>
    <w:rsid w:val="00843F31"/>
    <w:rsid w:val="0084478D"/>
    <w:rsid w:val="008449FF"/>
    <w:rsid w:val="00844A0B"/>
    <w:rsid w:val="00845858"/>
    <w:rsid w:val="00845E0C"/>
    <w:rsid w:val="0084631C"/>
    <w:rsid w:val="00846D71"/>
    <w:rsid w:val="00850281"/>
    <w:rsid w:val="008502A9"/>
    <w:rsid w:val="0085131D"/>
    <w:rsid w:val="00851555"/>
    <w:rsid w:val="008515D1"/>
    <w:rsid w:val="00853DAA"/>
    <w:rsid w:val="00854707"/>
    <w:rsid w:val="0086135C"/>
    <w:rsid w:val="008613CB"/>
    <w:rsid w:val="00861B97"/>
    <w:rsid w:val="00862084"/>
    <w:rsid w:val="008627F1"/>
    <w:rsid w:val="00862DCA"/>
    <w:rsid w:val="008631D7"/>
    <w:rsid w:val="00863252"/>
    <w:rsid w:val="00864337"/>
    <w:rsid w:val="008648A2"/>
    <w:rsid w:val="0086497B"/>
    <w:rsid w:val="00864E10"/>
    <w:rsid w:val="00864F73"/>
    <w:rsid w:val="008653BE"/>
    <w:rsid w:val="00865784"/>
    <w:rsid w:val="00865860"/>
    <w:rsid w:val="008658B6"/>
    <w:rsid w:val="00867096"/>
    <w:rsid w:val="00867FB2"/>
    <w:rsid w:val="008704FF"/>
    <w:rsid w:val="00870966"/>
    <w:rsid w:val="00870B55"/>
    <w:rsid w:val="00872499"/>
    <w:rsid w:val="00872FA9"/>
    <w:rsid w:val="0087495C"/>
    <w:rsid w:val="00874CFB"/>
    <w:rsid w:val="00875654"/>
    <w:rsid w:val="00875FB8"/>
    <w:rsid w:val="0087643F"/>
    <w:rsid w:val="00877587"/>
    <w:rsid w:val="008800AC"/>
    <w:rsid w:val="00880F8E"/>
    <w:rsid w:val="00881C3A"/>
    <w:rsid w:val="00881E0D"/>
    <w:rsid w:val="0088215A"/>
    <w:rsid w:val="00882434"/>
    <w:rsid w:val="0088439F"/>
    <w:rsid w:val="0088509C"/>
    <w:rsid w:val="00885354"/>
    <w:rsid w:val="0088548B"/>
    <w:rsid w:val="00885819"/>
    <w:rsid w:val="008873A9"/>
    <w:rsid w:val="00890C0C"/>
    <w:rsid w:val="00890F09"/>
    <w:rsid w:val="008917A1"/>
    <w:rsid w:val="008920C9"/>
    <w:rsid w:val="008930FB"/>
    <w:rsid w:val="008943D5"/>
    <w:rsid w:val="00895456"/>
    <w:rsid w:val="00896677"/>
    <w:rsid w:val="00897D5E"/>
    <w:rsid w:val="00897F49"/>
    <w:rsid w:val="008A0E9E"/>
    <w:rsid w:val="008A120F"/>
    <w:rsid w:val="008A132D"/>
    <w:rsid w:val="008A14BD"/>
    <w:rsid w:val="008A1698"/>
    <w:rsid w:val="008A21D6"/>
    <w:rsid w:val="008A3713"/>
    <w:rsid w:val="008A453C"/>
    <w:rsid w:val="008A4E36"/>
    <w:rsid w:val="008A5C04"/>
    <w:rsid w:val="008A6544"/>
    <w:rsid w:val="008A69BF"/>
    <w:rsid w:val="008A710C"/>
    <w:rsid w:val="008B0DCB"/>
    <w:rsid w:val="008B1E43"/>
    <w:rsid w:val="008B212A"/>
    <w:rsid w:val="008B2338"/>
    <w:rsid w:val="008B24C4"/>
    <w:rsid w:val="008B251C"/>
    <w:rsid w:val="008B2BBD"/>
    <w:rsid w:val="008B3526"/>
    <w:rsid w:val="008B3619"/>
    <w:rsid w:val="008B50FE"/>
    <w:rsid w:val="008B5E55"/>
    <w:rsid w:val="008B697E"/>
    <w:rsid w:val="008B7956"/>
    <w:rsid w:val="008B7FD2"/>
    <w:rsid w:val="008C1245"/>
    <w:rsid w:val="008C1DCA"/>
    <w:rsid w:val="008C2C8F"/>
    <w:rsid w:val="008C3AAC"/>
    <w:rsid w:val="008C505C"/>
    <w:rsid w:val="008C6210"/>
    <w:rsid w:val="008C64B2"/>
    <w:rsid w:val="008C70E9"/>
    <w:rsid w:val="008C7788"/>
    <w:rsid w:val="008D0599"/>
    <w:rsid w:val="008D18EB"/>
    <w:rsid w:val="008D1BA9"/>
    <w:rsid w:val="008D1F62"/>
    <w:rsid w:val="008D2548"/>
    <w:rsid w:val="008D3149"/>
    <w:rsid w:val="008D388C"/>
    <w:rsid w:val="008D4024"/>
    <w:rsid w:val="008D424D"/>
    <w:rsid w:val="008D4692"/>
    <w:rsid w:val="008D509F"/>
    <w:rsid w:val="008D536F"/>
    <w:rsid w:val="008D5E82"/>
    <w:rsid w:val="008D6917"/>
    <w:rsid w:val="008D6CF9"/>
    <w:rsid w:val="008D7E0A"/>
    <w:rsid w:val="008D7EFD"/>
    <w:rsid w:val="008E0063"/>
    <w:rsid w:val="008E28D3"/>
    <w:rsid w:val="008E2D9D"/>
    <w:rsid w:val="008E2F13"/>
    <w:rsid w:val="008E31C7"/>
    <w:rsid w:val="008E365F"/>
    <w:rsid w:val="008E4DF0"/>
    <w:rsid w:val="008E5ABE"/>
    <w:rsid w:val="008E662E"/>
    <w:rsid w:val="008E681F"/>
    <w:rsid w:val="008E6C54"/>
    <w:rsid w:val="008E6EFC"/>
    <w:rsid w:val="008E7BBC"/>
    <w:rsid w:val="008F0644"/>
    <w:rsid w:val="008F0D1B"/>
    <w:rsid w:val="008F14BF"/>
    <w:rsid w:val="008F1967"/>
    <w:rsid w:val="008F1A96"/>
    <w:rsid w:val="008F2440"/>
    <w:rsid w:val="008F24AD"/>
    <w:rsid w:val="008F33EE"/>
    <w:rsid w:val="008F3CC1"/>
    <w:rsid w:val="008F41E9"/>
    <w:rsid w:val="008F4C14"/>
    <w:rsid w:val="008F5DF6"/>
    <w:rsid w:val="008F64FA"/>
    <w:rsid w:val="008F7065"/>
    <w:rsid w:val="008F7ECB"/>
    <w:rsid w:val="009009DB"/>
    <w:rsid w:val="00901D3A"/>
    <w:rsid w:val="0090248F"/>
    <w:rsid w:val="0090271E"/>
    <w:rsid w:val="00902752"/>
    <w:rsid w:val="009041B3"/>
    <w:rsid w:val="009046BE"/>
    <w:rsid w:val="00904B43"/>
    <w:rsid w:val="00905589"/>
    <w:rsid w:val="00905EC3"/>
    <w:rsid w:val="009062F2"/>
    <w:rsid w:val="0090636F"/>
    <w:rsid w:val="009065AC"/>
    <w:rsid w:val="00906F95"/>
    <w:rsid w:val="00907C8F"/>
    <w:rsid w:val="009104CA"/>
    <w:rsid w:val="00910ECD"/>
    <w:rsid w:val="00911C03"/>
    <w:rsid w:val="00912140"/>
    <w:rsid w:val="009126E4"/>
    <w:rsid w:val="009127B4"/>
    <w:rsid w:val="00912A6E"/>
    <w:rsid w:val="00912EB3"/>
    <w:rsid w:val="00912F46"/>
    <w:rsid w:val="009136FD"/>
    <w:rsid w:val="0091403A"/>
    <w:rsid w:val="009142F5"/>
    <w:rsid w:val="00914766"/>
    <w:rsid w:val="00914805"/>
    <w:rsid w:val="00917003"/>
    <w:rsid w:val="00917522"/>
    <w:rsid w:val="00917F7B"/>
    <w:rsid w:val="00920008"/>
    <w:rsid w:val="00920263"/>
    <w:rsid w:val="00920FCE"/>
    <w:rsid w:val="00921067"/>
    <w:rsid w:val="009223A4"/>
    <w:rsid w:val="00923112"/>
    <w:rsid w:val="009240C9"/>
    <w:rsid w:val="00924B59"/>
    <w:rsid w:val="00924F95"/>
    <w:rsid w:val="009251EE"/>
    <w:rsid w:val="0092672E"/>
    <w:rsid w:val="00926932"/>
    <w:rsid w:val="009272F2"/>
    <w:rsid w:val="00930500"/>
    <w:rsid w:val="0093076E"/>
    <w:rsid w:val="00930967"/>
    <w:rsid w:val="00931306"/>
    <w:rsid w:val="00932AF2"/>
    <w:rsid w:val="009333B1"/>
    <w:rsid w:val="00934156"/>
    <w:rsid w:val="0093456B"/>
    <w:rsid w:val="00935307"/>
    <w:rsid w:val="00935A74"/>
    <w:rsid w:val="0094028B"/>
    <w:rsid w:val="00940384"/>
    <w:rsid w:val="009406C2"/>
    <w:rsid w:val="00940F57"/>
    <w:rsid w:val="009416F8"/>
    <w:rsid w:val="00941964"/>
    <w:rsid w:val="00942006"/>
    <w:rsid w:val="009422C5"/>
    <w:rsid w:val="00942B36"/>
    <w:rsid w:val="009439F5"/>
    <w:rsid w:val="00945E23"/>
    <w:rsid w:val="009463AC"/>
    <w:rsid w:val="009464C0"/>
    <w:rsid w:val="00947827"/>
    <w:rsid w:val="00947F25"/>
    <w:rsid w:val="00947FCE"/>
    <w:rsid w:val="009509CB"/>
    <w:rsid w:val="00950A09"/>
    <w:rsid w:val="00950B56"/>
    <w:rsid w:val="00951A2A"/>
    <w:rsid w:val="00951D7D"/>
    <w:rsid w:val="00952706"/>
    <w:rsid w:val="00952C48"/>
    <w:rsid w:val="00953F94"/>
    <w:rsid w:val="0095426C"/>
    <w:rsid w:val="00955C78"/>
    <w:rsid w:val="00957931"/>
    <w:rsid w:val="0095799B"/>
    <w:rsid w:val="00960143"/>
    <w:rsid w:val="009601C1"/>
    <w:rsid w:val="009606E5"/>
    <w:rsid w:val="00960F68"/>
    <w:rsid w:val="009613EB"/>
    <w:rsid w:val="009619C6"/>
    <w:rsid w:val="00961DE2"/>
    <w:rsid w:val="00961E8D"/>
    <w:rsid w:val="00962A88"/>
    <w:rsid w:val="00962D99"/>
    <w:rsid w:val="00963DEF"/>
    <w:rsid w:val="00963F5B"/>
    <w:rsid w:val="00964CC4"/>
    <w:rsid w:val="00965705"/>
    <w:rsid w:val="00965D53"/>
    <w:rsid w:val="009662AD"/>
    <w:rsid w:val="00966BCF"/>
    <w:rsid w:val="0096700B"/>
    <w:rsid w:val="00967426"/>
    <w:rsid w:val="009676BA"/>
    <w:rsid w:val="009677BB"/>
    <w:rsid w:val="00967A0C"/>
    <w:rsid w:val="0097000D"/>
    <w:rsid w:val="009705BE"/>
    <w:rsid w:val="00970D34"/>
    <w:rsid w:val="009712B8"/>
    <w:rsid w:val="009719CB"/>
    <w:rsid w:val="009724F5"/>
    <w:rsid w:val="009727F6"/>
    <w:rsid w:val="00974974"/>
    <w:rsid w:val="00974A8C"/>
    <w:rsid w:val="0097604D"/>
    <w:rsid w:val="009760D6"/>
    <w:rsid w:val="00976B7B"/>
    <w:rsid w:val="00976BBE"/>
    <w:rsid w:val="00977F01"/>
    <w:rsid w:val="00980059"/>
    <w:rsid w:val="00980069"/>
    <w:rsid w:val="00980C04"/>
    <w:rsid w:val="00980C8C"/>
    <w:rsid w:val="00980E2A"/>
    <w:rsid w:val="00981FC2"/>
    <w:rsid w:val="00983636"/>
    <w:rsid w:val="00983664"/>
    <w:rsid w:val="00984254"/>
    <w:rsid w:val="009846F5"/>
    <w:rsid w:val="009848CC"/>
    <w:rsid w:val="0098503D"/>
    <w:rsid w:val="0098526F"/>
    <w:rsid w:val="0098593C"/>
    <w:rsid w:val="00986409"/>
    <w:rsid w:val="009864F7"/>
    <w:rsid w:val="0098739F"/>
    <w:rsid w:val="009873DE"/>
    <w:rsid w:val="009876EB"/>
    <w:rsid w:val="00990D65"/>
    <w:rsid w:val="00990F92"/>
    <w:rsid w:val="00992D97"/>
    <w:rsid w:val="00992E30"/>
    <w:rsid w:val="009930C8"/>
    <w:rsid w:val="00993922"/>
    <w:rsid w:val="00993956"/>
    <w:rsid w:val="00993E35"/>
    <w:rsid w:val="0099405A"/>
    <w:rsid w:val="00994D31"/>
    <w:rsid w:val="0099526D"/>
    <w:rsid w:val="00995373"/>
    <w:rsid w:val="0099612B"/>
    <w:rsid w:val="00996DD2"/>
    <w:rsid w:val="009977DE"/>
    <w:rsid w:val="00997AE9"/>
    <w:rsid w:val="009A038A"/>
    <w:rsid w:val="009A0522"/>
    <w:rsid w:val="009A0B43"/>
    <w:rsid w:val="009A0E9C"/>
    <w:rsid w:val="009A1348"/>
    <w:rsid w:val="009A1B64"/>
    <w:rsid w:val="009A4BCB"/>
    <w:rsid w:val="009A5BB7"/>
    <w:rsid w:val="009A62B8"/>
    <w:rsid w:val="009A6444"/>
    <w:rsid w:val="009A666B"/>
    <w:rsid w:val="009A763F"/>
    <w:rsid w:val="009B04F9"/>
    <w:rsid w:val="009B0F2A"/>
    <w:rsid w:val="009B1C41"/>
    <w:rsid w:val="009B2676"/>
    <w:rsid w:val="009B28F0"/>
    <w:rsid w:val="009B2C3D"/>
    <w:rsid w:val="009B364C"/>
    <w:rsid w:val="009B3A70"/>
    <w:rsid w:val="009B3FA2"/>
    <w:rsid w:val="009B4278"/>
    <w:rsid w:val="009B4AF5"/>
    <w:rsid w:val="009B50AE"/>
    <w:rsid w:val="009B56AE"/>
    <w:rsid w:val="009B661E"/>
    <w:rsid w:val="009B78DF"/>
    <w:rsid w:val="009C1096"/>
    <w:rsid w:val="009C132A"/>
    <w:rsid w:val="009C16B4"/>
    <w:rsid w:val="009C1B17"/>
    <w:rsid w:val="009C2335"/>
    <w:rsid w:val="009C260D"/>
    <w:rsid w:val="009C2D1F"/>
    <w:rsid w:val="009C3C96"/>
    <w:rsid w:val="009C47D5"/>
    <w:rsid w:val="009C5B3A"/>
    <w:rsid w:val="009C5F76"/>
    <w:rsid w:val="009C64D5"/>
    <w:rsid w:val="009C6B42"/>
    <w:rsid w:val="009C7788"/>
    <w:rsid w:val="009D15D5"/>
    <w:rsid w:val="009D1611"/>
    <w:rsid w:val="009D22DE"/>
    <w:rsid w:val="009D2579"/>
    <w:rsid w:val="009D3236"/>
    <w:rsid w:val="009D3C83"/>
    <w:rsid w:val="009D3E6C"/>
    <w:rsid w:val="009D479F"/>
    <w:rsid w:val="009D53D9"/>
    <w:rsid w:val="009D5413"/>
    <w:rsid w:val="009D63F3"/>
    <w:rsid w:val="009D786D"/>
    <w:rsid w:val="009E0D48"/>
    <w:rsid w:val="009E13D4"/>
    <w:rsid w:val="009E194A"/>
    <w:rsid w:val="009E26BA"/>
    <w:rsid w:val="009E2AF0"/>
    <w:rsid w:val="009E3A75"/>
    <w:rsid w:val="009E3F00"/>
    <w:rsid w:val="009E499C"/>
    <w:rsid w:val="009E4C78"/>
    <w:rsid w:val="009E4EEC"/>
    <w:rsid w:val="009E53F2"/>
    <w:rsid w:val="009E561E"/>
    <w:rsid w:val="009E579C"/>
    <w:rsid w:val="009E656F"/>
    <w:rsid w:val="009E6DD8"/>
    <w:rsid w:val="009E751C"/>
    <w:rsid w:val="009E78A8"/>
    <w:rsid w:val="009E7C27"/>
    <w:rsid w:val="009E7E00"/>
    <w:rsid w:val="009F0A86"/>
    <w:rsid w:val="009F0B03"/>
    <w:rsid w:val="009F0E30"/>
    <w:rsid w:val="009F1767"/>
    <w:rsid w:val="009F226B"/>
    <w:rsid w:val="009F2D7D"/>
    <w:rsid w:val="009F2FB1"/>
    <w:rsid w:val="009F33CB"/>
    <w:rsid w:val="009F4C18"/>
    <w:rsid w:val="009F51A9"/>
    <w:rsid w:val="009F5270"/>
    <w:rsid w:val="009F52F4"/>
    <w:rsid w:val="009F54E6"/>
    <w:rsid w:val="009F56F1"/>
    <w:rsid w:val="009F6527"/>
    <w:rsid w:val="009F687D"/>
    <w:rsid w:val="009F6E77"/>
    <w:rsid w:val="009F7245"/>
    <w:rsid w:val="009F7AA6"/>
    <w:rsid w:val="00A00E8B"/>
    <w:rsid w:val="00A01ADC"/>
    <w:rsid w:val="00A02097"/>
    <w:rsid w:val="00A039D5"/>
    <w:rsid w:val="00A040A9"/>
    <w:rsid w:val="00A067F1"/>
    <w:rsid w:val="00A100BC"/>
    <w:rsid w:val="00A10551"/>
    <w:rsid w:val="00A113E3"/>
    <w:rsid w:val="00A12885"/>
    <w:rsid w:val="00A12DAF"/>
    <w:rsid w:val="00A134A3"/>
    <w:rsid w:val="00A135EA"/>
    <w:rsid w:val="00A1427F"/>
    <w:rsid w:val="00A15C05"/>
    <w:rsid w:val="00A1661D"/>
    <w:rsid w:val="00A16BF4"/>
    <w:rsid w:val="00A17046"/>
    <w:rsid w:val="00A1717D"/>
    <w:rsid w:val="00A17613"/>
    <w:rsid w:val="00A20213"/>
    <w:rsid w:val="00A23BD0"/>
    <w:rsid w:val="00A24DC8"/>
    <w:rsid w:val="00A25C0A"/>
    <w:rsid w:val="00A275F0"/>
    <w:rsid w:val="00A30BDF"/>
    <w:rsid w:val="00A30C2F"/>
    <w:rsid w:val="00A31610"/>
    <w:rsid w:val="00A317EC"/>
    <w:rsid w:val="00A322A6"/>
    <w:rsid w:val="00A32535"/>
    <w:rsid w:val="00A35203"/>
    <w:rsid w:val="00A3692B"/>
    <w:rsid w:val="00A36D89"/>
    <w:rsid w:val="00A37870"/>
    <w:rsid w:val="00A378CD"/>
    <w:rsid w:val="00A4046B"/>
    <w:rsid w:val="00A408BA"/>
    <w:rsid w:val="00A409A2"/>
    <w:rsid w:val="00A41210"/>
    <w:rsid w:val="00A41A27"/>
    <w:rsid w:val="00A41C80"/>
    <w:rsid w:val="00A42214"/>
    <w:rsid w:val="00A4272B"/>
    <w:rsid w:val="00A42FE2"/>
    <w:rsid w:val="00A4335E"/>
    <w:rsid w:val="00A434C3"/>
    <w:rsid w:val="00A43C7B"/>
    <w:rsid w:val="00A44B9B"/>
    <w:rsid w:val="00A450A7"/>
    <w:rsid w:val="00A450D0"/>
    <w:rsid w:val="00A454B3"/>
    <w:rsid w:val="00A456A0"/>
    <w:rsid w:val="00A45A03"/>
    <w:rsid w:val="00A45A80"/>
    <w:rsid w:val="00A45CFA"/>
    <w:rsid w:val="00A46D9F"/>
    <w:rsid w:val="00A46EAC"/>
    <w:rsid w:val="00A47EB2"/>
    <w:rsid w:val="00A50A99"/>
    <w:rsid w:val="00A50C75"/>
    <w:rsid w:val="00A51D32"/>
    <w:rsid w:val="00A52CAC"/>
    <w:rsid w:val="00A54049"/>
    <w:rsid w:val="00A55BE9"/>
    <w:rsid w:val="00A56A21"/>
    <w:rsid w:val="00A56D79"/>
    <w:rsid w:val="00A57930"/>
    <w:rsid w:val="00A60772"/>
    <w:rsid w:val="00A60F59"/>
    <w:rsid w:val="00A61DDA"/>
    <w:rsid w:val="00A63328"/>
    <w:rsid w:val="00A66888"/>
    <w:rsid w:val="00A676B8"/>
    <w:rsid w:val="00A67B95"/>
    <w:rsid w:val="00A708A3"/>
    <w:rsid w:val="00A71457"/>
    <w:rsid w:val="00A72211"/>
    <w:rsid w:val="00A72BD6"/>
    <w:rsid w:val="00A732E1"/>
    <w:rsid w:val="00A73411"/>
    <w:rsid w:val="00A74544"/>
    <w:rsid w:val="00A773DB"/>
    <w:rsid w:val="00A80026"/>
    <w:rsid w:val="00A801FA"/>
    <w:rsid w:val="00A81986"/>
    <w:rsid w:val="00A82A06"/>
    <w:rsid w:val="00A82C2A"/>
    <w:rsid w:val="00A835D6"/>
    <w:rsid w:val="00A8376B"/>
    <w:rsid w:val="00A844A6"/>
    <w:rsid w:val="00A849AA"/>
    <w:rsid w:val="00A85332"/>
    <w:rsid w:val="00A85553"/>
    <w:rsid w:val="00A8731A"/>
    <w:rsid w:val="00A874E1"/>
    <w:rsid w:val="00A87D1A"/>
    <w:rsid w:val="00A903E3"/>
    <w:rsid w:val="00A90500"/>
    <w:rsid w:val="00A906FF"/>
    <w:rsid w:val="00A915E2"/>
    <w:rsid w:val="00A91982"/>
    <w:rsid w:val="00A932B6"/>
    <w:rsid w:val="00A934A6"/>
    <w:rsid w:val="00A93D7B"/>
    <w:rsid w:val="00A94620"/>
    <w:rsid w:val="00A94715"/>
    <w:rsid w:val="00A958F9"/>
    <w:rsid w:val="00A95E54"/>
    <w:rsid w:val="00A95FBA"/>
    <w:rsid w:val="00A96145"/>
    <w:rsid w:val="00A96239"/>
    <w:rsid w:val="00A97430"/>
    <w:rsid w:val="00AA0E14"/>
    <w:rsid w:val="00AA1B4D"/>
    <w:rsid w:val="00AA23C8"/>
    <w:rsid w:val="00AA2568"/>
    <w:rsid w:val="00AA42CC"/>
    <w:rsid w:val="00AA4F5E"/>
    <w:rsid w:val="00AA5BEF"/>
    <w:rsid w:val="00AA5E86"/>
    <w:rsid w:val="00AA7151"/>
    <w:rsid w:val="00AB05F4"/>
    <w:rsid w:val="00AB10D0"/>
    <w:rsid w:val="00AB12A3"/>
    <w:rsid w:val="00AB130A"/>
    <w:rsid w:val="00AB1DF7"/>
    <w:rsid w:val="00AB20C1"/>
    <w:rsid w:val="00AB3285"/>
    <w:rsid w:val="00AB3CA0"/>
    <w:rsid w:val="00AB532B"/>
    <w:rsid w:val="00AB5DDD"/>
    <w:rsid w:val="00AB5F65"/>
    <w:rsid w:val="00AB60E7"/>
    <w:rsid w:val="00AB6983"/>
    <w:rsid w:val="00AB6CF3"/>
    <w:rsid w:val="00AB6F3F"/>
    <w:rsid w:val="00AB72DA"/>
    <w:rsid w:val="00AB757D"/>
    <w:rsid w:val="00AC0815"/>
    <w:rsid w:val="00AC0BF3"/>
    <w:rsid w:val="00AC1357"/>
    <w:rsid w:val="00AC1512"/>
    <w:rsid w:val="00AC233B"/>
    <w:rsid w:val="00AC2FF9"/>
    <w:rsid w:val="00AC3EF6"/>
    <w:rsid w:val="00AC4577"/>
    <w:rsid w:val="00AC4CED"/>
    <w:rsid w:val="00AC4ECC"/>
    <w:rsid w:val="00AC5215"/>
    <w:rsid w:val="00AC5AAA"/>
    <w:rsid w:val="00AC5F29"/>
    <w:rsid w:val="00AD110F"/>
    <w:rsid w:val="00AD1349"/>
    <w:rsid w:val="00AD1F88"/>
    <w:rsid w:val="00AD2354"/>
    <w:rsid w:val="00AD3CDE"/>
    <w:rsid w:val="00AD4B48"/>
    <w:rsid w:val="00AD55DE"/>
    <w:rsid w:val="00AD5D9E"/>
    <w:rsid w:val="00AD63DD"/>
    <w:rsid w:val="00AD77FE"/>
    <w:rsid w:val="00AD7AAE"/>
    <w:rsid w:val="00AE02A5"/>
    <w:rsid w:val="00AE09E1"/>
    <w:rsid w:val="00AE1B0B"/>
    <w:rsid w:val="00AE1BF7"/>
    <w:rsid w:val="00AE1C19"/>
    <w:rsid w:val="00AE1D3D"/>
    <w:rsid w:val="00AE232A"/>
    <w:rsid w:val="00AE2861"/>
    <w:rsid w:val="00AE29B2"/>
    <w:rsid w:val="00AE2D08"/>
    <w:rsid w:val="00AE39DA"/>
    <w:rsid w:val="00AE3A83"/>
    <w:rsid w:val="00AE3BD0"/>
    <w:rsid w:val="00AE3DE9"/>
    <w:rsid w:val="00AE4B51"/>
    <w:rsid w:val="00AE6B8A"/>
    <w:rsid w:val="00AE6E02"/>
    <w:rsid w:val="00AE7725"/>
    <w:rsid w:val="00AF1D7D"/>
    <w:rsid w:val="00AF2BC0"/>
    <w:rsid w:val="00AF2CF0"/>
    <w:rsid w:val="00AF42D5"/>
    <w:rsid w:val="00AF4455"/>
    <w:rsid w:val="00AF59D0"/>
    <w:rsid w:val="00AF5D65"/>
    <w:rsid w:val="00AF6258"/>
    <w:rsid w:val="00AF64BC"/>
    <w:rsid w:val="00AF65E8"/>
    <w:rsid w:val="00AF68F6"/>
    <w:rsid w:val="00AF6AD4"/>
    <w:rsid w:val="00AF736F"/>
    <w:rsid w:val="00AF766B"/>
    <w:rsid w:val="00AF7A00"/>
    <w:rsid w:val="00AF7E2E"/>
    <w:rsid w:val="00B0137B"/>
    <w:rsid w:val="00B023C0"/>
    <w:rsid w:val="00B02478"/>
    <w:rsid w:val="00B02840"/>
    <w:rsid w:val="00B02A30"/>
    <w:rsid w:val="00B0426B"/>
    <w:rsid w:val="00B045F7"/>
    <w:rsid w:val="00B050B0"/>
    <w:rsid w:val="00B05C54"/>
    <w:rsid w:val="00B071A6"/>
    <w:rsid w:val="00B077AE"/>
    <w:rsid w:val="00B122C5"/>
    <w:rsid w:val="00B1346D"/>
    <w:rsid w:val="00B14DA4"/>
    <w:rsid w:val="00B156FF"/>
    <w:rsid w:val="00B15CFC"/>
    <w:rsid w:val="00B1664E"/>
    <w:rsid w:val="00B16C41"/>
    <w:rsid w:val="00B2029C"/>
    <w:rsid w:val="00B214BF"/>
    <w:rsid w:val="00B2299F"/>
    <w:rsid w:val="00B235FB"/>
    <w:rsid w:val="00B23CCB"/>
    <w:rsid w:val="00B23E59"/>
    <w:rsid w:val="00B253F8"/>
    <w:rsid w:val="00B25E5D"/>
    <w:rsid w:val="00B26570"/>
    <w:rsid w:val="00B302CB"/>
    <w:rsid w:val="00B3099C"/>
    <w:rsid w:val="00B309C8"/>
    <w:rsid w:val="00B31366"/>
    <w:rsid w:val="00B3222F"/>
    <w:rsid w:val="00B32381"/>
    <w:rsid w:val="00B326E8"/>
    <w:rsid w:val="00B32BE8"/>
    <w:rsid w:val="00B32D4E"/>
    <w:rsid w:val="00B33C67"/>
    <w:rsid w:val="00B34DD9"/>
    <w:rsid w:val="00B350DD"/>
    <w:rsid w:val="00B37E23"/>
    <w:rsid w:val="00B37FEF"/>
    <w:rsid w:val="00B4093B"/>
    <w:rsid w:val="00B4125B"/>
    <w:rsid w:val="00B41408"/>
    <w:rsid w:val="00B41E75"/>
    <w:rsid w:val="00B44373"/>
    <w:rsid w:val="00B45533"/>
    <w:rsid w:val="00B459BB"/>
    <w:rsid w:val="00B45C1C"/>
    <w:rsid w:val="00B461BF"/>
    <w:rsid w:val="00B463DF"/>
    <w:rsid w:val="00B464BE"/>
    <w:rsid w:val="00B46BB3"/>
    <w:rsid w:val="00B474CB"/>
    <w:rsid w:val="00B47EEC"/>
    <w:rsid w:val="00B50125"/>
    <w:rsid w:val="00B51850"/>
    <w:rsid w:val="00B51905"/>
    <w:rsid w:val="00B51EAB"/>
    <w:rsid w:val="00B52912"/>
    <w:rsid w:val="00B52E70"/>
    <w:rsid w:val="00B539FD"/>
    <w:rsid w:val="00B53E3B"/>
    <w:rsid w:val="00B54167"/>
    <w:rsid w:val="00B54D65"/>
    <w:rsid w:val="00B55F73"/>
    <w:rsid w:val="00B56A4B"/>
    <w:rsid w:val="00B56B1E"/>
    <w:rsid w:val="00B56D54"/>
    <w:rsid w:val="00B56E2A"/>
    <w:rsid w:val="00B56EB0"/>
    <w:rsid w:val="00B57A27"/>
    <w:rsid w:val="00B57B39"/>
    <w:rsid w:val="00B6138C"/>
    <w:rsid w:val="00B61591"/>
    <w:rsid w:val="00B62F3C"/>
    <w:rsid w:val="00B633CC"/>
    <w:rsid w:val="00B63BBB"/>
    <w:rsid w:val="00B6414E"/>
    <w:rsid w:val="00B6487F"/>
    <w:rsid w:val="00B64C10"/>
    <w:rsid w:val="00B6570C"/>
    <w:rsid w:val="00B6638E"/>
    <w:rsid w:val="00B66411"/>
    <w:rsid w:val="00B70121"/>
    <w:rsid w:val="00B7024D"/>
    <w:rsid w:val="00B70414"/>
    <w:rsid w:val="00B7050D"/>
    <w:rsid w:val="00B70827"/>
    <w:rsid w:val="00B71154"/>
    <w:rsid w:val="00B71545"/>
    <w:rsid w:val="00B7178D"/>
    <w:rsid w:val="00B735D5"/>
    <w:rsid w:val="00B747C9"/>
    <w:rsid w:val="00B74857"/>
    <w:rsid w:val="00B7554C"/>
    <w:rsid w:val="00B7634F"/>
    <w:rsid w:val="00B77A35"/>
    <w:rsid w:val="00B809F7"/>
    <w:rsid w:val="00B80E2B"/>
    <w:rsid w:val="00B81BBB"/>
    <w:rsid w:val="00B82374"/>
    <w:rsid w:val="00B82FDD"/>
    <w:rsid w:val="00B845D4"/>
    <w:rsid w:val="00B84855"/>
    <w:rsid w:val="00B84CE0"/>
    <w:rsid w:val="00B84DC7"/>
    <w:rsid w:val="00B8640E"/>
    <w:rsid w:val="00B86EF8"/>
    <w:rsid w:val="00B87890"/>
    <w:rsid w:val="00B87C90"/>
    <w:rsid w:val="00B90103"/>
    <w:rsid w:val="00B9138E"/>
    <w:rsid w:val="00B91C77"/>
    <w:rsid w:val="00B930F5"/>
    <w:rsid w:val="00B932C3"/>
    <w:rsid w:val="00B938AA"/>
    <w:rsid w:val="00B94232"/>
    <w:rsid w:val="00B94347"/>
    <w:rsid w:val="00B94FE8"/>
    <w:rsid w:val="00B95109"/>
    <w:rsid w:val="00B95422"/>
    <w:rsid w:val="00B95AE2"/>
    <w:rsid w:val="00B96869"/>
    <w:rsid w:val="00B96FF1"/>
    <w:rsid w:val="00BA044E"/>
    <w:rsid w:val="00BA06BD"/>
    <w:rsid w:val="00BA1414"/>
    <w:rsid w:val="00BA1726"/>
    <w:rsid w:val="00BA1B03"/>
    <w:rsid w:val="00BA2071"/>
    <w:rsid w:val="00BA28F2"/>
    <w:rsid w:val="00BA38CD"/>
    <w:rsid w:val="00BA50A3"/>
    <w:rsid w:val="00BA5813"/>
    <w:rsid w:val="00BA5C86"/>
    <w:rsid w:val="00BA65E0"/>
    <w:rsid w:val="00BB1168"/>
    <w:rsid w:val="00BB20E8"/>
    <w:rsid w:val="00BB277D"/>
    <w:rsid w:val="00BB29F7"/>
    <w:rsid w:val="00BB2D5D"/>
    <w:rsid w:val="00BB2D7C"/>
    <w:rsid w:val="00BB33E8"/>
    <w:rsid w:val="00BB3BB0"/>
    <w:rsid w:val="00BB4116"/>
    <w:rsid w:val="00BB4E3B"/>
    <w:rsid w:val="00BB553C"/>
    <w:rsid w:val="00BB56BD"/>
    <w:rsid w:val="00BB5999"/>
    <w:rsid w:val="00BB6E59"/>
    <w:rsid w:val="00BC068D"/>
    <w:rsid w:val="00BC0D14"/>
    <w:rsid w:val="00BC24F8"/>
    <w:rsid w:val="00BC262A"/>
    <w:rsid w:val="00BC2901"/>
    <w:rsid w:val="00BC44ED"/>
    <w:rsid w:val="00BC65A9"/>
    <w:rsid w:val="00BC66E7"/>
    <w:rsid w:val="00BC70E4"/>
    <w:rsid w:val="00BC7705"/>
    <w:rsid w:val="00BC788F"/>
    <w:rsid w:val="00BD2822"/>
    <w:rsid w:val="00BD28ED"/>
    <w:rsid w:val="00BD3E7C"/>
    <w:rsid w:val="00BD3F38"/>
    <w:rsid w:val="00BD5BDA"/>
    <w:rsid w:val="00BD61F4"/>
    <w:rsid w:val="00BD651A"/>
    <w:rsid w:val="00BD666A"/>
    <w:rsid w:val="00BD7234"/>
    <w:rsid w:val="00BD7D10"/>
    <w:rsid w:val="00BE0928"/>
    <w:rsid w:val="00BE109B"/>
    <w:rsid w:val="00BE1DD4"/>
    <w:rsid w:val="00BE3304"/>
    <w:rsid w:val="00BE4E03"/>
    <w:rsid w:val="00BE658A"/>
    <w:rsid w:val="00BE71AA"/>
    <w:rsid w:val="00BE79EF"/>
    <w:rsid w:val="00BF0739"/>
    <w:rsid w:val="00BF0A3A"/>
    <w:rsid w:val="00BF1406"/>
    <w:rsid w:val="00BF1852"/>
    <w:rsid w:val="00BF39EA"/>
    <w:rsid w:val="00BF4275"/>
    <w:rsid w:val="00BF46F4"/>
    <w:rsid w:val="00BF7978"/>
    <w:rsid w:val="00C00E69"/>
    <w:rsid w:val="00C020F7"/>
    <w:rsid w:val="00C025CC"/>
    <w:rsid w:val="00C028AA"/>
    <w:rsid w:val="00C02D7E"/>
    <w:rsid w:val="00C03A93"/>
    <w:rsid w:val="00C0483D"/>
    <w:rsid w:val="00C05CA1"/>
    <w:rsid w:val="00C062F9"/>
    <w:rsid w:val="00C07953"/>
    <w:rsid w:val="00C07AD6"/>
    <w:rsid w:val="00C07C5F"/>
    <w:rsid w:val="00C11ECE"/>
    <w:rsid w:val="00C12078"/>
    <w:rsid w:val="00C131AC"/>
    <w:rsid w:val="00C1336A"/>
    <w:rsid w:val="00C1417B"/>
    <w:rsid w:val="00C14951"/>
    <w:rsid w:val="00C17292"/>
    <w:rsid w:val="00C208AD"/>
    <w:rsid w:val="00C20A50"/>
    <w:rsid w:val="00C20EB6"/>
    <w:rsid w:val="00C20FD1"/>
    <w:rsid w:val="00C210CD"/>
    <w:rsid w:val="00C21AF7"/>
    <w:rsid w:val="00C231FF"/>
    <w:rsid w:val="00C234A1"/>
    <w:rsid w:val="00C23917"/>
    <w:rsid w:val="00C2455D"/>
    <w:rsid w:val="00C247E3"/>
    <w:rsid w:val="00C25617"/>
    <w:rsid w:val="00C25BA9"/>
    <w:rsid w:val="00C25DAE"/>
    <w:rsid w:val="00C26B7C"/>
    <w:rsid w:val="00C27923"/>
    <w:rsid w:val="00C27A88"/>
    <w:rsid w:val="00C30172"/>
    <w:rsid w:val="00C309F8"/>
    <w:rsid w:val="00C31B96"/>
    <w:rsid w:val="00C32456"/>
    <w:rsid w:val="00C331A4"/>
    <w:rsid w:val="00C3398F"/>
    <w:rsid w:val="00C346DA"/>
    <w:rsid w:val="00C34BE6"/>
    <w:rsid w:val="00C34CB0"/>
    <w:rsid w:val="00C36D7C"/>
    <w:rsid w:val="00C4108E"/>
    <w:rsid w:val="00C41EA7"/>
    <w:rsid w:val="00C42CB4"/>
    <w:rsid w:val="00C43867"/>
    <w:rsid w:val="00C43AF5"/>
    <w:rsid w:val="00C4461D"/>
    <w:rsid w:val="00C450A8"/>
    <w:rsid w:val="00C46353"/>
    <w:rsid w:val="00C47010"/>
    <w:rsid w:val="00C476E8"/>
    <w:rsid w:val="00C479B7"/>
    <w:rsid w:val="00C47BDD"/>
    <w:rsid w:val="00C5083D"/>
    <w:rsid w:val="00C53CE3"/>
    <w:rsid w:val="00C53FD2"/>
    <w:rsid w:val="00C559D3"/>
    <w:rsid w:val="00C55EBB"/>
    <w:rsid w:val="00C57631"/>
    <w:rsid w:val="00C577E7"/>
    <w:rsid w:val="00C57B68"/>
    <w:rsid w:val="00C602A2"/>
    <w:rsid w:val="00C60900"/>
    <w:rsid w:val="00C60FF8"/>
    <w:rsid w:val="00C61446"/>
    <w:rsid w:val="00C61692"/>
    <w:rsid w:val="00C6173E"/>
    <w:rsid w:val="00C6179F"/>
    <w:rsid w:val="00C627A8"/>
    <w:rsid w:val="00C62E05"/>
    <w:rsid w:val="00C63196"/>
    <w:rsid w:val="00C63222"/>
    <w:rsid w:val="00C632E0"/>
    <w:rsid w:val="00C655E3"/>
    <w:rsid w:val="00C675AA"/>
    <w:rsid w:val="00C677AD"/>
    <w:rsid w:val="00C67FCE"/>
    <w:rsid w:val="00C73063"/>
    <w:rsid w:val="00C73879"/>
    <w:rsid w:val="00C73996"/>
    <w:rsid w:val="00C74E94"/>
    <w:rsid w:val="00C74F8C"/>
    <w:rsid w:val="00C74FAC"/>
    <w:rsid w:val="00C75899"/>
    <w:rsid w:val="00C76F4B"/>
    <w:rsid w:val="00C77069"/>
    <w:rsid w:val="00C778A9"/>
    <w:rsid w:val="00C77F9C"/>
    <w:rsid w:val="00C80787"/>
    <w:rsid w:val="00C8117F"/>
    <w:rsid w:val="00C818E4"/>
    <w:rsid w:val="00C81A4A"/>
    <w:rsid w:val="00C82AC5"/>
    <w:rsid w:val="00C83956"/>
    <w:rsid w:val="00C84AA1"/>
    <w:rsid w:val="00C84C30"/>
    <w:rsid w:val="00C85101"/>
    <w:rsid w:val="00C85C65"/>
    <w:rsid w:val="00C877DA"/>
    <w:rsid w:val="00C90951"/>
    <w:rsid w:val="00C90D20"/>
    <w:rsid w:val="00C90D80"/>
    <w:rsid w:val="00C91626"/>
    <w:rsid w:val="00C91F5B"/>
    <w:rsid w:val="00C92059"/>
    <w:rsid w:val="00C92075"/>
    <w:rsid w:val="00C923B5"/>
    <w:rsid w:val="00C9280F"/>
    <w:rsid w:val="00C92F56"/>
    <w:rsid w:val="00C939B9"/>
    <w:rsid w:val="00C94037"/>
    <w:rsid w:val="00C9411E"/>
    <w:rsid w:val="00C955F8"/>
    <w:rsid w:val="00C97644"/>
    <w:rsid w:val="00C979A0"/>
    <w:rsid w:val="00C97F56"/>
    <w:rsid w:val="00CA029A"/>
    <w:rsid w:val="00CA1F5C"/>
    <w:rsid w:val="00CA300E"/>
    <w:rsid w:val="00CA3427"/>
    <w:rsid w:val="00CA4962"/>
    <w:rsid w:val="00CA51F5"/>
    <w:rsid w:val="00CA5453"/>
    <w:rsid w:val="00CA5A1A"/>
    <w:rsid w:val="00CA5A2A"/>
    <w:rsid w:val="00CA5A52"/>
    <w:rsid w:val="00CA6639"/>
    <w:rsid w:val="00CA6A91"/>
    <w:rsid w:val="00CA7B38"/>
    <w:rsid w:val="00CB0248"/>
    <w:rsid w:val="00CB04CE"/>
    <w:rsid w:val="00CB07F5"/>
    <w:rsid w:val="00CB0C2D"/>
    <w:rsid w:val="00CB1005"/>
    <w:rsid w:val="00CB38E7"/>
    <w:rsid w:val="00CB3913"/>
    <w:rsid w:val="00CB39BC"/>
    <w:rsid w:val="00CB4CD9"/>
    <w:rsid w:val="00CB52CD"/>
    <w:rsid w:val="00CB5C38"/>
    <w:rsid w:val="00CB75FB"/>
    <w:rsid w:val="00CC121C"/>
    <w:rsid w:val="00CC212E"/>
    <w:rsid w:val="00CC27CD"/>
    <w:rsid w:val="00CC39AE"/>
    <w:rsid w:val="00CC3F81"/>
    <w:rsid w:val="00CC42B7"/>
    <w:rsid w:val="00CC470D"/>
    <w:rsid w:val="00CC4762"/>
    <w:rsid w:val="00CC48A2"/>
    <w:rsid w:val="00CC7F3A"/>
    <w:rsid w:val="00CD06E9"/>
    <w:rsid w:val="00CD167F"/>
    <w:rsid w:val="00CD186E"/>
    <w:rsid w:val="00CD2010"/>
    <w:rsid w:val="00CD324B"/>
    <w:rsid w:val="00CD35FD"/>
    <w:rsid w:val="00CD4412"/>
    <w:rsid w:val="00CD4813"/>
    <w:rsid w:val="00CD485F"/>
    <w:rsid w:val="00CD4B46"/>
    <w:rsid w:val="00CD5469"/>
    <w:rsid w:val="00CD659A"/>
    <w:rsid w:val="00CD6645"/>
    <w:rsid w:val="00CD6678"/>
    <w:rsid w:val="00CD680F"/>
    <w:rsid w:val="00CD6A0D"/>
    <w:rsid w:val="00CD6EE7"/>
    <w:rsid w:val="00CD6EEF"/>
    <w:rsid w:val="00CD6F28"/>
    <w:rsid w:val="00CD7667"/>
    <w:rsid w:val="00CE04AC"/>
    <w:rsid w:val="00CE1092"/>
    <w:rsid w:val="00CE16A9"/>
    <w:rsid w:val="00CE1BB3"/>
    <w:rsid w:val="00CE1E73"/>
    <w:rsid w:val="00CE2B0E"/>
    <w:rsid w:val="00CE3904"/>
    <w:rsid w:val="00CE3FEC"/>
    <w:rsid w:val="00CE448C"/>
    <w:rsid w:val="00CE5002"/>
    <w:rsid w:val="00CE572D"/>
    <w:rsid w:val="00CE59EB"/>
    <w:rsid w:val="00CE5CD3"/>
    <w:rsid w:val="00CE6412"/>
    <w:rsid w:val="00CE670C"/>
    <w:rsid w:val="00CE6B6D"/>
    <w:rsid w:val="00CE7E49"/>
    <w:rsid w:val="00CF0039"/>
    <w:rsid w:val="00CF0573"/>
    <w:rsid w:val="00CF077B"/>
    <w:rsid w:val="00CF0B03"/>
    <w:rsid w:val="00CF17C8"/>
    <w:rsid w:val="00CF2FC0"/>
    <w:rsid w:val="00CF3FA4"/>
    <w:rsid w:val="00CF4027"/>
    <w:rsid w:val="00CF4EAC"/>
    <w:rsid w:val="00CF577F"/>
    <w:rsid w:val="00CF57BA"/>
    <w:rsid w:val="00CF6186"/>
    <w:rsid w:val="00CF6A45"/>
    <w:rsid w:val="00CF7BE5"/>
    <w:rsid w:val="00D01F1B"/>
    <w:rsid w:val="00D02384"/>
    <w:rsid w:val="00D0240C"/>
    <w:rsid w:val="00D0577C"/>
    <w:rsid w:val="00D06918"/>
    <w:rsid w:val="00D07710"/>
    <w:rsid w:val="00D10467"/>
    <w:rsid w:val="00D11CD7"/>
    <w:rsid w:val="00D1261C"/>
    <w:rsid w:val="00D12DF9"/>
    <w:rsid w:val="00D136BA"/>
    <w:rsid w:val="00D145A8"/>
    <w:rsid w:val="00D14A48"/>
    <w:rsid w:val="00D14AD3"/>
    <w:rsid w:val="00D14DD9"/>
    <w:rsid w:val="00D14E37"/>
    <w:rsid w:val="00D15B67"/>
    <w:rsid w:val="00D16693"/>
    <w:rsid w:val="00D17C83"/>
    <w:rsid w:val="00D2076B"/>
    <w:rsid w:val="00D20D6F"/>
    <w:rsid w:val="00D20ED5"/>
    <w:rsid w:val="00D21899"/>
    <w:rsid w:val="00D22134"/>
    <w:rsid w:val="00D22A5F"/>
    <w:rsid w:val="00D23938"/>
    <w:rsid w:val="00D2411D"/>
    <w:rsid w:val="00D241F2"/>
    <w:rsid w:val="00D2542E"/>
    <w:rsid w:val="00D25A13"/>
    <w:rsid w:val="00D2627B"/>
    <w:rsid w:val="00D26B51"/>
    <w:rsid w:val="00D26FD0"/>
    <w:rsid w:val="00D2779B"/>
    <w:rsid w:val="00D304E7"/>
    <w:rsid w:val="00D30575"/>
    <w:rsid w:val="00D30632"/>
    <w:rsid w:val="00D30967"/>
    <w:rsid w:val="00D30BDB"/>
    <w:rsid w:val="00D30DA6"/>
    <w:rsid w:val="00D31265"/>
    <w:rsid w:val="00D31374"/>
    <w:rsid w:val="00D31F44"/>
    <w:rsid w:val="00D32525"/>
    <w:rsid w:val="00D3299C"/>
    <w:rsid w:val="00D33550"/>
    <w:rsid w:val="00D34403"/>
    <w:rsid w:val="00D348C6"/>
    <w:rsid w:val="00D35070"/>
    <w:rsid w:val="00D354EF"/>
    <w:rsid w:val="00D35A41"/>
    <w:rsid w:val="00D35BB0"/>
    <w:rsid w:val="00D37314"/>
    <w:rsid w:val="00D402D7"/>
    <w:rsid w:val="00D41270"/>
    <w:rsid w:val="00D415B4"/>
    <w:rsid w:val="00D4178B"/>
    <w:rsid w:val="00D452C0"/>
    <w:rsid w:val="00D452EC"/>
    <w:rsid w:val="00D4559D"/>
    <w:rsid w:val="00D462C9"/>
    <w:rsid w:val="00D47488"/>
    <w:rsid w:val="00D474EE"/>
    <w:rsid w:val="00D47A9F"/>
    <w:rsid w:val="00D51763"/>
    <w:rsid w:val="00D51834"/>
    <w:rsid w:val="00D51DCA"/>
    <w:rsid w:val="00D51FE3"/>
    <w:rsid w:val="00D524E2"/>
    <w:rsid w:val="00D52CAA"/>
    <w:rsid w:val="00D53AB8"/>
    <w:rsid w:val="00D53F4B"/>
    <w:rsid w:val="00D53FFC"/>
    <w:rsid w:val="00D5428A"/>
    <w:rsid w:val="00D54BB0"/>
    <w:rsid w:val="00D55C10"/>
    <w:rsid w:val="00D55E82"/>
    <w:rsid w:val="00D57DF1"/>
    <w:rsid w:val="00D609FD"/>
    <w:rsid w:val="00D60B24"/>
    <w:rsid w:val="00D60D43"/>
    <w:rsid w:val="00D614E2"/>
    <w:rsid w:val="00D61A42"/>
    <w:rsid w:val="00D61C28"/>
    <w:rsid w:val="00D62808"/>
    <w:rsid w:val="00D629EA"/>
    <w:rsid w:val="00D63DEE"/>
    <w:rsid w:val="00D6461B"/>
    <w:rsid w:val="00D656A5"/>
    <w:rsid w:val="00D65A67"/>
    <w:rsid w:val="00D65E34"/>
    <w:rsid w:val="00D7019E"/>
    <w:rsid w:val="00D70938"/>
    <w:rsid w:val="00D7295A"/>
    <w:rsid w:val="00D72E70"/>
    <w:rsid w:val="00D733C0"/>
    <w:rsid w:val="00D735F5"/>
    <w:rsid w:val="00D737F7"/>
    <w:rsid w:val="00D748FB"/>
    <w:rsid w:val="00D74FC3"/>
    <w:rsid w:val="00D75048"/>
    <w:rsid w:val="00D754DC"/>
    <w:rsid w:val="00D75827"/>
    <w:rsid w:val="00D76572"/>
    <w:rsid w:val="00D768A0"/>
    <w:rsid w:val="00D805F6"/>
    <w:rsid w:val="00D80BAB"/>
    <w:rsid w:val="00D80E4B"/>
    <w:rsid w:val="00D80E7C"/>
    <w:rsid w:val="00D80F3C"/>
    <w:rsid w:val="00D81968"/>
    <w:rsid w:val="00D81A10"/>
    <w:rsid w:val="00D81A7C"/>
    <w:rsid w:val="00D827D6"/>
    <w:rsid w:val="00D82D87"/>
    <w:rsid w:val="00D82E80"/>
    <w:rsid w:val="00D845F6"/>
    <w:rsid w:val="00D8493B"/>
    <w:rsid w:val="00D84B42"/>
    <w:rsid w:val="00D8534D"/>
    <w:rsid w:val="00D85F41"/>
    <w:rsid w:val="00D86AE1"/>
    <w:rsid w:val="00D879A7"/>
    <w:rsid w:val="00D87CA4"/>
    <w:rsid w:val="00D87FC4"/>
    <w:rsid w:val="00D938EE"/>
    <w:rsid w:val="00D94E7C"/>
    <w:rsid w:val="00D96483"/>
    <w:rsid w:val="00D96648"/>
    <w:rsid w:val="00DA0C16"/>
    <w:rsid w:val="00DA1DB9"/>
    <w:rsid w:val="00DA35FD"/>
    <w:rsid w:val="00DA3D01"/>
    <w:rsid w:val="00DA3FDD"/>
    <w:rsid w:val="00DA42DE"/>
    <w:rsid w:val="00DA4C11"/>
    <w:rsid w:val="00DA5968"/>
    <w:rsid w:val="00DA59F2"/>
    <w:rsid w:val="00DA7615"/>
    <w:rsid w:val="00DB0163"/>
    <w:rsid w:val="00DB02F5"/>
    <w:rsid w:val="00DB08FC"/>
    <w:rsid w:val="00DB1396"/>
    <w:rsid w:val="00DB364D"/>
    <w:rsid w:val="00DB3D3F"/>
    <w:rsid w:val="00DB409B"/>
    <w:rsid w:val="00DB42D8"/>
    <w:rsid w:val="00DB45BA"/>
    <w:rsid w:val="00DB5641"/>
    <w:rsid w:val="00DB63D0"/>
    <w:rsid w:val="00DB6540"/>
    <w:rsid w:val="00DB6B19"/>
    <w:rsid w:val="00DB7777"/>
    <w:rsid w:val="00DC01DB"/>
    <w:rsid w:val="00DC0600"/>
    <w:rsid w:val="00DC2115"/>
    <w:rsid w:val="00DC25A2"/>
    <w:rsid w:val="00DC3D40"/>
    <w:rsid w:val="00DC43DD"/>
    <w:rsid w:val="00DC4B89"/>
    <w:rsid w:val="00DC52EC"/>
    <w:rsid w:val="00DC6F83"/>
    <w:rsid w:val="00DC7398"/>
    <w:rsid w:val="00DC78B7"/>
    <w:rsid w:val="00DC7D8F"/>
    <w:rsid w:val="00DD02B2"/>
    <w:rsid w:val="00DD1F8D"/>
    <w:rsid w:val="00DD2CBC"/>
    <w:rsid w:val="00DD2D97"/>
    <w:rsid w:val="00DD3D86"/>
    <w:rsid w:val="00DD4664"/>
    <w:rsid w:val="00DD58C0"/>
    <w:rsid w:val="00DE12C3"/>
    <w:rsid w:val="00DE26F5"/>
    <w:rsid w:val="00DE50F4"/>
    <w:rsid w:val="00DE53A8"/>
    <w:rsid w:val="00DE54C6"/>
    <w:rsid w:val="00DE5734"/>
    <w:rsid w:val="00DE68C7"/>
    <w:rsid w:val="00DF0B07"/>
    <w:rsid w:val="00DF17CD"/>
    <w:rsid w:val="00DF2FA8"/>
    <w:rsid w:val="00DF31E7"/>
    <w:rsid w:val="00DF326A"/>
    <w:rsid w:val="00DF3877"/>
    <w:rsid w:val="00DF3FF9"/>
    <w:rsid w:val="00DF4009"/>
    <w:rsid w:val="00DF6A47"/>
    <w:rsid w:val="00DF6A52"/>
    <w:rsid w:val="00E00009"/>
    <w:rsid w:val="00E02033"/>
    <w:rsid w:val="00E024DE"/>
    <w:rsid w:val="00E03509"/>
    <w:rsid w:val="00E03C96"/>
    <w:rsid w:val="00E03FB4"/>
    <w:rsid w:val="00E04744"/>
    <w:rsid w:val="00E0592F"/>
    <w:rsid w:val="00E05A3D"/>
    <w:rsid w:val="00E05BD2"/>
    <w:rsid w:val="00E05BFD"/>
    <w:rsid w:val="00E05F88"/>
    <w:rsid w:val="00E0649B"/>
    <w:rsid w:val="00E06C6D"/>
    <w:rsid w:val="00E07EDC"/>
    <w:rsid w:val="00E10599"/>
    <w:rsid w:val="00E111A9"/>
    <w:rsid w:val="00E11A02"/>
    <w:rsid w:val="00E140B9"/>
    <w:rsid w:val="00E144BA"/>
    <w:rsid w:val="00E17478"/>
    <w:rsid w:val="00E2227F"/>
    <w:rsid w:val="00E2387B"/>
    <w:rsid w:val="00E23E6D"/>
    <w:rsid w:val="00E23FB7"/>
    <w:rsid w:val="00E2427C"/>
    <w:rsid w:val="00E24F6F"/>
    <w:rsid w:val="00E259B8"/>
    <w:rsid w:val="00E259CA"/>
    <w:rsid w:val="00E26ADE"/>
    <w:rsid w:val="00E275D6"/>
    <w:rsid w:val="00E308FE"/>
    <w:rsid w:val="00E30FCA"/>
    <w:rsid w:val="00E314AF"/>
    <w:rsid w:val="00E338BF"/>
    <w:rsid w:val="00E3462F"/>
    <w:rsid w:val="00E35A60"/>
    <w:rsid w:val="00E36163"/>
    <w:rsid w:val="00E36315"/>
    <w:rsid w:val="00E36AD6"/>
    <w:rsid w:val="00E36CE3"/>
    <w:rsid w:val="00E4069D"/>
    <w:rsid w:val="00E423FD"/>
    <w:rsid w:val="00E441C3"/>
    <w:rsid w:val="00E44353"/>
    <w:rsid w:val="00E45256"/>
    <w:rsid w:val="00E46771"/>
    <w:rsid w:val="00E46A47"/>
    <w:rsid w:val="00E4744C"/>
    <w:rsid w:val="00E47BCC"/>
    <w:rsid w:val="00E53161"/>
    <w:rsid w:val="00E56B7D"/>
    <w:rsid w:val="00E572A5"/>
    <w:rsid w:val="00E62C82"/>
    <w:rsid w:val="00E62DDB"/>
    <w:rsid w:val="00E62F57"/>
    <w:rsid w:val="00E63F75"/>
    <w:rsid w:val="00E65672"/>
    <w:rsid w:val="00E65EBF"/>
    <w:rsid w:val="00E661F3"/>
    <w:rsid w:val="00E671CE"/>
    <w:rsid w:val="00E678ED"/>
    <w:rsid w:val="00E67A91"/>
    <w:rsid w:val="00E67C7E"/>
    <w:rsid w:val="00E7008E"/>
    <w:rsid w:val="00E71274"/>
    <w:rsid w:val="00E71902"/>
    <w:rsid w:val="00E71A31"/>
    <w:rsid w:val="00E72053"/>
    <w:rsid w:val="00E72312"/>
    <w:rsid w:val="00E74438"/>
    <w:rsid w:val="00E74543"/>
    <w:rsid w:val="00E74565"/>
    <w:rsid w:val="00E74914"/>
    <w:rsid w:val="00E75074"/>
    <w:rsid w:val="00E751BD"/>
    <w:rsid w:val="00E755C7"/>
    <w:rsid w:val="00E756AB"/>
    <w:rsid w:val="00E75BC0"/>
    <w:rsid w:val="00E75F27"/>
    <w:rsid w:val="00E766BD"/>
    <w:rsid w:val="00E77466"/>
    <w:rsid w:val="00E77701"/>
    <w:rsid w:val="00E8075D"/>
    <w:rsid w:val="00E80DD4"/>
    <w:rsid w:val="00E822E1"/>
    <w:rsid w:val="00E8255C"/>
    <w:rsid w:val="00E82FE0"/>
    <w:rsid w:val="00E8443B"/>
    <w:rsid w:val="00E84578"/>
    <w:rsid w:val="00E84982"/>
    <w:rsid w:val="00E85868"/>
    <w:rsid w:val="00E8666F"/>
    <w:rsid w:val="00E86CEF"/>
    <w:rsid w:val="00E91C8B"/>
    <w:rsid w:val="00E92DF0"/>
    <w:rsid w:val="00E93B9E"/>
    <w:rsid w:val="00E955C6"/>
    <w:rsid w:val="00E95EB5"/>
    <w:rsid w:val="00E9613E"/>
    <w:rsid w:val="00E961D2"/>
    <w:rsid w:val="00E9789A"/>
    <w:rsid w:val="00EA0635"/>
    <w:rsid w:val="00EA0DA6"/>
    <w:rsid w:val="00EA1299"/>
    <w:rsid w:val="00EA19C5"/>
    <w:rsid w:val="00EA1CAB"/>
    <w:rsid w:val="00EA2D73"/>
    <w:rsid w:val="00EA3BF7"/>
    <w:rsid w:val="00EA4FE4"/>
    <w:rsid w:val="00EA64D2"/>
    <w:rsid w:val="00EA6653"/>
    <w:rsid w:val="00EB09C0"/>
    <w:rsid w:val="00EB0FDD"/>
    <w:rsid w:val="00EB17D5"/>
    <w:rsid w:val="00EB1985"/>
    <w:rsid w:val="00EB328F"/>
    <w:rsid w:val="00EB3DF7"/>
    <w:rsid w:val="00EB492D"/>
    <w:rsid w:val="00EB5C70"/>
    <w:rsid w:val="00EB667C"/>
    <w:rsid w:val="00EC05E2"/>
    <w:rsid w:val="00EC0B6A"/>
    <w:rsid w:val="00EC1611"/>
    <w:rsid w:val="00EC33B6"/>
    <w:rsid w:val="00EC34B3"/>
    <w:rsid w:val="00EC3ABD"/>
    <w:rsid w:val="00EC405A"/>
    <w:rsid w:val="00EC649A"/>
    <w:rsid w:val="00EC68EF"/>
    <w:rsid w:val="00ED0905"/>
    <w:rsid w:val="00ED1885"/>
    <w:rsid w:val="00ED1F8F"/>
    <w:rsid w:val="00ED242A"/>
    <w:rsid w:val="00ED27BB"/>
    <w:rsid w:val="00ED2A5E"/>
    <w:rsid w:val="00ED309A"/>
    <w:rsid w:val="00ED344A"/>
    <w:rsid w:val="00ED4C69"/>
    <w:rsid w:val="00ED5FBC"/>
    <w:rsid w:val="00ED64C0"/>
    <w:rsid w:val="00ED6861"/>
    <w:rsid w:val="00ED6D09"/>
    <w:rsid w:val="00ED7CAF"/>
    <w:rsid w:val="00EE0860"/>
    <w:rsid w:val="00EE0CBA"/>
    <w:rsid w:val="00EE1AE8"/>
    <w:rsid w:val="00EE22E7"/>
    <w:rsid w:val="00EE2B28"/>
    <w:rsid w:val="00EE3141"/>
    <w:rsid w:val="00EE5C06"/>
    <w:rsid w:val="00EE611B"/>
    <w:rsid w:val="00EE670F"/>
    <w:rsid w:val="00EE720F"/>
    <w:rsid w:val="00EE765A"/>
    <w:rsid w:val="00EE7753"/>
    <w:rsid w:val="00EE7859"/>
    <w:rsid w:val="00EE7C75"/>
    <w:rsid w:val="00EF04C9"/>
    <w:rsid w:val="00EF1CDA"/>
    <w:rsid w:val="00EF2EEF"/>
    <w:rsid w:val="00EF354D"/>
    <w:rsid w:val="00EF3B17"/>
    <w:rsid w:val="00EF4B59"/>
    <w:rsid w:val="00EF4CB0"/>
    <w:rsid w:val="00EF4D58"/>
    <w:rsid w:val="00EF5187"/>
    <w:rsid w:val="00EF5376"/>
    <w:rsid w:val="00EF570D"/>
    <w:rsid w:val="00EF5BBB"/>
    <w:rsid w:val="00EF692B"/>
    <w:rsid w:val="00F01D95"/>
    <w:rsid w:val="00F03183"/>
    <w:rsid w:val="00F038C9"/>
    <w:rsid w:val="00F03AB2"/>
    <w:rsid w:val="00F03AD2"/>
    <w:rsid w:val="00F06765"/>
    <w:rsid w:val="00F072F5"/>
    <w:rsid w:val="00F103F0"/>
    <w:rsid w:val="00F13055"/>
    <w:rsid w:val="00F13626"/>
    <w:rsid w:val="00F13AD6"/>
    <w:rsid w:val="00F154E4"/>
    <w:rsid w:val="00F15A0C"/>
    <w:rsid w:val="00F15FF8"/>
    <w:rsid w:val="00F16121"/>
    <w:rsid w:val="00F1643D"/>
    <w:rsid w:val="00F171FD"/>
    <w:rsid w:val="00F20697"/>
    <w:rsid w:val="00F2269E"/>
    <w:rsid w:val="00F231CF"/>
    <w:rsid w:val="00F246DD"/>
    <w:rsid w:val="00F253B2"/>
    <w:rsid w:val="00F25532"/>
    <w:rsid w:val="00F260C2"/>
    <w:rsid w:val="00F267C6"/>
    <w:rsid w:val="00F272A1"/>
    <w:rsid w:val="00F2744C"/>
    <w:rsid w:val="00F27468"/>
    <w:rsid w:val="00F275A1"/>
    <w:rsid w:val="00F27E33"/>
    <w:rsid w:val="00F317DA"/>
    <w:rsid w:val="00F31BA5"/>
    <w:rsid w:val="00F31EF6"/>
    <w:rsid w:val="00F33C99"/>
    <w:rsid w:val="00F35692"/>
    <w:rsid w:val="00F363F6"/>
    <w:rsid w:val="00F3723E"/>
    <w:rsid w:val="00F37401"/>
    <w:rsid w:val="00F377BC"/>
    <w:rsid w:val="00F3791D"/>
    <w:rsid w:val="00F405A0"/>
    <w:rsid w:val="00F43158"/>
    <w:rsid w:val="00F43469"/>
    <w:rsid w:val="00F434B6"/>
    <w:rsid w:val="00F43A06"/>
    <w:rsid w:val="00F45769"/>
    <w:rsid w:val="00F46BBB"/>
    <w:rsid w:val="00F474D5"/>
    <w:rsid w:val="00F47732"/>
    <w:rsid w:val="00F4788E"/>
    <w:rsid w:val="00F47C06"/>
    <w:rsid w:val="00F47F9C"/>
    <w:rsid w:val="00F50784"/>
    <w:rsid w:val="00F51204"/>
    <w:rsid w:val="00F51CDB"/>
    <w:rsid w:val="00F5341E"/>
    <w:rsid w:val="00F5476E"/>
    <w:rsid w:val="00F54B47"/>
    <w:rsid w:val="00F55C2B"/>
    <w:rsid w:val="00F55CAA"/>
    <w:rsid w:val="00F55D02"/>
    <w:rsid w:val="00F5603C"/>
    <w:rsid w:val="00F574D3"/>
    <w:rsid w:val="00F6070C"/>
    <w:rsid w:val="00F60F43"/>
    <w:rsid w:val="00F6137E"/>
    <w:rsid w:val="00F62102"/>
    <w:rsid w:val="00F62972"/>
    <w:rsid w:val="00F63F1D"/>
    <w:rsid w:val="00F643B6"/>
    <w:rsid w:val="00F651FC"/>
    <w:rsid w:val="00F66838"/>
    <w:rsid w:val="00F669F0"/>
    <w:rsid w:val="00F66EEC"/>
    <w:rsid w:val="00F67EBC"/>
    <w:rsid w:val="00F7059E"/>
    <w:rsid w:val="00F706DC"/>
    <w:rsid w:val="00F70E48"/>
    <w:rsid w:val="00F71CF5"/>
    <w:rsid w:val="00F72067"/>
    <w:rsid w:val="00F73DBE"/>
    <w:rsid w:val="00F75704"/>
    <w:rsid w:val="00F76989"/>
    <w:rsid w:val="00F770AB"/>
    <w:rsid w:val="00F77133"/>
    <w:rsid w:val="00F77A3A"/>
    <w:rsid w:val="00F77C70"/>
    <w:rsid w:val="00F8062F"/>
    <w:rsid w:val="00F81549"/>
    <w:rsid w:val="00F81732"/>
    <w:rsid w:val="00F81977"/>
    <w:rsid w:val="00F81BB0"/>
    <w:rsid w:val="00F82EC3"/>
    <w:rsid w:val="00F832BF"/>
    <w:rsid w:val="00F83B66"/>
    <w:rsid w:val="00F8467A"/>
    <w:rsid w:val="00F8561B"/>
    <w:rsid w:val="00F866C0"/>
    <w:rsid w:val="00F867AC"/>
    <w:rsid w:val="00F86F55"/>
    <w:rsid w:val="00F876EA"/>
    <w:rsid w:val="00F87DEA"/>
    <w:rsid w:val="00F908AB"/>
    <w:rsid w:val="00F90F68"/>
    <w:rsid w:val="00F92C8C"/>
    <w:rsid w:val="00F92EA9"/>
    <w:rsid w:val="00F931D9"/>
    <w:rsid w:val="00F933FE"/>
    <w:rsid w:val="00F94AF9"/>
    <w:rsid w:val="00F95667"/>
    <w:rsid w:val="00F95A85"/>
    <w:rsid w:val="00F976E4"/>
    <w:rsid w:val="00F977A7"/>
    <w:rsid w:val="00F9798C"/>
    <w:rsid w:val="00FA1389"/>
    <w:rsid w:val="00FA229F"/>
    <w:rsid w:val="00FA35E2"/>
    <w:rsid w:val="00FA3D8C"/>
    <w:rsid w:val="00FA434A"/>
    <w:rsid w:val="00FA469C"/>
    <w:rsid w:val="00FA5440"/>
    <w:rsid w:val="00FA6C86"/>
    <w:rsid w:val="00FA7022"/>
    <w:rsid w:val="00FA74E0"/>
    <w:rsid w:val="00FB060E"/>
    <w:rsid w:val="00FB0AC3"/>
    <w:rsid w:val="00FB108A"/>
    <w:rsid w:val="00FB1507"/>
    <w:rsid w:val="00FB3484"/>
    <w:rsid w:val="00FB3940"/>
    <w:rsid w:val="00FB4028"/>
    <w:rsid w:val="00FB445F"/>
    <w:rsid w:val="00FB451F"/>
    <w:rsid w:val="00FB47C9"/>
    <w:rsid w:val="00FB546D"/>
    <w:rsid w:val="00FB5A74"/>
    <w:rsid w:val="00FB7E3E"/>
    <w:rsid w:val="00FC07F3"/>
    <w:rsid w:val="00FC0CFA"/>
    <w:rsid w:val="00FC1227"/>
    <w:rsid w:val="00FC1537"/>
    <w:rsid w:val="00FC2429"/>
    <w:rsid w:val="00FC2E5E"/>
    <w:rsid w:val="00FC2EC2"/>
    <w:rsid w:val="00FC4273"/>
    <w:rsid w:val="00FC45ED"/>
    <w:rsid w:val="00FC4A33"/>
    <w:rsid w:val="00FC5269"/>
    <w:rsid w:val="00FC66D0"/>
    <w:rsid w:val="00FC6F4F"/>
    <w:rsid w:val="00FC7B9B"/>
    <w:rsid w:val="00FD025A"/>
    <w:rsid w:val="00FD0CD6"/>
    <w:rsid w:val="00FD0EBC"/>
    <w:rsid w:val="00FD0FA9"/>
    <w:rsid w:val="00FD277C"/>
    <w:rsid w:val="00FD299A"/>
    <w:rsid w:val="00FD2A15"/>
    <w:rsid w:val="00FD300D"/>
    <w:rsid w:val="00FD3577"/>
    <w:rsid w:val="00FD3FDE"/>
    <w:rsid w:val="00FD4D18"/>
    <w:rsid w:val="00FD4EA4"/>
    <w:rsid w:val="00FD5947"/>
    <w:rsid w:val="00FD60EB"/>
    <w:rsid w:val="00FD656C"/>
    <w:rsid w:val="00FD6984"/>
    <w:rsid w:val="00FD70E1"/>
    <w:rsid w:val="00FD73C7"/>
    <w:rsid w:val="00FD7CF4"/>
    <w:rsid w:val="00FE03C0"/>
    <w:rsid w:val="00FE1196"/>
    <w:rsid w:val="00FE12A6"/>
    <w:rsid w:val="00FE13AB"/>
    <w:rsid w:val="00FE1865"/>
    <w:rsid w:val="00FE3DB6"/>
    <w:rsid w:val="00FE5CBD"/>
    <w:rsid w:val="00FE5D11"/>
    <w:rsid w:val="00FE66A3"/>
    <w:rsid w:val="00FE783D"/>
    <w:rsid w:val="00FE7C19"/>
    <w:rsid w:val="00FF2175"/>
    <w:rsid w:val="00FF2E22"/>
    <w:rsid w:val="00FF2EBD"/>
    <w:rsid w:val="00FF4265"/>
    <w:rsid w:val="00FF4BC2"/>
    <w:rsid w:val="00FF503E"/>
    <w:rsid w:val="00FF5360"/>
    <w:rsid w:val="00FF5713"/>
    <w:rsid w:val="00FF5D71"/>
    <w:rsid w:val="00FF7C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red,#f60"/>
    </o:shapedefaults>
    <o:shapelayout v:ext="edit">
      <o:idmap v:ext="edit" data="1"/>
    </o:shapelayout>
  </w:shapeDefaults>
  <w:decimalSymbol w:val="."/>
  <w:listSeparator w:val=","/>
  <w14:docId w14:val="7AE0F075"/>
  <w15:docId w15:val="{199E41BB-00DC-4675-960B-86FCAE2B5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locked="1" w:semiHidden="1" w:uiPriority="0" w:unhideWhenUsed="1"/>
    <w:lsdException w:name="page number" w:semiHidden="1" w:unhideWhenUsed="1"/>
    <w:lsdException w:name="endnote reference" w:locked="1"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locked="1" w:semiHidden="1" w:unhideWhenUsed="1"/>
    <w:lsdException w:name="Strong" w:locked="1" w:uiPriority="0"/>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locked="1" w:semiHidden="1" w:uiPriority="0" w:unhideWhenUsed="1"/>
    <w:lsdException w:name="HTML Address" w:semiHidden="1" w:unhideWhenUsed="1"/>
    <w:lsdException w:name="HTML Cite" w:locked="1" w:semiHidden="1" w:uiPriority="0" w:unhideWhenUsed="1"/>
    <w:lsdException w:name="HTML Code" w:locked="1" w:semiHidden="1" w:uiPriority="0" w:unhideWhenUsed="1"/>
    <w:lsdException w:name="HTML Definition" w:locked="1" w:semiHidden="1" w:uiPriority="0" w:unhideWhenUsed="1"/>
    <w:lsdException w:name="HTML Keyboard" w:locked="1" w:semiHidden="1" w:uiPriority="0" w:unhideWhenUsed="1"/>
    <w:lsdException w:name="HTML Preformatted" w:semiHidden="1" w:unhideWhenUsed="1"/>
    <w:lsdException w:name="HTML Sample" w:locked="1" w:semiHidden="1" w:uiPriority="0" w:unhideWhenUsed="1"/>
    <w:lsdException w:name="HTML Typewriter" w:locked="1" w:semiHidden="1" w:uiPriority="0" w:unhideWhenUsed="1"/>
    <w:lsdException w:name="HTML Variable" w:locked="1" w:semiHidden="1" w:uiPriority="0" w:unhideWhenUsed="1"/>
    <w:lsdException w:name="Normal Table" w:semiHidden="1" w:uiPriority="0" w:unhideWhenUsed="1"/>
    <w:lsdException w:name="annotation subject" w:semiHidden="1" w:unhideWhenUsed="1"/>
    <w:lsdException w:name="No List" w:semiHidden="1" w:unhideWhenUsed="1"/>
    <w:lsdException w:name="Outline List 1" w:locked="1" w:semiHidden="1" w:uiPriority="0" w:unhideWhenUsed="1"/>
    <w:lsdException w:name="Outline List 2" w:locked="1" w:semiHidden="1" w:uiPriority="0" w:unhideWhenUsed="1"/>
    <w:lsdException w:name="Outline List 3" w:locked="1" w:semiHidden="1" w:uiPriority="0" w:unhideWhenUsed="1"/>
    <w:lsdException w:name="Table Simple 1" w:locked="1" w:semiHidden="1" w:uiPriority="0" w:unhideWhenUsed="1"/>
    <w:lsdException w:name="Table Simple 2" w:locked="1" w:semiHidden="1" w:uiPriority="0" w:unhideWhenUsed="1"/>
    <w:lsdException w:name="Table Simple 3" w:locked="1" w:semiHidden="1" w:uiPriority="0" w:unhideWhenUsed="1"/>
    <w:lsdException w:name="Table Classic 1" w:locked="1" w:semiHidden="1" w:uiPriority="0" w:unhideWhenUsed="1"/>
    <w:lsdException w:name="Table Classic 2" w:locked="1" w:semiHidden="1" w:uiPriority="0" w:unhideWhenUsed="1"/>
    <w:lsdException w:name="Table Classic 3" w:locked="1" w:semiHidden="1" w:uiPriority="0" w:unhideWhenUsed="1"/>
    <w:lsdException w:name="Table Classic 4" w:locked="1" w:semiHidden="1" w:uiPriority="0" w:unhideWhenUsed="1"/>
    <w:lsdException w:name="Table Colorful 1" w:locked="1" w:semiHidden="1" w:uiPriority="0" w:unhideWhenUsed="1"/>
    <w:lsdException w:name="Table Colorful 2" w:locked="1" w:semiHidden="1" w:uiPriority="0" w:unhideWhenUsed="1"/>
    <w:lsdException w:name="Table Colorful 3" w:locked="1" w:semiHidden="1" w:uiPriority="0" w:unhideWhenUsed="1"/>
    <w:lsdException w:name="Table Columns 1" w:locked="1" w:semiHidden="1" w:uiPriority="0" w:unhideWhenUsed="1"/>
    <w:lsdException w:name="Table Columns 2" w:locked="1" w:semiHidden="1" w:uiPriority="0" w:unhideWhenUsed="1"/>
    <w:lsdException w:name="Table Columns 3" w:locked="1" w:semiHidden="1" w:uiPriority="0" w:unhideWhenUsed="1"/>
    <w:lsdException w:name="Table Columns 4" w:locked="1" w:semiHidden="1" w:uiPriority="0" w:unhideWhenUsed="1"/>
    <w:lsdException w:name="Table Columns 5" w:locked="1" w:semiHidden="1" w:uiPriority="0" w:unhideWhenUsed="1"/>
    <w:lsdException w:name="Table Grid 1" w:locked="1" w:semiHidden="1" w:uiPriority="0" w:unhideWhenUsed="1"/>
    <w:lsdException w:name="Table Grid 2" w:locked="1" w:semiHidden="1" w:uiPriority="0" w:unhideWhenUsed="1"/>
    <w:lsdException w:name="Table Grid 3" w:locked="1" w:semiHidden="1" w:uiPriority="0" w:unhideWhenUsed="1"/>
    <w:lsdException w:name="Table Grid 4" w:locked="1" w:semiHidden="1" w:uiPriority="0" w:unhideWhenUsed="1"/>
    <w:lsdException w:name="Table Grid 5" w:locked="1" w:semiHidden="1" w:uiPriority="0" w:unhideWhenUsed="1"/>
    <w:lsdException w:name="Table Grid 6" w:locked="1" w:semiHidden="1" w:uiPriority="0" w:unhideWhenUsed="1"/>
    <w:lsdException w:name="Table Grid 7" w:locked="1" w:semiHidden="1" w:uiPriority="0" w:unhideWhenUsed="1"/>
    <w:lsdException w:name="Table Grid 8" w:locked="1" w:semiHidden="1" w:uiPriority="0" w:unhideWhenUsed="1"/>
    <w:lsdException w:name="Table List 1" w:locked="1" w:semiHidden="1" w:uiPriority="0" w:unhideWhenUsed="1"/>
    <w:lsdException w:name="Table List 2" w:locked="1" w:semiHidden="1" w:uiPriority="0" w:unhideWhenUsed="1"/>
    <w:lsdException w:name="Table List 3" w:locked="1" w:semiHidden="1" w:uiPriority="0" w:unhideWhenUsed="1"/>
    <w:lsdException w:name="Table List 4" w:locked="1" w:semiHidden="1" w:uiPriority="0" w:unhideWhenUsed="1"/>
    <w:lsdException w:name="Table List 5" w:locked="1" w:semiHidden="1" w:uiPriority="0" w:unhideWhenUsed="1"/>
    <w:lsdException w:name="Table List 6" w:locked="1" w:semiHidden="1" w:uiPriority="0" w:unhideWhenUsed="1"/>
    <w:lsdException w:name="Table List 7" w:locked="1" w:semiHidden="1" w:uiPriority="0" w:unhideWhenUsed="1"/>
    <w:lsdException w:name="Table List 8" w:locked="1" w:semiHidden="1" w:uiPriority="0"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semiHidden="1" w:uiPriority="0" w:unhideWhenUsed="1"/>
    <w:lsdException w:name="Table Subtle 2" w:locked="1" w:semiHidden="1" w:uiPriority="0" w:unhideWhenUsed="1"/>
    <w:lsdException w:name="Table Web 1" w:locked="1" w:semiHidden="1" w:uiPriority="0" w:unhideWhenUsed="1"/>
    <w:lsdException w:name="Table Web 2" w:locked="1" w:semiHidden="1" w:uiPriority="0" w:unhideWhenUsed="1"/>
    <w:lsdException w:name="Table Web 3" w:locked="1" w:semiHidden="1" w:uiPriority="0" w:unhideWhenUsed="1"/>
    <w:lsdException w:name="Balloon Text" w:semiHidden="1" w:unhideWhenUsed="1"/>
    <w:lsdException w:name="Table Grid" w:locked="1" w:uiPriority="39"/>
    <w:lsdException w:name="Table Theme" w:locked="1" w:semiHidden="1" w:uiPriority="0" w:unhideWhenUsed="1"/>
    <w:lsdException w:name="Placeholder Text" w:locked="1" w:semiHidden="1"/>
    <w:lsdException w:name="No Spacing" w:locked="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uiPriority="33"/>
    <w:lsdException w:name="Bibliography" w:locked="1"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E2AF0"/>
    <w:rPr>
      <w:rFonts w:ascii="Verdana" w:hAnsi="Verdana"/>
      <w:szCs w:val="24"/>
      <w:lang w:eastAsia="en-US"/>
    </w:rPr>
  </w:style>
  <w:style w:type="paragraph" w:styleId="Heading1">
    <w:name w:val="heading 1"/>
    <w:aliases w:val="Section heading"/>
    <w:basedOn w:val="Normal"/>
    <w:next w:val="Normal"/>
    <w:link w:val="Heading1Char"/>
    <w:uiPriority w:val="9"/>
    <w:qFormat/>
    <w:rsid w:val="009E2AF0"/>
    <w:pPr>
      <w:pBdr>
        <w:bottom w:val="single" w:sz="24" w:space="1" w:color="365F91" w:themeColor="accent1" w:themeShade="BF"/>
      </w:pBdr>
      <w:tabs>
        <w:tab w:val="left" w:pos="2581"/>
      </w:tabs>
      <w:spacing w:after="200" w:line="276" w:lineRule="auto"/>
      <w:outlineLvl w:val="0"/>
    </w:pPr>
    <w:rPr>
      <w:color w:val="365F91" w:themeColor="accent1" w:themeShade="BF"/>
      <w:sz w:val="40"/>
    </w:rPr>
  </w:style>
  <w:style w:type="paragraph" w:styleId="Heading2">
    <w:name w:val="heading 2"/>
    <w:aliases w:val="Main Heading - Colour"/>
    <w:basedOn w:val="Heading1"/>
    <w:next w:val="Normal"/>
    <w:link w:val="Heading2Char"/>
    <w:qFormat/>
    <w:rsid w:val="009E2AF0"/>
    <w:pPr>
      <w:pBdr>
        <w:bottom w:val="none" w:sz="0" w:space="0" w:color="auto"/>
      </w:pBdr>
      <w:spacing w:before="120" w:after="360" w:line="240" w:lineRule="auto"/>
      <w:outlineLvl w:val="1"/>
    </w:pPr>
    <w:rPr>
      <w:b/>
      <w:sz w:val="24"/>
    </w:rPr>
  </w:style>
  <w:style w:type="paragraph" w:styleId="Heading3">
    <w:name w:val="heading 3"/>
    <w:aliases w:val="Sub-heading 2 - Bold"/>
    <w:basedOn w:val="Heading2"/>
    <w:next w:val="Normal"/>
    <w:link w:val="Heading3Char"/>
    <w:qFormat/>
    <w:rsid w:val="009E2AF0"/>
    <w:pPr>
      <w:outlineLvl w:val="2"/>
    </w:pPr>
    <w:rPr>
      <w:color w:val="auto"/>
      <w:sz w:val="20"/>
    </w:rPr>
  </w:style>
  <w:style w:type="paragraph" w:styleId="Heading4">
    <w:name w:val="heading 4"/>
    <w:aliases w:val="Sub-heading 2 - Italic"/>
    <w:basedOn w:val="Heading3"/>
    <w:next w:val="Normal"/>
    <w:link w:val="Heading4Char"/>
    <w:qFormat/>
    <w:rsid w:val="009E2AF0"/>
    <w:pPr>
      <w:outlineLvl w:val="3"/>
    </w:pPr>
    <w:rPr>
      <w:b w:val="0"/>
      <w:i/>
    </w:rPr>
  </w:style>
  <w:style w:type="paragraph" w:styleId="Heading5">
    <w:name w:val="heading 5"/>
    <w:aliases w:val="Sub-heading 3 - Plain"/>
    <w:basedOn w:val="Heading4"/>
    <w:next w:val="Normal"/>
    <w:link w:val="Heading5Char"/>
    <w:qFormat/>
    <w:rsid w:val="009E2AF0"/>
    <w:pPr>
      <w:outlineLvl w:val="4"/>
    </w:pPr>
    <w:rPr>
      <w:i w:val="0"/>
    </w:rPr>
  </w:style>
  <w:style w:type="paragraph" w:styleId="Heading6">
    <w:name w:val="heading 6"/>
    <w:aliases w:val="Heading 6 - Do not use"/>
    <w:basedOn w:val="Normal"/>
    <w:next w:val="Normal"/>
    <w:link w:val="Heading6Char"/>
    <w:qFormat/>
    <w:rsid w:val="009E2AF0"/>
    <w:pPr>
      <w:spacing w:before="240" w:after="60"/>
      <w:outlineLvl w:val="5"/>
    </w:pPr>
    <w:rPr>
      <w:bCs/>
      <w:szCs w:val="22"/>
    </w:rPr>
  </w:style>
  <w:style w:type="paragraph" w:styleId="Heading7">
    <w:name w:val="heading 7"/>
    <w:aliases w:val="Heading 7 - Do not use"/>
    <w:basedOn w:val="Normal"/>
    <w:next w:val="Normal"/>
    <w:link w:val="Heading7Char"/>
    <w:qFormat/>
    <w:rsid w:val="009E2AF0"/>
    <w:pPr>
      <w:spacing w:before="240" w:after="60"/>
      <w:outlineLvl w:val="6"/>
    </w:pPr>
  </w:style>
  <w:style w:type="paragraph" w:styleId="Heading8">
    <w:name w:val="heading 8"/>
    <w:aliases w:val="Heading 8 - Do not use"/>
    <w:basedOn w:val="Normal"/>
    <w:next w:val="Normal"/>
    <w:link w:val="Heading8Char"/>
    <w:rsid w:val="009E2AF0"/>
    <w:pPr>
      <w:spacing w:before="240" w:after="60"/>
      <w:outlineLvl w:val="7"/>
    </w:pPr>
    <w:rPr>
      <w:iCs/>
    </w:rPr>
  </w:style>
  <w:style w:type="paragraph" w:styleId="Heading9">
    <w:name w:val="heading 9"/>
    <w:aliases w:val="Heading 9 - Do not use"/>
    <w:basedOn w:val="Normal"/>
    <w:next w:val="Normal"/>
    <w:link w:val="Heading9Char"/>
    <w:qFormat/>
    <w:rsid w:val="009E2AF0"/>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opic">
    <w:name w:val="Cover_Topic"/>
    <w:basedOn w:val="Normal"/>
    <w:link w:val="CoverTopicChar"/>
    <w:rsid w:val="009E2AF0"/>
    <w:rPr>
      <w:b/>
      <w:sz w:val="22"/>
    </w:rPr>
  </w:style>
  <w:style w:type="character" w:customStyle="1" w:styleId="CoverTopicChar">
    <w:name w:val="Cover_Topic Char"/>
    <w:basedOn w:val="DefaultParagraphFont"/>
    <w:link w:val="CoverTopic"/>
    <w:rsid w:val="009E2AF0"/>
    <w:rPr>
      <w:rFonts w:ascii="Verdana" w:hAnsi="Verdana"/>
      <w:b/>
      <w:sz w:val="22"/>
      <w:szCs w:val="24"/>
      <w:lang w:eastAsia="en-US"/>
    </w:rPr>
  </w:style>
  <w:style w:type="paragraph" w:styleId="Footer">
    <w:name w:val="footer"/>
    <w:basedOn w:val="Normal"/>
    <w:link w:val="FooterChar"/>
    <w:uiPriority w:val="99"/>
    <w:rsid w:val="009E2AF0"/>
    <w:pPr>
      <w:tabs>
        <w:tab w:val="center" w:pos="4320"/>
        <w:tab w:val="right" w:pos="8640"/>
      </w:tabs>
    </w:pPr>
    <w:rPr>
      <w:sz w:val="16"/>
    </w:rPr>
  </w:style>
  <w:style w:type="character" w:customStyle="1" w:styleId="CoverTopicDetails">
    <w:name w:val="Cover_Topic Details"/>
    <w:basedOn w:val="DefaultParagraphFont"/>
    <w:rsid w:val="009E2AF0"/>
    <w:rPr>
      <w:rFonts w:ascii="Verdana" w:hAnsi="Verdana"/>
      <w:sz w:val="20"/>
      <w:szCs w:val="24"/>
      <w:lang w:val="en-US" w:eastAsia="en-US" w:bidi="ar-SA"/>
    </w:rPr>
  </w:style>
  <w:style w:type="paragraph" w:customStyle="1" w:styleId="Text">
    <w:name w:val="Text"/>
    <w:basedOn w:val="Normal"/>
    <w:rsid w:val="009E2AF0"/>
    <w:pPr>
      <w:tabs>
        <w:tab w:val="left" w:pos="2581"/>
      </w:tabs>
    </w:pPr>
  </w:style>
  <w:style w:type="character" w:customStyle="1" w:styleId="CoverDocumentTypeexplanation">
    <w:name w:val="Cover_Document Type explanation"/>
    <w:basedOn w:val="DefaultParagraphFont"/>
    <w:rsid w:val="009E2AF0"/>
    <w:rPr>
      <w:rFonts w:ascii="Verdana" w:hAnsi="Verdana"/>
      <w:b/>
      <w:color w:val="808080"/>
      <w:sz w:val="24"/>
      <w:szCs w:val="24"/>
      <w:lang w:val="en-US" w:eastAsia="en-US" w:bidi="ar-SA"/>
    </w:rPr>
  </w:style>
  <w:style w:type="character" w:customStyle="1" w:styleId="Text-Italics">
    <w:name w:val="Text - Italics"/>
    <w:rsid w:val="009E2AF0"/>
    <w:rPr>
      <w:rFonts w:ascii="Verdana" w:hAnsi="Verdana"/>
      <w:i/>
      <w:sz w:val="20"/>
    </w:rPr>
  </w:style>
  <w:style w:type="paragraph" w:styleId="BalloonText">
    <w:name w:val="Balloon Text"/>
    <w:basedOn w:val="Normal"/>
    <w:link w:val="BalloonTextChar"/>
    <w:uiPriority w:val="99"/>
    <w:semiHidden/>
    <w:locked/>
    <w:rsid w:val="009E2AF0"/>
    <w:rPr>
      <w:rFonts w:ascii="Tahoma" w:hAnsi="Tahoma" w:cs="Tahoma"/>
      <w:sz w:val="16"/>
      <w:szCs w:val="16"/>
    </w:rPr>
  </w:style>
  <w:style w:type="paragraph" w:customStyle="1" w:styleId="Text-Numbered">
    <w:name w:val="Text - Numbered"/>
    <w:basedOn w:val="Normal"/>
    <w:qFormat/>
    <w:rsid w:val="009E2AF0"/>
    <w:pPr>
      <w:numPr>
        <w:numId w:val="2"/>
      </w:numPr>
    </w:pPr>
  </w:style>
  <w:style w:type="paragraph" w:customStyle="1" w:styleId="DraftCover">
    <w:name w:val="Draft Cover"/>
    <w:basedOn w:val="Normal"/>
    <w:rsid w:val="009E2AF0"/>
    <w:rPr>
      <w:b/>
      <w:sz w:val="28"/>
    </w:rPr>
  </w:style>
  <w:style w:type="paragraph" w:customStyle="1" w:styleId="Tablehead">
    <w:name w:val="Table_head"/>
    <w:basedOn w:val="Normal"/>
    <w:rsid w:val="009E2AF0"/>
    <w:rPr>
      <w:rFonts w:cs="Arial"/>
      <w:b/>
    </w:rPr>
  </w:style>
  <w:style w:type="paragraph" w:customStyle="1" w:styleId="TableText-LeftAligned">
    <w:name w:val="Table_Text - Left Aligned"/>
    <w:basedOn w:val="Normal"/>
    <w:rsid w:val="009E2AF0"/>
  </w:style>
  <w:style w:type="character" w:customStyle="1" w:styleId="CoverTopicCharChar">
    <w:name w:val="Cover_Topic Char Char"/>
    <w:basedOn w:val="DefaultParagraphFont"/>
    <w:rsid w:val="009E2AF0"/>
    <w:rPr>
      <w:rFonts w:ascii="Verdana" w:eastAsia="MS Mincho" w:hAnsi="Verdana"/>
      <w:b/>
      <w:sz w:val="22"/>
      <w:szCs w:val="24"/>
      <w:lang w:val="en-US" w:eastAsia="en-US" w:bidi="ar-SA"/>
    </w:rPr>
  </w:style>
  <w:style w:type="paragraph" w:customStyle="1" w:styleId="SameasHeading1butdoesnotappearinTableofContents">
    <w:name w:val="Same as Heading 1 but does not appear in Table of Contents"/>
    <w:basedOn w:val="Heading1"/>
    <w:next w:val="Normal"/>
    <w:rsid w:val="009E2AF0"/>
  </w:style>
  <w:style w:type="paragraph" w:customStyle="1" w:styleId="ChapterSummary">
    <w:name w:val="Chapter Summary"/>
    <w:basedOn w:val="Normal"/>
    <w:rsid w:val="009E2AF0"/>
    <w:pPr>
      <w:numPr>
        <w:numId w:val="7"/>
      </w:numPr>
      <w:pBdr>
        <w:top w:val="single" w:sz="4" w:space="1" w:color="FFCC99"/>
        <w:left w:val="single" w:sz="4" w:space="4" w:color="FFCC99"/>
        <w:bottom w:val="single" w:sz="4" w:space="1" w:color="FFCC99"/>
        <w:right w:val="single" w:sz="4" w:space="4" w:color="FFCC99"/>
      </w:pBdr>
      <w:shd w:val="clear" w:color="auto" w:fill="EFF9FF"/>
    </w:pPr>
  </w:style>
  <w:style w:type="paragraph" w:customStyle="1" w:styleId="Textbox-Bullted">
    <w:name w:val="Text box - Bullted"/>
    <w:basedOn w:val="Normal"/>
    <w:link w:val="Textbox-BulltedChar"/>
    <w:rsid w:val="009E2AF0"/>
    <w:pPr>
      <w:numPr>
        <w:numId w:val="1"/>
      </w:numPr>
      <w:shd w:val="clear" w:color="auto" w:fill="EFF9FF"/>
    </w:pPr>
    <w:rPr>
      <w:szCs w:val="20"/>
    </w:rPr>
  </w:style>
  <w:style w:type="character" w:customStyle="1" w:styleId="Textbox-BulltedChar">
    <w:name w:val="Text box - Bullted Char"/>
    <w:basedOn w:val="DefaultParagraphFont"/>
    <w:link w:val="Textbox-Bullted"/>
    <w:rsid w:val="009E2AF0"/>
    <w:rPr>
      <w:rFonts w:ascii="Verdana" w:hAnsi="Verdana"/>
      <w:shd w:val="clear" w:color="auto" w:fill="EFF9FF"/>
      <w:lang w:eastAsia="en-US"/>
    </w:rPr>
  </w:style>
  <w:style w:type="paragraph" w:customStyle="1" w:styleId="AppendixSection">
    <w:name w:val="Appendix_Section"/>
    <w:basedOn w:val="Normal"/>
    <w:rsid w:val="009E2AF0"/>
    <w:pPr>
      <w:numPr>
        <w:numId w:val="8"/>
      </w:numPr>
      <w:pBdr>
        <w:bottom w:val="single" w:sz="24" w:space="1" w:color="365F91" w:themeColor="accent1" w:themeShade="BF"/>
      </w:pBdr>
      <w:tabs>
        <w:tab w:val="left" w:pos="2581"/>
      </w:tabs>
      <w:spacing w:after="200" w:line="276" w:lineRule="auto"/>
    </w:pPr>
    <w:rPr>
      <w:color w:val="365F91" w:themeColor="accent1" w:themeShade="BF"/>
      <w:sz w:val="48"/>
    </w:rPr>
  </w:style>
  <w:style w:type="paragraph" w:customStyle="1" w:styleId="ChapterHeading">
    <w:name w:val="Chapter Heading"/>
    <w:basedOn w:val="Heading1"/>
    <w:next w:val="Normal"/>
    <w:rsid w:val="009E2AF0"/>
    <w:pPr>
      <w:pageBreakBefore/>
      <w:numPr>
        <w:numId w:val="4"/>
      </w:numPr>
    </w:pPr>
    <w:rPr>
      <w:bCs/>
      <w:szCs w:val="20"/>
    </w:rPr>
  </w:style>
  <w:style w:type="paragraph" w:customStyle="1" w:styleId="Indexhead">
    <w:name w:val="Index head"/>
    <w:basedOn w:val="Normal"/>
    <w:rsid w:val="009E2AF0"/>
    <w:pPr>
      <w:tabs>
        <w:tab w:val="left" w:pos="2581"/>
      </w:tabs>
    </w:pPr>
    <w:rPr>
      <w:b/>
    </w:rPr>
  </w:style>
  <w:style w:type="paragraph" w:styleId="FootnoteText">
    <w:name w:val="footnote text"/>
    <w:link w:val="FootnoteTextChar"/>
    <w:uiPriority w:val="99"/>
    <w:semiHidden/>
    <w:locked/>
    <w:rsid w:val="009E2AF0"/>
    <w:pPr>
      <w:widowControl w:val="0"/>
    </w:pPr>
    <w:rPr>
      <w:rFonts w:ascii="Verdana" w:hAnsi="Verdana"/>
      <w:sz w:val="18"/>
      <w:lang w:eastAsia="en-US"/>
    </w:rPr>
  </w:style>
  <w:style w:type="character" w:customStyle="1" w:styleId="Text-Bold">
    <w:name w:val="Text - Bold"/>
    <w:basedOn w:val="DefaultParagraphFont"/>
    <w:rsid w:val="009E2AF0"/>
    <w:rPr>
      <w:rFonts w:ascii="Verdana" w:hAnsi="Verdana"/>
      <w:b/>
      <w:bCs/>
      <w:sz w:val="20"/>
    </w:rPr>
  </w:style>
  <w:style w:type="paragraph" w:customStyle="1" w:styleId="Tableofcontents">
    <w:name w:val="Table of contents"/>
    <w:basedOn w:val="Normal"/>
    <w:rsid w:val="009E2AF0"/>
    <w:pPr>
      <w:tabs>
        <w:tab w:val="left" w:pos="2581"/>
      </w:tabs>
      <w:spacing w:after="200" w:line="360" w:lineRule="auto"/>
    </w:pPr>
    <w:rPr>
      <w:b/>
      <w:color w:val="365F91" w:themeColor="accent1" w:themeShade="BF"/>
      <w:sz w:val="48"/>
    </w:rPr>
  </w:style>
  <w:style w:type="paragraph" w:styleId="TOC1">
    <w:name w:val="toc 1"/>
    <w:basedOn w:val="Normal"/>
    <w:next w:val="Normal"/>
    <w:uiPriority w:val="39"/>
    <w:rsid w:val="009E2AF0"/>
    <w:pPr>
      <w:spacing w:before="120"/>
    </w:pPr>
    <w:rPr>
      <w:b/>
      <w:sz w:val="22"/>
    </w:rPr>
  </w:style>
  <w:style w:type="character" w:styleId="CommentReference">
    <w:name w:val="annotation reference"/>
    <w:basedOn w:val="DefaultParagraphFont"/>
    <w:uiPriority w:val="99"/>
    <w:semiHidden/>
    <w:locked/>
    <w:rsid w:val="009E2AF0"/>
    <w:rPr>
      <w:sz w:val="16"/>
      <w:szCs w:val="16"/>
    </w:rPr>
  </w:style>
  <w:style w:type="paragraph" w:styleId="CommentText">
    <w:name w:val="annotation text"/>
    <w:basedOn w:val="Normal"/>
    <w:link w:val="CommentTextChar"/>
    <w:uiPriority w:val="99"/>
    <w:semiHidden/>
    <w:locked/>
    <w:rsid w:val="009E2AF0"/>
    <w:rPr>
      <w:szCs w:val="20"/>
    </w:rPr>
  </w:style>
  <w:style w:type="paragraph" w:customStyle="1" w:styleId="GlossaryHead">
    <w:name w:val="Glossary Head"/>
    <w:basedOn w:val="Normal"/>
    <w:rsid w:val="009E2AF0"/>
    <w:rPr>
      <w:rFonts w:cs="Arial"/>
      <w:b/>
      <w:caps/>
      <w:szCs w:val="22"/>
    </w:rPr>
  </w:style>
  <w:style w:type="paragraph" w:customStyle="1" w:styleId="GlossarySub-head">
    <w:name w:val="Glossary Sub-head"/>
    <w:basedOn w:val="GlossaryHead"/>
    <w:rsid w:val="009E2AF0"/>
    <w:rPr>
      <w:b w:val="0"/>
      <w:caps w:val="0"/>
      <w:color w:val="333399"/>
      <w:szCs w:val="20"/>
    </w:rPr>
  </w:style>
  <w:style w:type="paragraph" w:customStyle="1" w:styleId="Glossarytext">
    <w:name w:val="Glossary text"/>
    <w:basedOn w:val="Normal"/>
    <w:rsid w:val="009E2AF0"/>
    <w:rPr>
      <w:rFonts w:cs="Arial"/>
      <w:szCs w:val="17"/>
    </w:rPr>
  </w:style>
  <w:style w:type="paragraph" w:styleId="TOC2">
    <w:name w:val="toc 2"/>
    <w:basedOn w:val="Normal"/>
    <w:next w:val="Normal"/>
    <w:uiPriority w:val="39"/>
    <w:rsid w:val="009E2AF0"/>
    <w:pPr>
      <w:ind w:left="240"/>
    </w:pPr>
  </w:style>
  <w:style w:type="character" w:styleId="Hyperlink">
    <w:name w:val="Hyperlink"/>
    <w:aliases w:val="TOC - Hyperlink"/>
    <w:basedOn w:val="DefaultParagraphFont"/>
    <w:uiPriority w:val="99"/>
    <w:qFormat/>
    <w:rsid w:val="009E2AF0"/>
    <w:rPr>
      <w:rFonts w:ascii="Verdana" w:hAnsi="Verdana"/>
      <w:color w:val="0000FF"/>
      <w:sz w:val="22"/>
      <w:u w:val="single"/>
    </w:rPr>
  </w:style>
  <w:style w:type="paragraph" w:styleId="TOC3">
    <w:name w:val="toc 3"/>
    <w:basedOn w:val="Normal"/>
    <w:next w:val="Normal"/>
    <w:uiPriority w:val="39"/>
    <w:rsid w:val="009E2AF0"/>
    <w:pPr>
      <w:ind w:left="480"/>
    </w:pPr>
  </w:style>
  <w:style w:type="paragraph" w:styleId="Header">
    <w:name w:val="header"/>
    <w:basedOn w:val="Normal"/>
    <w:link w:val="HeaderChar"/>
    <w:uiPriority w:val="99"/>
    <w:rsid w:val="009E2AF0"/>
    <w:pPr>
      <w:tabs>
        <w:tab w:val="center" w:pos="4320"/>
        <w:tab w:val="right" w:pos="8640"/>
      </w:tabs>
    </w:pPr>
  </w:style>
  <w:style w:type="character" w:customStyle="1" w:styleId="Text-underlined">
    <w:name w:val="Text - underlined"/>
    <w:basedOn w:val="DefaultParagraphFont"/>
    <w:rsid w:val="009E2AF0"/>
    <w:rPr>
      <w:rFonts w:ascii="Verdana" w:hAnsi="Verdana"/>
      <w:sz w:val="20"/>
      <w:u w:val="single"/>
    </w:rPr>
  </w:style>
  <w:style w:type="paragraph" w:customStyle="1" w:styleId="Text-bulleted">
    <w:name w:val="Text - bulleted"/>
    <w:basedOn w:val="Normal"/>
    <w:qFormat/>
    <w:rsid w:val="009E2AF0"/>
    <w:pPr>
      <w:numPr>
        <w:numId w:val="6"/>
      </w:numPr>
      <w:tabs>
        <w:tab w:val="left" w:pos="2581"/>
      </w:tabs>
    </w:pPr>
    <w:rPr>
      <w:rFonts w:cs="CGOmega-Regular"/>
    </w:rPr>
  </w:style>
  <w:style w:type="paragraph" w:customStyle="1" w:styleId="Paragrapgh">
    <w:name w:val="Paragrapgh"/>
    <w:basedOn w:val="Normal"/>
    <w:qFormat/>
    <w:rsid w:val="009E2AF0"/>
    <w:pPr>
      <w:numPr>
        <w:ilvl w:val="1"/>
        <w:numId w:val="4"/>
      </w:numPr>
      <w:spacing w:before="360" w:after="360"/>
    </w:pPr>
    <w:rPr>
      <w:szCs w:val="20"/>
    </w:rPr>
  </w:style>
  <w:style w:type="character" w:styleId="FootnoteReference">
    <w:name w:val="footnote reference"/>
    <w:basedOn w:val="DefaultParagraphFont"/>
    <w:uiPriority w:val="99"/>
    <w:semiHidden/>
    <w:locked/>
    <w:rsid w:val="009E2AF0"/>
    <w:rPr>
      <w:rFonts w:ascii="Verdana" w:hAnsi="Verdana"/>
      <w:vertAlign w:val="superscript"/>
    </w:rPr>
  </w:style>
  <w:style w:type="paragraph" w:customStyle="1" w:styleId="FootnoteText1">
    <w:name w:val="Footnote Text1"/>
    <w:rsid w:val="009E2AF0"/>
    <w:rPr>
      <w:rFonts w:ascii="Verdana" w:hAnsi="Verdana"/>
      <w:sz w:val="18"/>
      <w:szCs w:val="16"/>
      <w:lang w:eastAsia="en-US"/>
    </w:rPr>
  </w:style>
  <w:style w:type="paragraph" w:customStyle="1" w:styleId="Text-LeftAilgned">
    <w:name w:val="Text - Left Ailgned"/>
    <w:basedOn w:val="Normal"/>
    <w:link w:val="Text-LeftAilgnedChar"/>
    <w:rsid w:val="009E2AF0"/>
    <w:pPr>
      <w:tabs>
        <w:tab w:val="left" w:pos="2581"/>
      </w:tabs>
    </w:pPr>
  </w:style>
  <w:style w:type="character" w:customStyle="1" w:styleId="Text-LeftAilgnedChar">
    <w:name w:val="Text - Left Ailgned Char"/>
    <w:basedOn w:val="DefaultParagraphFont"/>
    <w:link w:val="Text-LeftAilgned"/>
    <w:rsid w:val="009E2AF0"/>
    <w:rPr>
      <w:rFonts w:ascii="Verdana" w:hAnsi="Verdana"/>
      <w:szCs w:val="24"/>
      <w:lang w:eastAsia="en-US"/>
    </w:rPr>
  </w:style>
  <w:style w:type="paragraph" w:customStyle="1" w:styleId="Text-RightAligned">
    <w:name w:val="Text - Right Aligned"/>
    <w:basedOn w:val="Normal"/>
    <w:rsid w:val="009E2AF0"/>
    <w:pPr>
      <w:tabs>
        <w:tab w:val="left" w:pos="2581"/>
      </w:tabs>
      <w:jc w:val="right"/>
    </w:pPr>
  </w:style>
  <w:style w:type="paragraph" w:customStyle="1" w:styleId="Text-Romannumbered">
    <w:name w:val="Text - Roman numbered"/>
    <w:basedOn w:val="Text-bulleted"/>
    <w:rsid w:val="009E2AF0"/>
    <w:pPr>
      <w:numPr>
        <w:numId w:val="3"/>
      </w:numPr>
    </w:pPr>
  </w:style>
  <w:style w:type="paragraph" w:customStyle="1" w:styleId="Textbox-BulletedBold">
    <w:name w:val="Text box - Bulleted Bold"/>
    <w:basedOn w:val="Textbox-Bullted"/>
    <w:link w:val="Textbox-BulletedBoldChar"/>
    <w:rsid w:val="009E2AF0"/>
    <w:rPr>
      <w:b/>
      <w:bCs/>
    </w:rPr>
  </w:style>
  <w:style w:type="character" w:customStyle="1" w:styleId="Textbox-BulletedBoldChar">
    <w:name w:val="Text box - Bulleted Bold Char"/>
    <w:basedOn w:val="Textbox-BulltedChar"/>
    <w:link w:val="Textbox-BulletedBold"/>
    <w:rsid w:val="009E2AF0"/>
    <w:rPr>
      <w:rFonts w:ascii="Verdana" w:hAnsi="Verdana"/>
      <w:b/>
      <w:bCs/>
      <w:shd w:val="clear" w:color="auto" w:fill="EFF9FF"/>
      <w:lang w:eastAsia="en-US"/>
    </w:rPr>
  </w:style>
  <w:style w:type="paragraph" w:customStyle="1" w:styleId="Textbox">
    <w:name w:val="Text box"/>
    <w:basedOn w:val="Normal"/>
    <w:rsid w:val="009E2AF0"/>
    <w:pPr>
      <w:shd w:val="clear" w:color="auto" w:fill="EFF9FF"/>
    </w:pPr>
  </w:style>
  <w:style w:type="paragraph" w:customStyle="1" w:styleId="Text-bulleted-Bold">
    <w:name w:val="Text - bulleted - Bold"/>
    <w:basedOn w:val="Text-bulleted"/>
    <w:rsid w:val="009E2AF0"/>
    <w:rPr>
      <w:b/>
      <w:bCs/>
    </w:rPr>
  </w:style>
  <w:style w:type="paragraph" w:customStyle="1" w:styleId="ParagrapghBold">
    <w:name w:val="Paragrapgh + Bold"/>
    <w:basedOn w:val="Paragrapgh"/>
    <w:qFormat/>
    <w:rsid w:val="009E2AF0"/>
    <w:pPr>
      <w:spacing w:before="120"/>
    </w:pPr>
    <w:rPr>
      <w:b/>
      <w:bCs/>
    </w:rPr>
  </w:style>
  <w:style w:type="paragraph" w:customStyle="1" w:styleId="StyleTableText-RightAligned">
    <w:name w:val="Style Table_Text - Right Aligned"/>
    <w:basedOn w:val="TableText-LeftAligned"/>
    <w:rsid w:val="009E2AF0"/>
    <w:pPr>
      <w:jc w:val="right"/>
    </w:pPr>
    <w:rPr>
      <w:szCs w:val="20"/>
    </w:rPr>
  </w:style>
  <w:style w:type="paragraph" w:customStyle="1" w:styleId="TableText-Centered">
    <w:name w:val="Table_Text - Centered"/>
    <w:basedOn w:val="TableText-LeftAligned"/>
    <w:rsid w:val="009E2AF0"/>
    <w:pPr>
      <w:jc w:val="center"/>
    </w:pPr>
    <w:rPr>
      <w:szCs w:val="20"/>
    </w:rPr>
  </w:style>
  <w:style w:type="character" w:styleId="PageNumber">
    <w:name w:val="page number"/>
    <w:basedOn w:val="DefaultParagraphFont"/>
    <w:uiPriority w:val="99"/>
    <w:rsid w:val="009E2AF0"/>
    <w:rPr>
      <w:rFonts w:ascii="Verdana" w:hAnsi="Verdana"/>
      <w:sz w:val="16"/>
    </w:rPr>
  </w:style>
  <w:style w:type="paragraph" w:customStyle="1" w:styleId="Text-Centered">
    <w:name w:val="Text - Centered"/>
    <w:basedOn w:val="TableText-LeftAligned"/>
    <w:rsid w:val="009E2AF0"/>
    <w:pPr>
      <w:jc w:val="center"/>
    </w:pPr>
    <w:rPr>
      <w:szCs w:val="20"/>
    </w:rPr>
  </w:style>
  <w:style w:type="paragraph" w:customStyle="1" w:styleId="TableText-Centered0">
    <w:name w:val="Table Text - Centered"/>
    <w:basedOn w:val="TableText-LeftAligned"/>
    <w:rsid w:val="009E2AF0"/>
    <w:pPr>
      <w:jc w:val="center"/>
    </w:pPr>
    <w:rPr>
      <w:szCs w:val="20"/>
    </w:rPr>
  </w:style>
  <w:style w:type="character" w:customStyle="1" w:styleId="Text-Italicsbold">
    <w:name w:val="Text - Italics + bold"/>
    <w:basedOn w:val="DefaultParagraphFont"/>
    <w:rsid w:val="009E2AF0"/>
    <w:rPr>
      <w:rFonts w:ascii="Verdana" w:hAnsi="Verdana"/>
      <w:b/>
      <w:i/>
      <w:sz w:val="20"/>
    </w:rPr>
  </w:style>
  <w:style w:type="paragraph" w:customStyle="1" w:styleId="Appendixtext-Numbered">
    <w:name w:val="Appendix text - Numbered"/>
    <w:basedOn w:val="Normal"/>
    <w:link w:val="Appendixtext-NumberedChar"/>
    <w:qFormat/>
    <w:rsid w:val="009E2AF0"/>
    <w:pPr>
      <w:numPr>
        <w:ilvl w:val="1"/>
        <w:numId w:val="8"/>
      </w:numPr>
      <w:spacing w:before="120" w:after="360"/>
    </w:pPr>
  </w:style>
  <w:style w:type="character" w:customStyle="1" w:styleId="Appendixtext-NumberedChar">
    <w:name w:val="Appendix text - Numbered Char"/>
    <w:basedOn w:val="DefaultParagraphFont"/>
    <w:link w:val="Appendixtext-Numbered"/>
    <w:rsid w:val="009E2AF0"/>
    <w:rPr>
      <w:rFonts w:ascii="Verdana" w:hAnsi="Verdana"/>
      <w:szCs w:val="24"/>
      <w:lang w:eastAsia="en-US"/>
    </w:rPr>
  </w:style>
  <w:style w:type="paragraph" w:customStyle="1" w:styleId="TopSectionHeadings">
    <w:name w:val="Top Section Headings"/>
    <w:basedOn w:val="Normal"/>
    <w:link w:val="TopSectionHeadingsChar"/>
    <w:rsid w:val="009E2AF0"/>
    <w:pPr>
      <w:pBdr>
        <w:bottom w:val="single" w:sz="4" w:space="1" w:color="000000" w:themeColor="text1"/>
      </w:pBdr>
    </w:pPr>
    <w:rPr>
      <w:sz w:val="28"/>
    </w:rPr>
  </w:style>
  <w:style w:type="character" w:customStyle="1" w:styleId="TopSectionHeadingsChar">
    <w:name w:val="Top Section Headings Char"/>
    <w:basedOn w:val="DefaultParagraphFont"/>
    <w:link w:val="TopSectionHeadings"/>
    <w:rsid w:val="009E2AF0"/>
    <w:rPr>
      <w:rFonts w:ascii="Verdana" w:hAnsi="Verdana"/>
      <w:sz w:val="28"/>
      <w:szCs w:val="24"/>
      <w:lang w:eastAsia="en-US"/>
    </w:rPr>
  </w:style>
  <w:style w:type="paragraph" w:customStyle="1" w:styleId="ParagrapghItalic">
    <w:name w:val="Paragrapgh + Italic"/>
    <w:basedOn w:val="Paragrapgh"/>
    <w:qFormat/>
    <w:rsid w:val="009E2AF0"/>
    <w:pPr>
      <w:spacing w:before="120"/>
    </w:pPr>
    <w:rPr>
      <w:i/>
      <w:iCs/>
    </w:rPr>
  </w:style>
  <w:style w:type="paragraph" w:customStyle="1" w:styleId="Frontcoverfooter-bold">
    <w:name w:val="Front cover footer - bold"/>
    <w:basedOn w:val="Normal"/>
    <w:rsid w:val="009E2AF0"/>
    <w:pPr>
      <w:jc w:val="right"/>
    </w:pPr>
    <w:rPr>
      <w:b/>
      <w:color w:val="FFFFFF"/>
      <w:spacing w:val="6"/>
      <w:position w:val="10"/>
      <w:szCs w:val="20"/>
    </w:rPr>
  </w:style>
  <w:style w:type="paragraph" w:customStyle="1" w:styleId="Text-LowerCaseLetter">
    <w:name w:val="Text - Lower Case Letter"/>
    <w:basedOn w:val="Normal"/>
    <w:rsid w:val="009E2AF0"/>
    <w:pPr>
      <w:numPr>
        <w:numId w:val="5"/>
      </w:numPr>
      <w:tabs>
        <w:tab w:val="left" w:pos="2581"/>
      </w:tabs>
    </w:pPr>
  </w:style>
  <w:style w:type="paragraph" w:customStyle="1" w:styleId="Frontcoverpunchline">
    <w:name w:val="Front cover punchline"/>
    <w:basedOn w:val="Normal"/>
    <w:rsid w:val="009E2AF0"/>
    <w:pPr>
      <w:jc w:val="right"/>
    </w:pPr>
    <w:rPr>
      <w:color w:val="FFFFFF"/>
      <w:spacing w:val="6"/>
      <w:position w:val="10"/>
      <w:szCs w:val="20"/>
    </w:rPr>
  </w:style>
  <w:style w:type="paragraph" w:customStyle="1" w:styleId="ParagrapghUnderline">
    <w:name w:val="Paragrapgh + Underline"/>
    <w:basedOn w:val="Paragrapgh"/>
    <w:rsid w:val="009E2AF0"/>
    <w:pPr>
      <w:spacing w:before="120"/>
    </w:pPr>
    <w:rPr>
      <w:u w:val="single"/>
    </w:rPr>
  </w:style>
  <w:style w:type="paragraph" w:styleId="CommentSubject">
    <w:name w:val="annotation subject"/>
    <w:basedOn w:val="CommentText"/>
    <w:next w:val="CommentText"/>
    <w:link w:val="CommentSubjectChar"/>
    <w:uiPriority w:val="99"/>
    <w:semiHidden/>
    <w:locked/>
    <w:rsid w:val="009E2AF0"/>
    <w:rPr>
      <w:b/>
      <w:bCs/>
    </w:rPr>
  </w:style>
  <w:style w:type="paragraph" w:styleId="DocumentMap">
    <w:name w:val="Document Map"/>
    <w:basedOn w:val="Normal"/>
    <w:link w:val="DocumentMapChar"/>
    <w:uiPriority w:val="99"/>
    <w:semiHidden/>
    <w:locked/>
    <w:rsid w:val="009E2AF0"/>
    <w:pPr>
      <w:shd w:val="clear" w:color="auto" w:fill="000080"/>
    </w:pPr>
    <w:rPr>
      <w:rFonts w:ascii="Tahoma" w:hAnsi="Tahoma" w:cs="Tahoma"/>
      <w:szCs w:val="20"/>
    </w:rPr>
  </w:style>
  <w:style w:type="paragraph" w:styleId="EndnoteText">
    <w:name w:val="endnote text"/>
    <w:basedOn w:val="Normal"/>
    <w:link w:val="EndnoteTextChar"/>
    <w:uiPriority w:val="99"/>
    <w:semiHidden/>
    <w:locked/>
    <w:rsid w:val="009E2AF0"/>
    <w:rPr>
      <w:szCs w:val="20"/>
    </w:rPr>
  </w:style>
  <w:style w:type="paragraph" w:styleId="Index1">
    <w:name w:val="index 1"/>
    <w:basedOn w:val="Normal"/>
    <w:next w:val="Normal"/>
    <w:uiPriority w:val="99"/>
    <w:semiHidden/>
    <w:locked/>
    <w:rsid w:val="009E2AF0"/>
    <w:pPr>
      <w:ind w:left="200" w:hanging="200"/>
    </w:pPr>
  </w:style>
  <w:style w:type="paragraph" w:styleId="Index2">
    <w:name w:val="index 2"/>
    <w:basedOn w:val="Normal"/>
    <w:next w:val="Normal"/>
    <w:uiPriority w:val="99"/>
    <w:semiHidden/>
    <w:locked/>
    <w:rsid w:val="009E2AF0"/>
    <w:pPr>
      <w:ind w:left="400" w:hanging="200"/>
    </w:pPr>
  </w:style>
  <w:style w:type="paragraph" w:styleId="Index3">
    <w:name w:val="index 3"/>
    <w:basedOn w:val="Normal"/>
    <w:next w:val="Normal"/>
    <w:uiPriority w:val="99"/>
    <w:semiHidden/>
    <w:locked/>
    <w:rsid w:val="009E2AF0"/>
    <w:pPr>
      <w:ind w:left="600" w:hanging="200"/>
    </w:pPr>
  </w:style>
  <w:style w:type="paragraph" w:styleId="Index4">
    <w:name w:val="index 4"/>
    <w:basedOn w:val="Normal"/>
    <w:next w:val="Normal"/>
    <w:uiPriority w:val="99"/>
    <w:semiHidden/>
    <w:locked/>
    <w:rsid w:val="009E2AF0"/>
    <w:pPr>
      <w:ind w:left="800" w:hanging="200"/>
    </w:pPr>
  </w:style>
  <w:style w:type="paragraph" w:styleId="Index5">
    <w:name w:val="index 5"/>
    <w:basedOn w:val="Normal"/>
    <w:next w:val="Normal"/>
    <w:uiPriority w:val="99"/>
    <w:semiHidden/>
    <w:locked/>
    <w:rsid w:val="009E2AF0"/>
    <w:pPr>
      <w:ind w:left="1000" w:hanging="200"/>
    </w:pPr>
  </w:style>
  <w:style w:type="paragraph" w:styleId="Index6">
    <w:name w:val="index 6"/>
    <w:basedOn w:val="Normal"/>
    <w:next w:val="Normal"/>
    <w:uiPriority w:val="99"/>
    <w:semiHidden/>
    <w:locked/>
    <w:rsid w:val="009E2AF0"/>
    <w:pPr>
      <w:ind w:left="1200" w:hanging="200"/>
    </w:pPr>
  </w:style>
  <w:style w:type="paragraph" w:styleId="Index7">
    <w:name w:val="index 7"/>
    <w:basedOn w:val="Normal"/>
    <w:next w:val="Normal"/>
    <w:uiPriority w:val="99"/>
    <w:semiHidden/>
    <w:locked/>
    <w:rsid w:val="009E2AF0"/>
    <w:pPr>
      <w:ind w:left="1400" w:hanging="200"/>
    </w:pPr>
  </w:style>
  <w:style w:type="paragraph" w:styleId="Index8">
    <w:name w:val="index 8"/>
    <w:basedOn w:val="Normal"/>
    <w:next w:val="Normal"/>
    <w:uiPriority w:val="99"/>
    <w:semiHidden/>
    <w:locked/>
    <w:rsid w:val="009E2AF0"/>
    <w:pPr>
      <w:ind w:left="1600" w:hanging="200"/>
    </w:pPr>
  </w:style>
  <w:style w:type="paragraph" w:styleId="Index9">
    <w:name w:val="index 9"/>
    <w:basedOn w:val="Normal"/>
    <w:next w:val="Normal"/>
    <w:uiPriority w:val="99"/>
    <w:semiHidden/>
    <w:locked/>
    <w:rsid w:val="009E2AF0"/>
    <w:pPr>
      <w:ind w:left="1800" w:hanging="200"/>
    </w:pPr>
  </w:style>
  <w:style w:type="paragraph" w:styleId="IndexHeading">
    <w:name w:val="index heading"/>
    <w:basedOn w:val="Normal"/>
    <w:next w:val="Index1"/>
    <w:uiPriority w:val="99"/>
    <w:semiHidden/>
    <w:locked/>
    <w:rsid w:val="009E2AF0"/>
    <w:rPr>
      <w:rFonts w:ascii="Arial" w:hAnsi="Arial" w:cs="Arial"/>
      <w:b/>
      <w:bCs/>
    </w:rPr>
  </w:style>
  <w:style w:type="paragraph" w:styleId="MacroText">
    <w:name w:val="macro"/>
    <w:link w:val="MacroTextChar"/>
    <w:uiPriority w:val="99"/>
    <w:semiHidden/>
    <w:locked/>
    <w:rsid w:val="009E2AF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TableofAuthorities">
    <w:name w:val="table of authorities"/>
    <w:basedOn w:val="Normal"/>
    <w:next w:val="Normal"/>
    <w:uiPriority w:val="99"/>
    <w:semiHidden/>
    <w:locked/>
    <w:rsid w:val="009E2AF0"/>
    <w:pPr>
      <w:ind w:left="200" w:hanging="200"/>
    </w:pPr>
  </w:style>
  <w:style w:type="paragraph" w:styleId="TableofFigures">
    <w:name w:val="table of figures"/>
    <w:basedOn w:val="Normal"/>
    <w:next w:val="Normal"/>
    <w:uiPriority w:val="99"/>
    <w:semiHidden/>
    <w:locked/>
    <w:rsid w:val="009E2AF0"/>
  </w:style>
  <w:style w:type="paragraph" w:styleId="TOAHeading">
    <w:name w:val="toa heading"/>
    <w:basedOn w:val="Normal"/>
    <w:next w:val="Normal"/>
    <w:uiPriority w:val="99"/>
    <w:semiHidden/>
    <w:rsid w:val="009E2AF0"/>
    <w:pPr>
      <w:spacing w:before="120"/>
    </w:pPr>
    <w:rPr>
      <w:rFonts w:ascii="Arial" w:hAnsi="Arial" w:cs="Arial"/>
      <w:b/>
      <w:bCs/>
      <w:sz w:val="24"/>
    </w:rPr>
  </w:style>
  <w:style w:type="paragraph" w:styleId="TOC4">
    <w:name w:val="toc 4"/>
    <w:basedOn w:val="Normal"/>
    <w:next w:val="Normal"/>
    <w:uiPriority w:val="39"/>
    <w:rsid w:val="009E2AF0"/>
    <w:pPr>
      <w:ind w:left="600"/>
    </w:pPr>
  </w:style>
  <w:style w:type="paragraph" w:styleId="TOC5">
    <w:name w:val="toc 5"/>
    <w:basedOn w:val="Normal"/>
    <w:next w:val="Normal"/>
    <w:uiPriority w:val="39"/>
    <w:rsid w:val="009E2AF0"/>
    <w:pPr>
      <w:ind w:left="800"/>
    </w:pPr>
  </w:style>
  <w:style w:type="paragraph" w:styleId="TOC6">
    <w:name w:val="toc 6"/>
    <w:basedOn w:val="Normal"/>
    <w:next w:val="Normal"/>
    <w:uiPriority w:val="39"/>
    <w:rsid w:val="009E2AF0"/>
    <w:pPr>
      <w:ind w:left="1000"/>
    </w:pPr>
  </w:style>
  <w:style w:type="paragraph" w:styleId="TOC7">
    <w:name w:val="toc 7"/>
    <w:basedOn w:val="Normal"/>
    <w:next w:val="Normal"/>
    <w:uiPriority w:val="39"/>
    <w:rsid w:val="009E2AF0"/>
    <w:pPr>
      <w:ind w:left="1200"/>
    </w:pPr>
  </w:style>
  <w:style w:type="paragraph" w:styleId="TOC8">
    <w:name w:val="toc 8"/>
    <w:basedOn w:val="Normal"/>
    <w:next w:val="Normal"/>
    <w:uiPriority w:val="39"/>
    <w:rsid w:val="009E2AF0"/>
    <w:pPr>
      <w:ind w:left="1400"/>
    </w:pPr>
  </w:style>
  <w:style w:type="paragraph" w:styleId="TOC9">
    <w:name w:val="toc 9"/>
    <w:basedOn w:val="Normal"/>
    <w:next w:val="Normal"/>
    <w:uiPriority w:val="39"/>
    <w:rsid w:val="009E2AF0"/>
    <w:pPr>
      <w:ind w:left="1600"/>
    </w:pPr>
  </w:style>
  <w:style w:type="table" w:styleId="TableGrid">
    <w:name w:val="Table Grid"/>
    <w:basedOn w:val="TableNormal"/>
    <w:uiPriority w:val="39"/>
    <w:locked/>
    <w:rsid w:val="009E2A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Style17ptBold">
    <w:name w:val="oStyle 17 pt Bold"/>
    <w:basedOn w:val="DefaultParagraphFont"/>
    <w:rsid w:val="009E2AF0"/>
    <w:rPr>
      <w:b/>
      <w:bCs/>
      <w:sz w:val="34"/>
    </w:rPr>
  </w:style>
  <w:style w:type="paragraph" w:customStyle="1" w:styleId="oStyle21ptAfter10pt">
    <w:name w:val="oStyle 21 pt After:  10 pt"/>
    <w:basedOn w:val="Normal"/>
    <w:rsid w:val="009E2AF0"/>
    <w:pPr>
      <w:spacing w:after="200"/>
    </w:pPr>
    <w:rPr>
      <w:sz w:val="42"/>
      <w:szCs w:val="20"/>
    </w:rPr>
  </w:style>
  <w:style w:type="character" w:customStyle="1" w:styleId="oStyle4pt">
    <w:name w:val="oStyle 4 pt"/>
    <w:basedOn w:val="DefaultParagraphFont"/>
    <w:rsid w:val="009E2AF0"/>
    <w:rPr>
      <w:sz w:val="8"/>
    </w:rPr>
  </w:style>
  <w:style w:type="character" w:customStyle="1" w:styleId="oStyle6pt">
    <w:name w:val="oStyle 6 pt"/>
    <w:basedOn w:val="DefaultParagraphFont"/>
    <w:rsid w:val="009E2AF0"/>
    <w:rPr>
      <w:sz w:val="12"/>
    </w:rPr>
  </w:style>
  <w:style w:type="paragraph" w:customStyle="1" w:styleId="SameasHeading1butlike2inTableofContents">
    <w:name w:val="Same as Heading 1 but like 2 in Table of Contents"/>
    <w:basedOn w:val="Heading1"/>
    <w:next w:val="Normal"/>
    <w:rsid w:val="009E2AF0"/>
  </w:style>
  <w:style w:type="paragraph" w:customStyle="1" w:styleId="StyleTextbox-BulltedTopNoborderBottomNoborderL">
    <w:name w:val="Style Text box - Bullted + Top: (No border) Bottom: (No border) L..."/>
    <w:basedOn w:val="Textbox-Bullted"/>
    <w:rsid w:val="009E2AF0"/>
    <w:pPr>
      <w:shd w:val="clear" w:color="auto" w:fill="EEECE1"/>
    </w:pPr>
  </w:style>
  <w:style w:type="paragraph" w:customStyle="1" w:styleId="Textbox-BulletedBoldGrey">
    <w:name w:val="Text box - Bulleted Bold Grey"/>
    <w:basedOn w:val="Textbox-Bullted"/>
    <w:link w:val="Textbox-BulletedBoldGreyChar"/>
    <w:rsid w:val="009E2AF0"/>
    <w:pPr>
      <w:shd w:val="clear" w:color="auto" w:fill="EEECE1"/>
      <w:ind w:left="357" w:hanging="357"/>
    </w:pPr>
    <w:rPr>
      <w:b/>
    </w:rPr>
  </w:style>
  <w:style w:type="character" w:customStyle="1" w:styleId="Textbox-BulletedBoldGreyChar">
    <w:name w:val="Text box - Bulleted Bold Grey Char"/>
    <w:basedOn w:val="Textbox-BulltedChar"/>
    <w:link w:val="Textbox-BulletedBoldGrey"/>
    <w:rsid w:val="009E2AF0"/>
    <w:rPr>
      <w:rFonts w:ascii="Verdana" w:hAnsi="Verdana"/>
      <w:b/>
      <w:shd w:val="clear" w:color="auto" w:fill="EEECE1"/>
      <w:lang w:eastAsia="en-US"/>
    </w:rPr>
  </w:style>
  <w:style w:type="paragraph" w:styleId="ListParagraph">
    <w:name w:val="List Paragraph"/>
    <w:basedOn w:val="Normal"/>
    <w:uiPriority w:val="34"/>
    <w:qFormat/>
    <w:locked/>
    <w:rsid w:val="00A50A99"/>
    <w:pPr>
      <w:ind w:left="720"/>
      <w:contextualSpacing/>
    </w:pPr>
  </w:style>
  <w:style w:type="paragraph" w:styleId="ListBullet">
    <w:name w:val="List Bullet"/>
    <w:basedOn w:val="BodyTextNormal"/>
    <w:autoRedefine/>
    <w:uiPriority w:val="99"/>
    <w:qFormat/>
    <w:rsid w:val="00176198"/>
    <w:pPr>
      <w:numPr>
        <w:numId w:val="10"/>
      </w:numPr>
      <w:spacing w:after="120"/>
    </w:pPr>
  </w:style>
  <w:style w:type="paragraph" w:styleId="ListBullet2">
    <w:name w:val="List Bullet 2"/>
    <w:basedOn w:val="BodyTextNormal"/>
    <w:uiPriority w:val="99"/>
    <w:qFormat/>
    <w:rsid w:val="006A045E"/>
    <w:pPr>
      <w:numPr>
        <w:ilvl w:val="1"/>
        <w:numId w:val="10"/>
      </w:numPr>
      <w:spacing w:after="120"/>
    </w:pPr>
    <w:rPr>
      <w:szCs w:val="22"/>
    </w:rPr>
  </w:style>
  <w:style w:type="paragraph" w:styleId="ListBullet3">
    <w:name w:val="List Bullet 3"/>
    <w:basedOn w:val="BodyTextNormal"/>
    <w:uiPriority w:val="99"/>
    <w:qFormat/>
    <w:rsid w:val="006A045E"/>
    <w:pPr>
      <w:numPr>
        <w:ilvl w:val="2"/>
        <w:numId w:val="10"/>
      </w:numPr>
      <w:spacing w:after="120"/>
    </w:pPr>
  </w:style>
  <w:style w:type="paragraph" w:styleId="ListBullet4">
    <w:name w:val="List Bullet 4"/>
    <w:basedOn w:val="BodyTextNormal"/>
    <w:uiPriority w:val="99"/>
    <w:qFormat/>
    <w:rsid w:val="006A045E"/>
    <w:pPr>
      <w:numPr>
        <w:ilvl w:val="3"/>
        <w:numId w:val="10"/>
      </w:numPr>
    </w:pPr>
  </w:style>
  <w:style w:type="paragraph" w:styleId="ListBullet5">
    <w:name w:val="List Bullet 5"/>
    <w:basedOn w:val="BodyTextNormal"/>
    <w:uiPriority w:val="99"/>
    <w:qFormat/>
    <w:rsid w:val="006A045E"/>
    <w:pPr>
      <w:numPr>
        <w:ilvl w:val="4"/>
        <w:numId w:val="10"/>
      </w:numPr>
    </w:pPr>
  </w:style>
  <w:style w:type="paragraph" w:customStyle="1" w:styleId="BodyTextNormal">
    <w:name w:val="Body Text – Normal"/>
    <w:basedOn w:val="Normal"/>
    <w:link w:val="BodyTextNormalChar"/>
    <w:qFormat/>
    <w:rsid w:val="005B02CC"/>
    <w:pPr>
      <w:spacing w:before="120" w:after="240"/>
    </w:pPr>
    <w:rPr>
      <w:rFonts w:eastAsiaTheme="minorEastAsia"/>
    </w:rPr>
  </w:style>
  <w:style w:type="paragraph" w:styleId="ListNumber4">
    <w:name w:val="List Number 4"/>
    <w:basedOn w:val="Normal"/>
    <w:uiPriority w:val="99"/>
    <w:semiHidden/>
    <w:rsid w:val="006A045E"/>
    <w:pPr>
      <w:tabs>
        <w:tab w:val="num" w:pos="1209"/>
      </w:tabs>
      <w:spacing w:before="120" w:after="240"/>
      <w:ind w:left="1209" w:hanging="360"/>
      <w:contextualSpacing/>
    </w:pPr>
    <w:rPr>
      <w:rFonts w:ascii="Arial" w:eastAsiaTheme="minorEastAsia" w:hAnsi="Arial"/>
      <w:sz w:val="22"/>
    </w:rPr>
  </w:style>
  <w:style w:type="character" w:customStyle="1" w:styleId="BodyTextNormalChar">
    <w:name w:val="Body Text – Normal Char"/>
    <w:basedOn w:val="DefaultParagraphFont"/>
    <w:link w:val="BodyTextNormal"/>
    <w:rsid w:val="00121EAF"/>
    <w:rPr>
      <w:rFonts w:ascii="Verdana" w:eastAsiaTheme="minorEastAsia" w:hAnsi="Verdana"/>
      <w:szCs w:val="24"/>
      <w:lang w:eastAsia="en-US"/>
    </w:rPr>
  </w:style>
  <w:style w:type="paragraph" w:customStyle="1" w:styleId="TableHeadings">
    <w:name w:val="Table Headings"/>
    <w:basedOn w:val="Normal"/>
    <w:qFormat/>
    <w:rsid w:val="005B02CC"/>
    <w:pPr>
      <w:widowControl w:val="0"/>
      <w:spacing w:before="120" w:after="120"/>
    </w:pPr>
    <w:rPr>
      <w:rFonts w:ascii="Arial Bold" w:hAnsi="Arial Bold"/>
      <w:b/>
      <w:bCs/>
      <w:smallCaps/>
      <w:color w:val="FFFFFF" w:themeColor="background1"/>
      <w:sz w:val="22"/>
    </w:rPr>
  </w:style>
  <w:style w:type="paragraph" w:customStyle="1" w:styleId="TableText-Left">
    <w:name w:val="Table Text - Left"/>
    <w:basedOn w:val="BodyTextNormal"/>
    <w:link w:val="TableText-LeftChar"/>
    <w:qFormat/>
    <w:rsid w:val="005B02CC"/>
    <w:pPr>
      <w:spacing w:before="60" w:after="60"/>
    </w:pPr>
    <w:rPr>
      <w:rFonts w:eastAsia="Times New Roman"/>
      <w:sz w:val="18"/>
    </w:rPr>
  </w:style>
  <w:style w:type="character" w:customStyle="1" w:styleId="TableText-LeftChar">
    <w:name w:val="Table Text - Left Char"/>
    <w:basedOn w:val="DefaultParagraphFont"/>
    <w:link w:val="TableText-Left"/>
    <w:rsid w:val="005B02CC"/>
    <w:rPr>
      <w:rFonts w:ascii="Verdana" w:hAnsi="Verdana"/>
      <w:sz w:val="18"/>
      <w:szCs w:val="24"/>
      <w:lang w:eastAsia="en-US"/>
    </w:rPr>
  </w:style>
  <w:style w:type="paragraph" w:styleId="ListNumber">
    <w:name w:val="List Number"/>
    <w:basedOn w:val="BodyTextNormal"/>
    <w:uiPriority w:val="99"/>
    <w:qFormat/>
    <w:rsid w:val="005B1E45"/>
    <w:pPr>
      <w:numPr>
        <w:numId w:val="12"/>
      </w:numPr>
      <w:tabs>
        <w:tab w:val="clear" w:pos="510"/>
      </w:tabs>
      <w:spacing w:after="120"/>
      <w:ind w:left="567" w:hanging="567"/>
    </w:pPr>
  </w:style>
  <w:style w:type="paragraph" w:styleId="ListNumber2">
    <w:name w:val="List Number 2"/>
    <w:basedOn w:val="BodyTextNormal"/>
    <w:uiPriority w:val="99"/>
    <w:qFormat/>
    <w:rsid w:val="005B1E45"/>
    <w:pPr>
      <w:numPr>
        <w:ilvl w:val="1"/>
        <w:numId w:val="12"/>
      </w:numPr>
      <w:spacing w:after="120"/>
      <w:ind w:left="1531" w:hanging="851"/>
    </w:pPr>
  </w:style>
  <w:style w:type="paragraph" w:styleId="ListNumber3">
    <w:name w:val="List Number 3"/>
    <w:basedOn w:val="BodyTextNormal"/>
    <w:uiPriority w:val="99"/>
    <w:qFormat/>
    <w:rsid w:val="005B02CC"/>
    <w:pPr>
      <w:numPr>
        <w:ilvl w:val="2"/>
        <w:numId w:val="12"/>
      </w:numPr>
    </w:pPr>
    <w:rPr>
      <w:rFonts w:ascii="Arial" w:hAnsi="Arial"/>
      <w:sz w:val="22"/>
    </w:rPr>
  </w:style>
  <w:style w:type="paragraph" w:customStyle="1" w:styleId="ParagraphNumbering">
    <w:name w:val="Paragraph Numbering"/>
    <w:basedOn w:val="BodyTextNormal"/>
    <w:qFormat/>
    <w:rsid w:val="005B02CC"/>
    <w:pPr>
      <w:numPr>
        <w:numId w:val="11"/>
      </w:numPr>
      <w:tabs>
        <w:tab w:val="left" w:pos="-1134"/>
      </w:tabs>
    </w:pPr>
    <w:rPr>
      <w:rFonts w:ascii="Arial" w:hAnsi="Arial"/>
      <w:sz w:val="22"/>
    </w:rPr>
  </w:style>
  <w:style w:type="table" w:customStyle="1" w:styleId="TableTemplate2">
    <w:name w:val="Table Template 2"/>
    <w:basedOn w:val="TableNormal"/>
    <w:uiPriority w:val="99"/>
    <w:rsid w:val="005B02CC"/>
    <w:pPr>
      <w:spacing w:before="60" w:after="60"/>
    </w:pPr>
    <w:rPr>
      <w:rFonts w:ascii="Arial" w:eastAsiaTheme="minorEastAsia" w:hAnsi="Arial"/>
      <w:sz w:val="22"/>
      <w:szCs w:val="24"/>
      <w:lang w:val="en-US" w:eastAsia="ja-JP"/>
    </w:rPr>
    <w:tblPr>
      <w:tblStyleRowBandSize w:val="1"/>
      <w:tblBorders>
        <w:insideH w:val="single" w:sz="4" w:space="0" w:color="EEECE1" w:themeColor="background2"/>
        <w:insideV w:val="single" w:sz="4" w:space="0" w:color="EEECE1" w:themeColor="background2"/>
      </w:tblBorders>
    </w:tblPr>
    <w:tcPr>
      <w:vAlign w:val="center"/>
    </w:tcPr>
    <w:tblStylePr w:type="firstRow">
      <w:pPr>
        <w:keepNext w:val="0"/>
        <w:keepLines w:val="0"/>
        <w:pageBreakBefore w:val="0"/>
        <w:widowControl w:val="0"/>
        <w:suppressLineNumbers w:val="0"/>
        <w:suppressAutoHyphens w:val="0"/>
        <w:wordWrap/>
        <w:spacing w:beforeLines="0" w:before="120" w:beforeAutospacing="0" w:afterLines="0" w:after="120" w:afterAutospacing="0" w:line="240" w:lineRule="auto"/>
        <w:contextualSpacing w:val="0"/>
        <w:jc w:val="left"/>
      </w:pPr>
      <w:rPr>
        <w:rFonts w:ascii="Tahoma" w:hAnsi="Tahoma"/>
        <w:b/>
        <w:color w:val="FFFFFF" w:themeColor="background1"/>
        <w:sz w:val="22"/>
      </w:rPr>
      <w:tblPr/>
      <w:trPr>
        <w:tblHeader/>
      </w:trPr>
      <w:tcPr>
        <w:tcBorders>
          <w:bottom w:val="single" w:sz="18" w:space="0" w:color="EEECE1" w:themeColor="background2"/>
        </w:tcBorders>
        <w:shd w:val="clear" w:color="auto" w:fill="4F81BD" w:themeFill="accent1"/>
      </w:tcPr>
    </w:tblStylePr>
    <w:tblStylePr w:type="firstCol">
      <w:rPr>
        <w:rFonts w:asciiTheme="minorHAnsi" w:hAnsiTheme="minorHAnsi"/>
        <w:b/>
        <w:color w:val="4F81BD" w:themeColor="accent1"/>
        <w:sz w:val="22"/>
      </w:rPr>
    </w:tblStylePr>
    <w:tblStylePr w:type="band1Horz">
      <w:tblPr/>
      <w:tcPr>
        <w:shd w:val="clear" w:color="auto" w:fill="DBE5F1" w:themeFill="accent1" w:themeFillTint="33"/>
      </w:tcPr>
    </w:tblStylePr>
    <w:tblStylePr w:type="band2Horz">
      <w:tblPr/>
      <w:tcPr>
        <w:shd w:val="clear" w:color="auto" w:fill="BFBFBF" w:themeFill="text1" w:themeFillTint="40"/>
      </w:tcPr>
    </w:tblStylePr>
  </w:style>
  <w:style w:type="paragraph" w:styleId="Caption">
    <w:name w:val="caption"/>
    <w:basedOn w:val="BodyTextNormal"/>
    <w:next w:val="BodyTextNormal"/>
    <w:uiPriority w:val="35"/>
    <w:qFormat/>
    <w:rsid w:val="005B02CC"/>
    <w:pPr>
      <w:spacing w:before="240"/>
      <w:jc w:val="center"/>
    </w:pPr>
    <w:rPr>
      <w:rFonts w:ascii="Arial" w:eastAsia="Times New Roman" w:hAnsi="Arial"/>
      <w:b/>
      <w:bCs/>
      <w:sz w:val="18"/>
      <w:szCs w:val="20"/>
    </w:rPr>
  </w:style>
  <w:style w:type="character" w:customStyle="1" w:styleId="Heading1Char">
    <w:name w:val="Heading 1 Char"/>
    <w:aliases w:val="Section heading Char"/>
    <w:basedOn w:val="DefaultParagraphFont"/>
    <w:link w:val="Heading1"/>
    <w:uiPriority w:val="9"/>
    <w:rsid w:val="008A5C04"/>
    <w:rPr>
      <w:rFonts w:ascii="Verdana" w:hAnsi="Verdana"/>
      <w:color w:val="365F91" w:themeColor="accent1" w:themeShade="BF"/>
      <w:sz w:val="40"/>
      <w:szCs w:val="24"/>
      <w:lang w:eastAsia="en-US"/>
    </w:rPr>
  </w:style>
  <w:style w:type="character" w:customStyle="1" w:styleId="Heading2Char">
    <w:name w:val="Heading 2 Char"/>
    <w:aliases w:val="Main Heading - Colour Char"/>
    <w:basedOn w:val="DefaultParagraphFont"/>
    <w:link w:val="Heading2"/>
    <w:rsid w:val="008A5C04"/>
    <w:rPr>
      <w:rFonts w:ascii="Verdana" w:hAnsi="Verdana"/>
      <w:b/>
      <w:color w:val="365F91" w:themeColor="accent1" w:themeShade="BF"/>
      <w:sz w:val="24"/>
      <w:szCs w:val="24"/>
      <w:lang w:eastAsia="en-US"/>
    </w:rPr>
  </w:style>
  <w:style w:type="character" w:customStyle="1" w:styleId="Heading3Char">
    <w:name w:val="Heading 3 Char"/>
    <w:aliases w:val="Sub-heading 2 - Bold Char"/>
    <w:basedOn w:val="DefaultParagraphFont"/>
    <w:link w:val="Heading3"/>
    <w:rsid w:val="008A5C04"/>
    <w:rPr>
      <w:rFonts w:ascii="Verdana" w:hAnsi="Verdana"/>
      <w:b/>
      <w:szCs w:val="24"/>
      <w:lang w:eastAsia="en-US"/>
    </w:rPr>
  </w:style>
  <w:style w:type="character" w:customStyle="1" w:styleId="Heading4Char">
    <w:name w:val="Heading 4 Char"/>
    <w:aliases w:val="Sub-heading 2 - Italic Char"/>
    <w:basedOn w:val="DefaultParagraphFont"/>
    <w:link w:val="Heading4"/>
    <w:rsid w:val="008A5C04"/>
    <w:rPr>
      <w:rFonts w:ascii="Verdana" w:hAnsi="Verdana"/>
      <w:i/>
      <w:szCs w:val="24"/>
      <w:lang w:eastAsia="en-US"/>
    </w:rPr>
  </w:style>
  <w:style w:type="character" w:customStyle="1" w:styleId="Heading5Char">
    <w:name w:val="Heading 5 Char"/>
    <w:aliases w:val="Sub-heading 3 - Plain Char"/>
    <w:basedOn w:val="DefaultParagraphFont"/>
    <w:link w:val="Heading5"/>
    <w:rsid w:val="008A5C04"/>
    <w:rPr>
      <w:rFonts w:ascii="Verdana" w:hAnsi="Verdana"/>
      <w:szCs w:val="24"/>
      <w:lang w:eastAsia="en-US"/>
    </w:rPr>
  </w:style>
  <w:style w:type="character" w:customStyle="1" w:styleId="Heading6Char">
    <w:name w:val="Heading 6 Char"/>
    <w:aliases w:val="Heading 6 - Do not use Char"/>
    <w:basedOn w:val="DefaultParagraphFont"/>
    <w:link w:val="Heading6"/>
    <w:rsid w:val="008A5C04"/>
    <w:rPr>
      <w:rFonts w:ascii="Verdana" w:hAnsi="Verdana"/>
      <w:bCs/>
      <w:szCs w:val="22"/>
      <w:lang w:eastAsia="en-US"/>
    </w:rPr>
  </w:style>
  <w:style w:type="character" w:customStyle="1" w:styleId="Heading7Char">
    <w:name w:val="Heading 7 Char"/>
    <w:aliases w:val="Heading 7 - Do not use Char"/>
    <w:basedOn w:val="DefaultParagraphFont"/>
    <w:link w:val="Heading7"/>
    <w:rsid w:val="008A5C04"/>
    <w:rPr>
      <w:rFonts w:ascii="Verdana" w:hAnsi="Verdana"/>
      <w:szCs w:val="24"/>
      <w:lang w:eastAsia="en-US"/>
    </w:rPr>
  </w:style>
  <w:style w:type="character" w:customStyle="1" w:styleId="Heading8Char">
    <w:name w:val="Heading 8 Char"/>
    <w:aliases w:val="Heading 8 - Do not use Char"/>
    <w:basedOn w:val="DefaultParagraphFont"/>
    <w:link w:val="Heading8"/>
    <w:rsid w:val="008A5C04"/>
    <w:rPr>
      <w:rFonts w:ascii="Verdana" w:hAnsi="Verdana"/>
      <w:iCs/>
      <w:szCs w:val="24"/>
      <w:lang w:eastAsia="en-US"/>
    </w:rPr>
  </w:style>
  <w:style w:type="character" w:customStyle="1" w:styleId="Heading9Char">
    <w:name w:val="Heading 9 Char"/>
    <w:aliases w:val="Heading 9 - Do not use Char"/>
    <w:basedOn w:val="DefaultParagraphFont"/>
    <w:link w:val="Heading9"/>
    <w:rsid w:val="008A5C04"/>
    <w:rPr>
      <w:rFonts w:ascii="Arial" w:hAnsi="Arial" w:cs="Arial"/>
      <w:sz w:val="22"/>
      <w:szCs w:val="22"/>
      <w:lang w:eastAsia="en-US"/>
    </w:rPr>
  </w:style>
  <w:style w:type="character" w:customStyle="1" w:styleId="BalloonTextChar">
    <w:name w:val="Balloon Text Char"/>
    <w:basedOn w:val="DefaultParagraphFont"/>
    <w:link w:val="BalloonText"/>
    <w:uiPriority w:val="99"/>
    <w:semiHidden/>
    <w:rsid w:val="008A5C04"/>
    <w:rPr>
      <w:rFonts w:ascii="Tahoma" w:hAnsi="Tahoma" w:cs="Tahoma"/>
      <w:sz w:val="16"/>
      <w:szCs w:val="16"/>
      <w:lang w:eastAsia="en-US"/>
    </w:rPr>
  </w:style>
  <w:style w:type="paragraph" w:customStyle="1" w:styleId="CoverPageSubtext">
    <w:name w:val="Cover Page – Subtext"/>
    <w:basedOn w:val="Normal"/>
    <w:next w:val="BodyTextNormal"/>
    <w:link w:val="CoverPageSubtextChar"/>
    <w:qFormat/>
    <w:rsid w:val="008A5C04"/>
    <w:pPr>
      <w:tabs>
        <w:tab w:val="center" w:pos="4320"/>
        <w:tab w:val="right" w:pos="8640"/>
      </w:tabs>
      <w:spacing w:before="120" w:after="120"/>
    </w:pPr>
    <w:rPr>
      <w:rFonts w:ascii="Arial" w:hAnsi="Arial"/>
      <w:b/>
      <w:color w:val="4F81BD" w:themeColor="accent1"/>
      <w:sz w:val="24"/>
    </w:rPr>
  </w:style>
  <w:style w:type="character" w:customStyle="1" w:styleId="CoverPageSubtextChar">
    <w:name w:val="Cover Page – Subtext Char"/>
    <w:basedOn w:val="DefaultParagraphFont"/>
    <w:link w:val="CoverPageSubtext"/>
    <w:rsid w:val="008A5C04"/>
    <w:rPr>
      <w:rFonts w:ascii="Arial" w:hAnsi="Arial"/>
      <w:b/>
      <w:color w:val="4F81BD" w:themeColor="accent1"/>
      <w:sz w:val="24"/>
      <w:szCs w:val="24"/>
      <w:lang w:eastAsia="en-US"/>
    </w:rPr>
  </w:style>
  <w:style w:type="paragraph" w:customStyle="1" w:styleId="ListTick">
    <w:name w:val="List Tick"/>
    <w:basedOn w:val="BodyTextNormal"/>
    <w:qFormat/>
    <w:rsid w:val="008A5C04"/>
    <w:pPr>
      <w:numPr>
        <w:numId w:val="14"/>
      </w:numPr>
      <w:tabs>
        <w:tab w:val="clear" w:pos="851"/>
        <w:tab w:val="num" w:pos="567"/>
      </w:tabs>
      <w:ind w:left="1248"/>
    </w:pPr>
    <w:rPr>
      <w:rFonts w:ascii="Arial" w:eastAsia="Times New Roman" w:hAnsi="Arial"/>
      <w:sz w:val="22"/>
      <w:szCs w:val="22"/>
    </w:rPr>
  </w:style>
  <w:style w:type="paragraph" w:customStyle="1" w:styleId="ListCross">
    <w:name w:val="List Cross"/>
    <w:basedOn w:val="BodyTextNormal"/>
    <w:qFormat/>
    <w:rsid w:val="008A5C04"/>
    <w:pPr>
      <w:numPr>
        <w:numId w:val="15"/>
      </w:numPr>
      <w:ind w:left="1248"/>
    </w:pPr>
    <w:rPr>
      <w:rFonts w:ascii="Arial" w:hAnsi="Arial"/>
      <w:sz w:val="22"/>
    </w:rPr>
  </w:style>
  <w:style w:type="paragraph" w:customStyle="1" w:styleId="TableText-Centre">
    <w:name w:val="Table Text - Centre"/>
    <w:basedOn w:val="BodyTextNormal"/>
    <w:link w:val="TableText-CentreChar"/>
    <w:qFormat/>
    <w:rsid w:val="008A5C04"/>
    <w:pPr>
      <w:jc w:val="center"/>
    </w:pPr>
    <w:rPr>
      <w:rFonts w:ascii="Arial" w:hAnsi="Arial"/>
      <w:sz w:val="22"/>
    </w:rPr>
  </w:style>
  <w:style w:type="character" w:customStyle="1" w:styleId="TableText-CentreChar">
    <w:name w:val="Table Text - Centre Char"/>
    <w:basedOn w:val="TableText-LeftChar"/>
    <w:link w:val="TableText-Centre"/>
    <w:rsid w:val="008A5C04"/>
    <w:rPr>
      <w:rFonts w:ascii="Arial" w:eastAsiaTheme="minorEastAsia" w:hAnsi="Arial"/>
      <w:sz w:val="22"/>
      <w:szCs w:val="24"/>
      <w:lang w:eastAsia="en-US"/>
    </w:rPr>
  </w:style>
  <w:style w:type="paragraph" w:customStyle="1" w:styleId="TableText-Right">
    <w:name w:val="Table Text - Right"/>
    <w:basedOn w:val="BodyTextNormal"/>
    <w:link w:val="TableText-RightChar"/>
    <w:qFormat/>
    <w:rsid w:val="008A5C04"/>
    <w:pPr>
      <w:jc w:val="right"/>
    </w:pPr>
    <w:rPr>
      <w:rFonts w:ascii="Arial" w:hAnsi="Arial"/>
      <w:sz w:val="22"/>
    </w:rPr>
  </w:style>
  <w:style w:type="character" w:customStyle="1" w:styleId="TableText-RightChar">
    <w:name w:val="Table Text - Right Char"/>
    <w:basedOn w:val="TableText-CentreChar"/>
    <w:link w:val="TableText-Right"/>
    <w:rsid w:val="008A5C04"/>
    <w:rPr>
      <w:rFonts w:ascii="Arial" w:eastAsiaTheme="minorEastAsia" w:hAnsi="Arial"/>
      <w:sz w:val="22"/>
      <w:szCs w:val="24"/>
      <w:lang w:eastAsia="en-US"/>
    </w:rPr>
  </w:style>
  <w:style w:type="paragraph" w:customStyle="1" w:styleId="CoverPageTitle">
    <w:name w:val="Cover Page – Title"/>
    <w:basedOn w:val="Normal"/>
    <w:next w:val="CoverPageSubtitle"/>
    <w:qFormat/>
    <w:rsid w:val="008A5C04"/>
    <w:pPr>
      <w:spacing w:before="240" w:after="120"/>
    </w:pPr>
    <w:rPr>
      <w:rFonts w:ascii="Arial" w:eastAsiaTheme="minorEastAsia" w:hAnsi="Arial"/>
      <w:b/>
      <w:color w:val="000000" w:themeColor="text1"/>
      <w:sz w:val="56"/>
    </w:rPr>
  </w:style>
  <w:style w:type="table" w:styleId="MediumGrid3-Accent4">
    <w:name w:val="Medium Grid 3 Accent 4"/>
    <w:basedOn w:val="TableNormal"/>
    <w:uiPriority w:val="69"/>
    <w:locked/>
    <w:rsid w:val="008A5C04"/>
    <w:tblPr>
      <w:tblStyleRowBandSize w:val="1"/>
      <w:tblStyleColBandSize w:val="1"/>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Pr>
    <w:tcPr>
      <w:shd w:val="clear" w:color="auto" w:fill="DFD8E8"/>
      <w:vAlign w:val="center"/>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6" w:space="0" w:color="FFFFFF"/>
          <w:left w:val="single" w:sz="6" w:space="0" w:color="FFFFFF"/>
          <w:bottom w:val="single" w:sz="6" w:space="0" w:color="FFFFFF"/>
          <w:right w:val="single" w:sz="6" w:space="0" w:color="FFFFFF"/>
          <w:insideH w:val="single" w:sz="6" w:space="0" w:color="FFFFFF"/>
          <w:insideV w:val="single" w:sz="6" w:space="0" w:color="FFFFFF"/>
          <w:tl2br w:val="nil"/>
          <w:tr2bl w:val="nil"/>
        </w:tcBorders>
        <w:shd w:val="clear" w:color="auto" w:fill="E5D4DF"/>
      </w:tcPr>
    </w:tblStylePr>
    <w:tblStylePr w:type="band2Horz">
      <w:tblPr/>
      <w:tcPr>
        <w:tcBorders>
          <w:top w:val="single" w:sz="6" w:space="0" w:color="FFFFFF"/>
          <w:left w:val="single" w:sz="6" w:space="0" w:color="FFFFFF"/>
          <w:bottom w:val="single" w:sz="6" w:space="0" w:color="FFFFFF"/>
          <w:right w:val="single" w:sz="6" w:space="0" w:color="FFFFFF"/>
          <w:insideH w:val="nil"/>
          <w:insideV w:val="single" w:sz="6" w:space="0" w:color="FFFFFF"/>
          <w:tl2br w:val="nil"/>
          <w:tr2bl w:val="nil"/>
        </w:tcBorders>
        <w:shd w:val="clear" w:color="auto" w:fill="D3BACF"/>
      </w:tcPr>
    </w:tblStylePr>
  </w:style>
  <w:style w:type="character" w:styleId="PlaceholderText">
    <w:name w:val="Placeholder Text"/>
    <w:basedOn w:val="DefaultParagraphFont"/>
    <w:uiPriority w:val="99"/>
    <w:semiHidden/>
    <w:locked/>
    <w:rsid w:val="008A5C04"/>
    <w:rPr>
      <w:color w:val="808080"/>
    </w:rPr>
  </w:style>
  <w:style w:type="paragraph" w:styleId="TOCHeading">
    <w:name w:val="TOC Heading"/>
    <w:basedOn w:val="Heading1"/>
    <w:next w:val="Normal"/>
    <w:uiPriority w:val="39"/>
    <w:qFormat/>
    <w:rsid w:val="008A5C04"/>
    <w:pPr>
      <w:keepNext/>
      <w:keepLines/>
      <w:pageBreakBefore/>
      <w:pBdr>
        <w:bottom w:val="none" w:sz="0" w:space="0" w:color="auto"/>
      </w:pBdr>
      <w:tabs>
        <w:tab w:val="clear" w:pos="2581"/>
      </w:tabs>
      <w:spacing w:after="240" w:line="240" w:lineRule="auto"/>
      <w:outlineLvl w:val="9"/>
    </w:pPr>
    <w:rPr>
      <w:rFonts w:ascii="Arial" w:eastAsiaTheme="majorEastAsia" w:hAnsi="Arial" w:cstheme="majorBidi"/>
      <w:b/>
      <w:bCs/>
      <w:color w:val="000000" w:themeColor="text1"/>
      <w:sz w:val="32"/>
      <w:szCs w:val="32"/>
    </w:rPr>
  </w:style>
  <w:style w:type="paragraph" w:customStyle="1" w:styleId="Footnote">
    <w:name w:val="Footnote"/>
    <w:basedOn w:val="FootnoteText"/>
    <w:rsid w:val="008A5C04"/>
    <w:pPr>
      <w:widowControl/>
      <w:spacing w:before="120" w:after="240"/>
      <w:contextualSpacing/>
    </w:pPr>
    <w:rPr>
      <w:rFonts w:ascii="Arial" w:hAnsi="Arial"/>
      <w:sz w:val="16"/>
    </w:rPr>
  </w:style>
  <w:style w:type="paragraph" w:styleId="List">
    <w:name w:val="List"/>
    <w:basedOn w:val="Normal"/>
    <w:uiPriority w:val="99"/>
    <w:semiHidden/>
    <w:rsid w:val="008A5C04"/>
    <w:pPr>
      <w:spacing w:before="120" w:after="240"/>
      <w:ind w:left="283" w:hanging="283"/>
      <w:contextualSpacing/>
    </w:pPr>
    <w:rPr>
      <w:rFonts w:ascii="Arial" w:eastAsiaTheme="minorEastAsia" w:hAnsi="Arial"/>
      <w:sz w:val="22"/>
    </w:rPr>
  </w:style>
  <w:style w:type="paragraph" w:customStyle="1" w:styleId="BOLD">
    <w:name w:val="BOLD"/>
    <w:basedOn w:val="Normal"/>
    <w:next w:val="Normal"/>
    <w:semiHidden/>
    <w:qFormat/>
    <w:rsid w:val="008A5C04"/>
    <w:pPr>
      <w:spacing w:before="120" w:after="240"/>
    </w:pPr>
    <w:rPr>
      <w:rFonts w:ascii="Arial" w:eastAsiaTheme="minorEastAsia" w:hAnsi="Arial"/>
      <w:b/>
      <w:sz w:val="22"/>
    </w:rPr>
  </w:style>
  <w:style w:type="paragraph" w:customStyle="1" w:styleId="italic">
    <w:name w:val="italic"/>
    <w:basedOn w:val="Normal"/>
    <w:next w:val="Normal"/>
    <w:semiHidden/>
    <w:qFormat/>
    <w:rsid w:val="008A5C04"/>
    <w:pPr>
      <w:spacing w:before="120" w:after="240"/>
    </w:pPr>
    <w:rPr>
      <w:rFonts w:ascii="Arial" w:eastAsiaTheme="minorEastAsia" w:hAnsi="Arial"/>
      <w:i/>
      <w:sz w:val="22"/>
    </w:rPr>
  </w:style>
  <w:style w:type="paragraph" w:customStyle="1" w:styleId="Tableannotation">
    <w:name w:val="Table annotation"/>
    <w:basedOn w:val="Caption"/>
    <w:next w:val="BodyTextNormal"/>
    <w:qFormat/>
    <w:rsid w:val="008A5C04"/>
    <w:pPr>
      <w:numPr>
        <w:numId w:val="22"/>
      </w:numPr>
    </w:pPr>
  </w:style>
  <w:style w:type="paragraph" w:customStyle="1" w:styleId="Figureannotation">
    <w:name w:val="Figure annotation"/>
    <w:basedOn w:val="Caption"/>
    <w:qFormat/>
    <w:rsid w:val="008A5C04"/>
    <w:pPr>
      <w:keepNext/>
      <w:numPr>
        <w:numId w:val="21"/>
      </w:numPr>
      <w:spacing w:before="120"/>
    </w:pPr>
  </w:style>
  <w:style w:type="character" w:customStyle="1" w:styleId="FootnoteTextChar">
    <w:name w:val="Footnote Text Char"/>
    <w:basedOn w:val="DefaultParagraphFont"/>
    <w:link w:val="FootnoteText"/>
    <w:uiPriority w:val="99"/>
    <w:semiHidden/>
    <w:rsid w:val="008A5C04"/>
    <w:rPr>
      <w:rFonts w:ascii="Verdana" w:hAnsi="Verdana"/>
      <w:sz w:val="18"/>
      <w:lang w:eastAsia="en-US"/>
    </w:rPr>
  </w:style>
  <w:style w:type="paragraph" w:customStyle="1" w:styleId="FooterDocumentTitle">
    <w:name w:val="Footer Document Title"/>
    <w:basedOn w:val="Normal"/>
    <w:semiHidden/>
    <w:qFormat/>
    <w:rsid w:val="008A5C04"/>
    <w:pPr>
      <w:spacing w:before="120" w:after="120"/>
      <w:ind w:left="-368" w:right="357" w:hanging="709"/>
    </w:pPr>
    <w:rPr>
      <w:rFonts w:ascii="Arial" w:eastAsiaTheme="minorEastAsia" w:hAnsi="Arial"/>
      <w:sz w:val="16"/>
      <w:szCs w:val="16"/>
    </w:rPr>
  </w:style>
  <w:style w:type="paragraph" w:customStyle="1" w:styleId="DocumentControlHeading">
    <w:name w:val="Document Control Heading"/>
    <w:basedOn w:val="Normal"/>
    <w:next w:val="Heading6"/>
    <w:qFormat/>
    <w:rsid w:val="008A5C04"/>
    <w:pPr>
      <w:pageBreakBefore/>
      <w:spacing w:before="240" w:after="120"/>
    </w:pPr>
    <w:rPr>
      <w:rFonts w:ascii="Arial Bold" w:eastAsiaTheme="minorEastAsia" w:hAnsi="Arial Bold"/>
      <w:b/>
      <w:color w:val="000000" w:themeColor="text1"/>
      <w:sz w:val="36"/>
    </w:rPr>
  </w:style>
  <w:style w:type="paragraph" w:customStyle="1" w:styleId="DocumentControlSubtitle">
    <w:name w:val="Document Control Subtitle"/>
    <w:basedOn w:val="Normal"/>
    <w:next w:val="Heading6"/>
    <w:rsid w:val="008A5C04"/>
    <w:pPr>
      <w:spacing w:before="240" w:after="120"/>
    </w:pPr>
    <w:rPr>
      <w:rFonts w:ascii="Arial" w:eastAsiaTheme="minorEastAsia" w:hAnsi="Arial"/>
      <w:b/>
      <w:color w:val="000000" w:themeColor="text1"/>
      <w:sz w:val="22"/>
    </w:rPr>
  </w:style>
  <w:style w:type="paragraph" w:customStyle="1" w:styleId="ListLettering">
    <w:name w:val="List Lettering"/>
    <w:basedOn w:val="BodyTextNormal"/>
    <w:qFormat/>
    <w:rsid w:val="008A5C04"/>
    <w:pPr>
      <w:numPr>
        <w:numId w:val="16"/>
      </w:numPr>
      <w:ind w:left="1248" w:hanging="397"/>
    </w:pPr>
    <w:rPr>
      <w:rFonts w:ascii="Arial" w:hAnsi="Arial"/>
      <w:sz w:val="22"/>
    </w:rPr>
  </w:style>
  <w:style w:type="character" w:customStyle="1" w:styleId="Highlight">
    <w:name w:val="Highlight"/>
    <w:basedOn w:val="DefaultParagraphFont"/>
    <w:uiPriority w:val="1"/>
    <w:qFormat/>
    <w:rsid w:val="008A5C04"/>
    <w:rPr>
      <w:rFonts w:asciiTheme="minorHAnsi" w:hAnsiTheme="minorHAnsi"/>
      <w:sz w:val="22"/>
      <w:bdr w:val="none" w:sz="0" w:space="0" w:color="auto"/>
      <w:shd w:val="solid" w:color="FFFF00" w:fill="auto"/>
    </w:rPr>
  </w:style>
  <w:style w:type="paragraph" w:styleId="Quote">
    <w:name w:val="Quote"/>
    <w:basedOn w:val="Normal"/>
    <w:next w:val="Normal"/>
    <w:link w:val="QuoteChar"/>
    <w:uiPriority w:val="29"/>
    <w:qFormat/>
    <w:locked/>
    <w:rsid w:val="008A5C04"/>
    <w:pPr>
      <w:shd w:val="thinDiagStripe" w:color="FFFFFF" w:themeColor="background1" w:themeTint="99" w:fill="auto"/>
      <w:spacing w:before="120" w:after="240"/>
    </w:pPr>
    <w:rPr>
      <w:rFonts w:ascii="Arial" w:eastAsiaTheme="minorEastAsia" w:hAnsi="Arial"/>
      <w:i/>
      <w:iCs/>
      <w:color w:val="000000" w:themeColor="text1"/>
      <w:sz w:val="22"/>
    </w:rPr>
  </w:style>
  <w:style w:type="character" w:customStyle="1" w:styleId="QuoteChar">
    <w:name w:val="Quote Char"/>
    <w:basedOn w:val="DefaultParagraphFont"/>
    <w:link w:val="Quote"/>
    <w:uiPriority w:val="29"/>
    <w:rsid w:val="008A5C04"/>
    <w:rPr>
      <w:rFonts w:ascii="Arial" w:eastAsiaTheme="minorEastAsia" w:hAnsi="Arial"/>
      <w:i/>
      <w:iCs/>
      <w:color w:val="000000" w:themeColor="text1"/>
      <w:sz w:val="22"/>
      <w:szCs w:val="24"/>
      <w:shd w:val="thinDiagStripe" w:color="FFFFFF" w:themeColor="background1" w:themeTint="99" w:fill="auto"/>
      <w:lang w:eastAsia="en-US"/>
    </w:rPr>
  </w:style>
  <w:style w:type="paragraph" w:customStyle="1" w:styleId="CaseStudyQuoteTitle">
    <w:name w:val="Case Study / Quote Title"/>
    <w:basedOn w:val="Normal"/>
    <w:rsid w:val="008A5C04"/>
    <w:pPr>
      <w:pBdr>
        <w:top w:val="single" w:sz="8" w:space="1" w:color="FFFFFF" w:themeColor="background1" w:themeTint="33"/>
        <w:left w:val="single" w:sz="8" w:space="4" w:color="FFFFFF" w:themeColor="background1" w:themeTint="33"/>
        <w:bottom w:val="single" w:sz="8" w:space="10" w:color="FFFFFF" w:themeColor="background1" w:themeTint="33"/>
        <w:right w:val="single" w:sz="8" w:space="4" w:color="FFFFFF" w:themeColor="background1" w:themeTint="33"/>
      </w:pBdr>
      <w:shd w:val="solid" w:color="D9D9D9" w:themeColor="background1" w:themeShade="D9" w:fill="FFFFFF" w:themeFill="background1" w:themeFillTint="33"/>
      <w:spacing w:before="240" w:after="120"/>
    </w:pPr>
    <w:rPr>
      <w:rFonts w:ascii="Arial" w:eastAsiaTheme="minorEastAsia" w:hAnsi="Arial"/>
      <w:b/>
      <w:color w:val="000000" w:themeColor="text1"/>
      <w:sz w:val="24"/>
    </w:rPr>
  </w:style>
  <w:style w:type="paragraph" w:customStyle="1" w:styleId="CaseStudy">
    <w:name w:val="Case Study"/>
    <w:basedOn w:val="BodyTextNormal"/>
    <w:rsid w:val="008A5C04"/>
    <w:pPr>
      <w:pBdr>
        <w:top w:val="single" w:sz="8" w:space="1" w:color="FFFFFF" w:themeColor="background1" w:themeTint="33"/>
        <w:left w:val="single" w:sz="8" w:space="4" w:color="FFFFFF" w:themeColor="background1" w:themeTint="33"/>
        <w:bottom w:val="single" w:sz="8" w:space="10" w:color="FFFFFF" w:themeColor="background1" w:themeTint="33"/>
        <w:right w:val="single" w:sz="8" w:space="4" w:color="FFFFFF" w:themeColor="background1" w:themeTint="33"/>
      </w:pBdr>
      <w:shd w:val="solid" w:color="D9D9D9" w:themeColor="background1" w:themeShade="D9" w:fill="auto"/>
    </w:pPr>
    <w:rPr>
      <w:rFonts w:ascii="Arial" w:hAnsi="Arial"/>
      <w:sz w:val="22"/>
    </w:rPr>
  </w:style>
  <w:style w:type="paragraph" w:customStyle="1" w:styleId="CaseStudyQuoteBullets">
    <w:name w:val="Case Study / Quote Bullets"/>
    <w:basedOn w:val="CaseStudy"/>
    <w:qFormat/>
    <w:rsid w:val="008A5C04"/>
    <w:pPr>
      <w:numPr>
        <w:numId w:val="17"/>
      </w:numPr>
      <w:ind w:left="397" w:hanging="397"/>
    </w:pPr>
  </w:style>
  <w:style w:type="paragraph" w:customStyle="1" w:styleId="TableBullet1">
    <w:name w:val="Table Bullet 1"/>
    <w:basedOn w:val="TableText-Left"/>
    <w:qFormat/>
    <w:rsid w:val="008A5C04"/>
    <w:pPr>
      <w:numPr>
        <w:numId w:val="18"/>
      </w:numPr>
    </w:pPr>
    <w:rPr>
      <w:rFonts w:ascii="Arial" w:hAnsi="Arial"/>
      <w:sz w:val="20"/>
      <w:szCs w:val="20"/>
    </w:rPr>
  </w:style>
  <w:style w:type="paragraph" w:customStyle="1" w:styleId="TableBullet2">
    <w:name w:val="Table Bullet 2"/>
    <w:basedOn w:val="Normal"/>
    <w:qFormat/>
    <w:rsid w:val="008A5C04"/>
    <w:pPr>
      <w:numPr>
        <w:numId w:val="26"/>
      </w:numPr>
      <w:spacing w:before="60" w:after="60"/>
      <w:ind w:left="113" w:hanging="113"/>
      <w:contextualSpacing/>
    </w:pPr>
    <w:rPr>
      <w:rFonts w:ascii="Arial" w:eastAsiaTheme="minorEastAsia" w:hAnsi="Arial"/>
      <w:szCs w:val="20"/>
    </w:rPr>
  </w:style>
  <w:style w:type="table" w:styleId="MediumGrid3-Accent5">
    <w:name w:val="Medium Grid 3 Accent 5"/>
    <w:basedOn w:val="TableNormal"/>
    <w:uiPriority w:val="69"/>
    <w:locked/>
    <w:rsid w:val="008A5C04"/>
    <w:rPr>
      <w:rFonts w:eastAsiaTheme="minorEastAsia"/>
      <w:sz w:val="24"/>
      <w:szCs w:val="24"/>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WithoutHeader">
    <w:name w:val="Without Header"/>
    <w:basedOn w:val="MediumGrid3-Accent4"/>
    <w:uiPriority w:val="99"/>
    <w:rsid w:val="008A5C04"/>
    <w:tblPr/>
    <w:tcPr>
      <w:shd w:val="solid" w:color="E5E5E5" w:themeColor="text1" w:themeTint="1A" w:fill="DFD8E8"/>
    </w:tcPr>
    <w:tblStylePr w:type="firstRow">
      <w:rPr>
        <w:rFonts w:ascii="Consolas" w:hAnsi="Consolas"/>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solid" w:color="E5E5E5" w:themeColor="text1" w:themeTint="1A" w:fill="auto"/>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6" w:space="0" w:color="FFFFFF"/>
          <w:left w:val="single" w:sz="6" w:space="0" w:color="FFFFFF"/>
          <w:bottom w:val="single" w:sz="6" w:space="0" w:color="FFFFFF"/>
          <w:right w:val="single" w:sz="6" w:space="0" w:color="FFFFFF"/>
          <w:insideH w:val="single" w:sz="6" w:space="0" w:color="FFFFFF"/>
          <w:insideV w:val="single" w:sz="6" w:space="0" w:color="FFFFFF"/>
          <w:tl2br w:val="nil"/>
          <w:tr2bl w:val="nil"/>
        </w:tcBorders>
        <w:shd w:val="pct35" w:color="DFD8E7" w:themeColor="accent4" w:themeTint="40" w:fill="E5D4DF"/>
      </w:tcPr>
    </w:tblStylePr>
    <w:tblStylePr w:type="band2Horz">
      <w:tblPr/>
      <w:tcPr>
        <w:tcBorders>
          <w:top w:val="single" w:sz="6" w:space="0" w:color="FFFFFF"/>
          <w:left w:val="single" w:sz="6" w:space="0" w:color="FFFFFF"/>
          <w:bottom w:val="single" w:sz="6" w:space="0" w:color="FFFFFF"/>
          <w:right w:val="single" w:sz="6" w:space="0" w:color="FFFFFF"/>
          <w:insideH w:val="single" w:sz="6" w:space="0" w:color="FFFFFF"/>
          <w:insideV w:val="single" w:sz="6" w:space="0" w:color="FFFFFF"/>
          <w:tl2br w:val="nil"/>
          <w:tr2bl w:val="nil"/>
        </w:tcBorders>
        <w:shd w:val="solid" w:color="E5E5E5" w:themeColor="text1" w:themeTint="1A" w:fill="D3BACF"/>
      </w:tcPr>
    </w:tblStylePr>
  </w:style>
  <w:style w:type="character" w:customStyle="1" w:styleId="HeaderChar">
    <w:name w:val="Header Char"/>
    <w:basedOn w:val="DefaultParagraphFont"/>
    <w:link w:val="Header"/>
    <w:uiPriority w:val="99"/>
    <w:rsid w:val="008A5C04"/>
    <w:rPr>
      <w:rFonts w:ascii="Verdana" w:hAnsi="Verdana"/>
      <w:szCs w:val="24"/>
      <w:lang w:eastAsia="en-US"/>
    </w:rPr>
  </w:style>
  <w:style w:type="character" w:customStyle="1" w:styleId="FooterChar">
    <w:name w:val="Footer Char"/>
    <w:basedOn w:val="DefaultParagraphFont"/>
    <w:link w:val="Footer"/>
    <w:uiPriority w:val="99"/>
    <w:rsid w:val="008A5C04"/>
    <w:rPr>
      <w:rFonts w:ascii="Verdana" w:hAnsi="Verdana"/>
      <w:sz w:val="16"/>
      <w:szCs w:val="24"/>
      <w:lang w:eastAsia="en-US"/>
    </w:rPr>
  </w:style>
  <w:style w:type="table" w:styleId="LightList-Accent1">
    <w:name w:val="Light List Accent 1"/>
    <w:basedOn w:val="TableNormal"/>
    <w:uiPriority w:val="61"/>
    <w:locked/>
    <w:rsid w:val="008A5C04"/>
    <w:rPr>
      <w:rFonts w:eastAsiaTheme="minorEastAsia"/>
      <w:sz w:val="24"/>
      <w:szCs w:val="24"/>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Template1">
    <w:name w:val="Table Template 1"/>
    <w:basedOn w:val="TableNormal"/>
    <w:uiPriority w:val="99"/>
    <w:rsid w:val="008A5C04"/>
    <w:pPr>
      <w:spacing w:before="60" w:after="60"/>
    </w:pPr>
    <w:rPr>
      <w:rFonts w:ascii="Arial" w:eastAsiaTheme="minorEastAsia" w:hAnsi="Arial"/>
      <w:sz w:val="22"/>
      <w:szCs w:val="24"/>
      <w:lang w:val="en-US" w:eastAsia="ja-JP"/>
    </w:rPr>
    <w:tblPr>
      <w:tblStyleColBandSize w:val="1"/>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Pr>
    <w:tblStylePr w:type="firstRow">
      <w:pPr>
        <w:jc w:val="left"/>
      </w:pPr>
      <w:rPr>
        <w:rFonts w:asciiTheme="minorHAnsi" w:hAnsiTheme="minorHAnsi"/>
        <w:b/>
        <w:color w:val="FFFFFF" w:themeColor="background1"/>
        <w:sz w:val="24"/>
      </w:rPr>
      <w:tblPr/>
      <w:trPr>
        <w:cantSplit/>
        <w:tblHeader/>
      </w:trPr>
      <w:tcPr>
        <w:tcBorders>
          <w:bottom w:val="single" w:sz="4" w:space="0" w:color="EEECE1" w:themeColor="background2"/>
        </w:tcBorders>
        <w:shd w:val="clear" w:color="auto" w:fill="4F81BD" w:themeFill="accent1"/>
        <w:vAlign w:val="center"/>
      </w:tcPr>
    </w:tblStylePr>
    <w:tblStylePr w:type="firstCol">
      <w:rPr>
        <w:rFonts w:asciiTheme="minorHAnsi" w:hAnsiTheme="minorHAnsi"/>
        <w:b/>
        <w:color w:val="4F81BD" w:themeColor="accent1"/>
        <w:sz w:val="24"/>
      </w:rPr>
    </w:tblStylePr>
  </w:style>
  <w:style w:type="paragraph" w:customStyle="1" w:styleId="AppendixHeading">
    <w:name w:val="Appendix Heading"/>
    <w:basedOn w:val="Heading1"/>
    <w:next w:val="BodyTextNormal"/>
    <w:qFormat/>
    <w:rsid w:val="008A5C04"/>
    <w:pPr>
      <w:keepNext/>
      <w:pageBreakBefore/>
      <w:numPr>
        <w:numId w:val="20"/>
      </w:numPr>
      <w:pBdr>
        <w:bottom w:val="none" w:sz="0" w:space="0" w:color="auto"/>
      </w:pBdr>
      <w:tabs>
        <w:tab w:val="clear" w:pos="2581"/>
        <w:tab w:val="left" w:pos="1701"/>
      </w:tabs>
      <w:spacing w:after="120" w:line="240" w:lineRule="auto"/>
      <w:ind w:left="0" w:firstLine="0"/>
    </w:pPr>
    <w:rPr>
      <w:rFonts w:ascii="Arial Bold" w:hAnsi="Arial Bold" w:cs="Arial"/>
      <w:b/>
      <w:bCs/>
      <w:color w:val="000000" w:themeColor="text1"/>
      <w:kern w:val="32"/>
      <w:sz w:val="32"/>
      <w:szCs w:val="32"/>
    </w:rPr>
  </w:style>
  <w:style w:type="numbering" w:customStyle="1" w:styleId="Appendix">
    <w:name w:val="Appendix"/>
    <w:uiPriority w:val="99"/>
    <w:rsid w:val="008A5C04"/>
    <w:pPr>
      <w:numPr>
        <w:numId w:val="19"/>
      </w:numPr>
    </w:pPr>
  </w:style>
  <w:style w:type="paragraph" w:customStyle="1" w:styleId="BodyTextBold">
    <w:name w:val="Body Text – Bold"/>
    <w:basedOn w:val="BodyTextNormal"/>
    <w:qFormat/>
    <w:rsid w:val="008A5C04"/>
    <w:rPr>
      <w:rFonts w:ascii="Arial" w:hAnsi="Arial"/>
      <w:b/>
      <w:bCs/>
      <w:sz w:val="22"/>
    </w:rPr>
  </w:style>
  <w:style w:type="paragraph" w:customStyle="1" w:styleId="BodyTextItalic">
    <w:name w:val="Body Text – Italic"/>
    <w:basedOn w:val="BodyTextNormal"/>
    <w:qFormat/>
    <w:rsid w:val="008A5C04"/>
    <w:rPr>
      <w:rFonts w:ascii="Arial" w:hAnsi="Arial"/>
      <w:i/>
      <w:iCs/>
      <w:sz w:val="22"/>
    </w:rPr>
  </w:style>
  <w:style w:type="paragraph" w:customStyle="1" w:styleId="AppendixSubtitle">
    <w:name w:val="Appendix Subtitle"/>
    <w:basedOn w:val="AppendixHeading"/>
    <w:next w:val="BodyTextNormal"/>
    <w:qFormat/>
    <w:rsid w:val="008A5C04"/>
  </w:style>
  <w:style w:type="paragraph" w:styleId="BlockText">
    <w:name w:val="Block Text"/>
    <w:basedOn w:val="Normal"/>
    <w:uiPriority w:val="99"/>
    <w:semiHidden/>
    <w:rsid w:val="008A5C04"/>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before="120" w:after="240"/>
      <w:ind w:left="1152" w:right="1152"/>
    </w:pPr>
    <w:rPr>
      <w:rFonts w:asciiTheme="minorHAnsi" w:eastAsiaTheme="minorEastAsia" w:hAnsiTheme="minorHAnsi" w:cstheme="minorBidi"/>
      <w:i/>
      <w:iCs/>
      <w:color w:val="4F81BD" w:themeColor="accent1"/>
      <w:sz w:val="22"/>
    </w:rPr>
  </w:style>
  <w:style w:type="paragraph" w:customStyle="1" w:styleId="BodytextSubtitle">
    <w:name w:val="Body text Subtitle"/>
    <w:basedOn w:val="CoverPageSubtext"/>
    <w:semiHidden/>
    <w:qFormat/>
    <w:rsid w:val="008A5C04"/>
    <w:pPr>
      <w:spacing w:before="240"/>
      <w:ind w:left="851"/>
    </w:pPr>
  </w:style>
  <w:style w:type="table" w:styleId="LightList-Accent2">
    <w:name w:val="Light List Accent 2"/>
    <w:basedOn w:val="TableNormal"/>
    <w:uiPriority w:val="61"/>
    <w:locked/>
    <w:rsid w:val="008A5C04"/>
    <w:rPr>
      <w:rFonts w:eastAsiaTheme="minorEastAsia"/>
      <w:sz w:val="24"/>
      <w:szCs w:val="24"/>
      <w:lang w:val="en-US" w:eastAsia="ja-JP"/>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CoverPageSubtitle">
    <w:name w:val="Cover Page – Subtitle"/>
    <w:basedOn w:val="NormalWeb"/>
    <w:qFormat/>
    <w:rsid w:val="008A5C04"/>
    <w:rPr>
      <w:rFonts w:asciiTheme="majorHAnsi" w:hAnsiTheme="majorHAnsi"/>
      <w:b/>
      <w:color w:val="4F81BD" w:themeColor="accent1"/>
      <w:sz w:val="36"/>
    </w:rPr>
  </w:style>
  <w:style w:type="paragraph" w:styleId="NormalWeb">
    <w:name w:val="Normal (Web)"/>
    <w:basedOn w:val="Normal"/>
    <w:uiPriority w:val="99"/>
    <w:semiHidden/>
    <w:rsid w:val="008A5C04"/>
    <w:pPr>
      <w:spacing w:before="120" w:after="240"/>
    </w:pPr>
    <w:rPr>
      <w:rFonts w:ascii="Times New Roman" w:eastAsiaTheme="minorEastAsia" w:hAnsi="Times New Roman"/>
      <w:sz w:val="24"/>
    </w:rPr>
  </w:style>
  <w:style w:type="paragraph" w:styleId="Bibliography">
    <w:name w:val="Bibliography"/>
    <w:basedOn w:val="Normal"/>
    <w:next w:val="Normal"/>
    <w:uiPriority w:val="37"/>
    <w:semiHidden/>
    <w:locked/>
    <w:rsid w:val="008A5C04"/>
    <w:pPr>
      <w:spacing w:before="120" w:after="240"/>
    </w:pPr>
    <w:rPr>
      <w:rFonts w:ascii="Arial" w:eastAsiaTheme="minorEastAsia" w:hAnsi="Arial"/>
      <w:sz w:val="22"/>
    </w:rPr>
  </w:style>
  <w:style w:type="paragraph" w:styleId="BodyText">
    <w:name w:val="Body Text"/>
    <w:basedOn w:val="Normal"/>
    <w:link w:val="BodyTextChar"/>
    <w:uiPriority w:val="99"/>
    <w:semiHidden/>
    <w:rsid w:val="008A5C04"/>
    <w:pPr>
      <w:spacing w:before="120" w:after="120"/>
    </w:pPr>
    <w:rPr>
      <w:rFonts w:ascii="Arial" w:eastAsiaTheme="minorEastAsia" w:hAnsi="Arial"/>
      <w:sz w:val="22"/>
    </w:rPr>
  </w:style>
  <w:style w:type="character" w:customStyle="1" w:styleId="BodyTextChar">
    <w:name w:val="Body Text Char"/>
    <w:basedOn w:val="DefaultParagraphFont"/>
    <w:link w:val="BodyText"/>
    <w:uiPriority w:val="99"/>
    <w:semiHidden/>
    <w:rsid w:val="008A5C04"/>
    <w:rPr>
      <w:rFonts w:ascii="Arial" w:eastAsiaTheme="minorEastAsia" w:hAnsi="Arial"/>
      <w:sz w:val="22"/>
      <w:szCs w:val="24"/>
      <w:lang w:eastAsia="en-US"/>
    </w:rPr>
  </w:style>
  <w:style w:type="paragraph" w:styleId="BodyText2">
    <w:name w:val="Body Text 2"/>
    <w:basedOn w:val="Normal"/>
    <w:link w:val="BodyText2Char"/>
    <w:uiPriority w:val="99"/>
    <w:semiHidden/>
    <w:rsid w:val="008A5C04"/>
    <w:pPr>
      <w:spacing w:before="120" w:after="120" w:line="480" w:lineRule="auto"/>
    </w:pPr>
    <w:rPr>
      <w:rFonts w:ascii="Arial" w:eastAsiaTheme="minorEastAsia" w:hAnsi="Arial"/>
      <w:sz w:val="22"/>
    </w:rPr>
  </w:style>
  <w:style w:type="character" w:customStyle="1" w:styleId="BodyText2Char">
    <w:name w:val="Body Text 2 Char"/>
    <w:basedOn w:val="DefaultParagraphFont"/>
    <w:link w:val="BodyText2"/>
    <w:uiPriority w:val="99"/>
    <w:semiHidden/>
    <w:rsid w:val="008A5C04"/>
    <w:rPr>
      <w:rFonts w:ascii="Arial" w:eastAsiaTheme="minorEastAsia" w:hAnsi="Arial"/>
      <w:sz w:val="22"/>
      <w:szCs w:val="24"/>
      <w:lang w:eastAsia="en-US"/>
    </w:rPr>
  </w:style>
  <w:style w:type="paragraph" w:styleId="BodyText3">
    <w:name w:val="Body Text 3"/>
    <w:basedOn w:val="Normal"/>
    <w:link w:val="BodyText3Char"/>
    <w:uiPriority w:val="99"/>
    <w:semiHidden/>
    <w:rsid w:val="008A5C04"/>
    <w:pPr>
      <w:spacing w:before="120" w:after="120"/>
    </w:pPr>
    <w:rPr>
      <w:rFonts w:ascii="Arial" w:eastAsiaTheme="minorEastAsia" w:hAnsi="Arial"/>
      <w:sz w:val="16"/>
      <w:szCs w:val="16"/>
    </w:rPr>
  </w:style>
  <w:style w:type="character" w:customStyle="1" w:styleId="BodyText3Char">
    <w:name w:val="Body Text 3 Char"/>
    <w:basedOn w:val="DefaultParagraphFont"/>
    <w:link w:val="BodyText3"/>
    <w:uiPriority w:val="99"/>
    <w:semiHidden/>
    <w:rsid w:val="008A5C04"/>
    <w:rPr>
      <w:rFonts w:ascii="Arial" w:eastAsiaTheme="minorEastAsia" w:hAnsi="Arial"/>
      <w:sz w:val="16"/>
      <w:szCs w:val="16"/>
      <w:lang w:eastAsia="en-US"/>
    </w:rPr>
  </w:style>
  <w:style w:type="paragraph" w:styleId="BodyTextFirstIndent">
    <w:name w:val="Body Text First Indent"/>
    <w:basedOn w:val="BodyText"/>
    <w:link w:val="BodyTextFirstIndentChar"/>
    <w:uiPriority w:val="99"/>
    <w:rsid w:val="008A5C04"/>
    <w:pPr>
      <w:spacing w:after="240"/>
      <w:ind w:firstLine="360"/>
    </w:pPr>
  </w:style>
  <w:style w:type="character" w:customStyle="1" w:styleId="BodyTextFirstIndentChar">
    <w:name w:val="Body Text First Indent Char"/>
    <w:basedOn w:val="BodyTextChar"/>
    <w:link w:val="BodyTextFirstIndent"/>
    <w:uiPriority w:val="99"/>
    <w:rsid w:val="008A5C04"/>
    <w:rPr>
      <w:rFonts w:ascii="Arial" w:eastAsiaTheme="minorEastAsia" w:hAnsi="Arial"/>
      <w:sz w:val="22"/>
      <w:szCs w:val="24"/>
      <w:lang w:eastAsia="en-US"/>
    </w:rPr>
  </w:style>
  <w:style w:type="paragraph" w:styleId="BodyTextIndent">
    <w:name w:val="Body Text Indent"/>
    <w:basedOn w:val="Normal"/>
    <w:link w:val="BodyTextIndentChar"/>
    <w:uiPriority w:val="99"/>
    <w:semiHidden/>
    <w:rsid w:val="008A5C04"/>
    <w:pPr>
      <w:spacing w:before="120" w:after="120"/>
      <w:ind w:left="283"/>
    </w:pPr>
    <w:rPr>
      <w:rFonts w:ascii="Arial" w:eastAsiaTheme="minorEastAsia" w:hAnsi="Arial"/>
      <w:sz w:val="22"/>
    </w:rPr>
  </w:style>
  <w:style w:type="character" w:customStyle="1" w:styleId="BodyTextIndentChar">
    <w:name w:val="Body Text Indent Char"/>
    <w:basedOn w:val="DefaultParagraphFont"/>
    <w:link w:val="BodyTextIndent"/>
    <w:uiPriority w:val="99"/>
    <w:semiHidden/>
    <w:rsid w:val="008A5C04"/>
    <w:rPr>
      <w:rFonts w:ascii="Arial" w:eastAsiaTheme="minorEastAsia" w:hAnsi="Arial"/>
      <w:sz w:val="22"/>
      <w:szCs w:val="24"/>
      <w:lang w:eastAsia="en-US"/>
    </w:rPr>
  </w:style>
  <w:style w:type="paragraph" w:styleId="BodyTextFirstIndent2">
    <w:name w:val="Body Text First Indent 2"/>
    <w:basedOn w:val="BodyTextIndent"/>
    <w:link w:val="BodyTextFirstIndent2Char"/>
    <w:uiPriority w:val="99"/>
    <w:semiHidden/>
    <w:rsid w:val="008A5C04"/>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8A5C04"/>
    <w:rPr>
      <w:rFonts w:ascii="Arial" w:eastAsiaTheme="minorEastAsia" w:hAnsi="Arial"/>
      <w:sz w:val="22"/>
      <w:szCs w:val="24"/>
      <w:lang w:eastAsia="en-US"/>
    </w:rPr>
  </w:style>
  <w:style w:type="paragraph" w:styleId="BodyTextIndent2">
    <w:name w:val="Body Text Indent 2"/>
    <w:basedOn w:val="Normal"/>
    <w:link w:val="BodyTextIndent2Char"/>
    <w:uiPriority w:val="99"/>
    <w:semiHidden/>
    <w:rsid w:val="008A5C04"/>
    <w:pPr>
      <w:spacing w:before="120" w:after="120" w:line="480" w:lineRule="auto"/>
      <w:ind w:left="283"/>
    </w:pPr>
    <w:rPr>
      <w:rFonts w:ascii="Arial" w:eastAsiaTheme="minorEastAsia" w:hAnsi="Arial"/>
      <w:sz w:val="22"/>
    </w:rPr>
  </w:style>
  <w:style w:type="character" w:customStyle="1" w:styleId="BodyTextIndent2Char">
    <w:name w:val="Body Text Indent 2 Char"/>
    <w:basedOn w:val="DefaultParagraphFont"/>
    <w:link w:val="BodyTextIndent2"/>
    <w:uiPriority w:val="99"/>
    <w:semiHidden/>
    <w:rsid w:val="008A5C04"/>
    <w:rPr>
      <w:rFonts w:ascii="Arial" w:eastAsiaTheme="minorEastAsia" w:hAnsi="Arial"/>
      <w:sz w:val="22"/>
      <w:szCs w:val="24"/>
      <w:lang w:eastAsia="en-US"/>
    </w:rPr>
  </w:style>
  <w:style w:type="paragraph" w:styleId="BodyTextIndent3">
    <w:name w:val="Body Text Indent 3"/>
    <w:basedOn w:val="Normal"/>
    <w:link w:val="BodyTextIndent3Char"/>
    <w:uiPriority w:val="99"/>
    <w:semiHidden/>
    <w:rsid w:val="008A5C04"/>
    <w:pPr>
      <w:spacing w:before="120" w:after="120"/>
      <w:ind w:left="283"/>
    </w:pPr>
    <w:rPr>
      <w:rFonts w:ascii="Arial" w:eastAsiaTheme="minorEastAsia" w:hAnsi="Arial"/>
      <w:sz w:val="16"/>
      <w:szCs w:val="16"/>
    </w:rPr>
  </w:style>
  <w:style w:type="character" w:customStyle="1" w:styleId="BodyTextIndent3Char">
    <w:name w:val="Body Text Indent 3 Char"/>
    <w:basedOn w:val="DefaultParagraphFont"/>
    <w:link w:val="BodyTextIndent3"/>
    <w:uiPriority w:val="99"/>
    <w:semiHidden/>
    <w:rsid w:val="008A5C04"/>
    <w:rPr>
      <w:rFonts w:ascii="Arial" w:eastAsiaTheme="minorEastAsia" w:hAnsi="Arial"/>
      <w:sz w:val="16"/>
      <w:szCs w:val="16"/>
      <w:lang w:eastAsia="en-US"/>
    </w:rPr>
  </w:style>
  <w:style w:type="paragraph" w:styleId="Closing">
    <w:name w:val="Closing"/>
    <w:basedOn w:val="Normal"/>
    <w:link w:val="ClosingChar"/>
    <w:uiPriority w:val="99"/>
    <w:semiHidden/>
    <w:rsid w:val="008A5C04"/>
    <w:pPr>
      <w:ind w:left="4252"/>
    </w:pPr>
    <w:rPr>
      <w:rFonts w:ascii="Arial" w:eastAsiaTheme="minorEastAsia" w:hAnsi="Arial"/>
      <w:sz w:val="22"/>
    </w:rPr>
  </w:style>
  <w:style w:type="character" w:customStyle="1" w:styleId="ClosingChar">
    <w:name w:val="Closing Char"/>
    <w:basedOn w:val="DefaultParagraphFont"/>
    <w:link w:val="Closing"/>
    <w:uiPriority w:val="99"/>
    <w:semiHidden/>
    <w:rsid w:val="008A5C04"/>
    <w:rPr>
      <w:rFonts w:ascii="Arial" w:eastAsiaTheme="minorEastAsia" w:hAnsi="Arial"/>
      <w:sz w:val="22"/>
      <w:szCs w:val="24"/>
      <w:lang w:eastAsia="en-US"/>
    </w:rPr>
  </w:style>
  <w:style w:type="character" w:customStyle="1" w:styleId="CommentTextChar">
    <w:name w:val="Comment Text Char"/>
    <w:basedOn w:val="DefaultParagraphFont"/>
    <w:link w:val="CommentText"/>
    <w:uiPriority w:val="99"/>
    <w:semiHidden/>
    <w:rsid w:val="008A5C04"/>
    <w:rPr>
      <w:rFonts w:ascii="Verdana" w:hAnsi="Verdana"/>
      <w:lang w:eastAsia="en-US"/>
    </w:rPr>
  </w:style>
  <w:style w:type="character" w:customStyle="1" w:styleId="CommentSubjectChar">
    <w:name w:val="Comment Subject Char"/>
    <w:basedOn w:val="CommentTextChar"/>
    <w:link w:val="CommentSubject"/>
    <w:uiPriority w:val="99"/>
    <w:semiHidden/>
    <w:rsid w:val="008A5C04"/>
    <w:rPr>
      <w:rFonts w:ascii="Verdana" w:hAnsi="Verdana"/>
      <w:b/>
      <w:bCs/>
      <w:lang w:eastAsia="en-US"/>
    </w:rPr>
  </w:style>
  <w:style w:type="paragraph" w:styleId="Date">
    <w:name w:val="Date"/>
    <w:basedOn w:val="Normal"/>
    <w:next w:val="Normal"/>
    <w:link w:val="DateChar"/>
    <w:uiPriority w:val="99"/>
    <w:rsid w:val="008A5C04"/>
    <w:pPr>
      <w:spacing w:before="120" w:after="240"/>
    </w:pPr>
    <w:rPr>
      <w:rFonts w:ascii="Arial" w:eastAsiaTheme="minorEastAsia" w:hAnsi="Arial"/>
      <w:sz w:val="22"/>
    </w:rPr>
  </w:style>
  <w:style w:type="character" w:customStyle="1" w:styleId="DateChar">
    <w:name w:val="Date Char"/>
    <w:basedOn w:val="DefaultParagraphFont"/>
    <w:link w:val="Date"/>
    <w:uiPriority w:val="99"/>
    <w:rsid w:val="008A5C04"/>
    <w:rPr>
      <w:rFonts w:ascii="Arial" w:eastAsiaTheme="minorEastAsia" w:hAnsi="Arial"/>
      <w:sz w:val="22"/>
      <w:szCs w:val="24"/>
      <w:lang w:eastAsia="en-US"/>
    </w:rPr>
  </w:style>
  <w:style w:type="character" w:customStyle="1" w:styleId="DocumentMapChar">
    <w:name w:val="Document Map Char"/>
    <w:basedOn w:val="DefaultParagraphFont"/>
    <w:link w:val="DocumentMap"/>
    <w:uiPriority w:val="99"/>
    <w:semiHidden/>
    <w:rsid w:val="008A5C04"/>
    <w:rPr>
      <w:rFonts w:ascii="Tahoma" w:hAnsi="Tahoma" w:cs="Tahoma"/>
      <w:shd w:val="clear" w:color="auto" w:fill="000080"/>
      <w:lang w:eastAsia="en-US"/>
    </w:rPr>
  </w:style>
  <w:style w:type="paragraph" w:styleId="E-mailSignature">
    <w:name w:val="E-mail Signature"/>
    <w:basedOn w:val="Normal"/>
    <w:link w:val="E-mailSignatureChar"/>
    <w:uiPriority w:val="99"/>
    <w:semiHidden/>
    <w:rsid w:val="008A5C04"/>
    <w:rPr>
      <w:rFonts w:ascii="Arial" w:eastAsiaTheme="minorEastAsia" w:hAnsi="Arial"/>
      <w:sz w:val="22"/>
    </w:rPr>
  </w:style>
  <w:style w:type="character" w:customStyle="1" w:styleId="E-mailSignatureChar">
    <w:name w:val="E-mail Signature Char"/>
    <w:basedOn w:val="DefaultParagraphFont"/>
    <w:link w:val="E-mailSignature"/>
    <w:uiPriority w:val="99"/>
    <w:semiHidden/>
    <w:rsid w:val="008A5C04"/>
    <w:rPr>
      <w:rFonts w:ascii="Arial" w:eastAsiaTheme="minorEastAsia" w:hAnsi="Arial"/>
      <w:sz w:val="22"/>
      <w:szCs w:val="24"/>
      <w:lang w:eastAsia="en-US"/>
    </w:rPr>
  </w:style>
  <w:style w:type="character" w:customStyle="1" w:styleId="EndnoteTextChar">
    <w:name w:val="Endnote Text Char"/>
    <w:basedOn w:val="DefaultParagraphFont"/>
    <w:link w:val="EndnoteText"/>
    <w:uiPriority w:val="99"/>
    <w:semiHidden/>
    <w:rsid w:val="008A5C04"/>
    <w:rPr>
      <w:rFonts w:ascii="Verdana" w:hAnsi="Verdana"/>
      <w:lang w:eastAsia="en-US"/>
    </w:rPr>
  </w:style>
  <w:style w:type="paragraph" w:styleId="EnvelopeAddress">
    <w:name w:val="envelope address"/>
    <w:basedOn w:val="Normal"/>
    <w:uiPriority w:val="99"/>
    <w:semiHidden/>
    <w:rsid w:val="008A5C04"/>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uiPriority w:val="99"/>
    <w:semiHidden/>
    <w:rsid w:val="008A5C04"/>
    <w:rPr>
      <w:rFonts w:asciiTheme="majorHAnsi" w:eastAsiaTheme="majorEastAsia" w:hAnsiTheme="majorHAnsi" w:cstheme="majorBidi"/>
      <w:szCs w:val="20"/>
    </w:rPr>
  </w:style>
  <w:style w:type="paragraph" w:styleId="HTMLAddress">
    <w:name w:val="HTML Address"/>
    <w:basedOn w:val="Normal"/>
    <w:link w:val="HTMLAddressChar"/>
    <w:uiPriority w:val="99"/>
    <w:semiHidden/>
    <w:rsid w:val="008A5C04"/>
    <w:rPr>
      <w:rFonts w:ascii="Arial" w:eastAsiaTheme="minorEastAsia" w:hAnsi="Arial"/>
      <w:i/>
      <w:iCs/>
      <w:sz w:val="22"/>
    </w:rPr>
  </w:style>
  <w:style w:type="character" w:customStyle="1" w:styleId="HTMLAddressChar">
    <w:name w:val="HTML Address Char"/>
    <w:basedOn w:val="DefaultParagraphFont"/>
    <w:link w:val="HTMLAddress"/>
    <w:uiPriority w:val="99"/>
    <w:semiHidden/>
    <w:rsid w:val="008A5C04"/>
    <w:rPr>
      <w:rFonts w:ascii="Arial" w:eastAsiaTheme="minorEastAsia" w:hAnsi="Arial"/>
      <w:i/>
      <w:iCs/>
      <w:sz w:val="22"/>
      <w:szCs w:val="24"/>
      <w:lang w:eastAsia="en-US"/>
    </w:rPr>
  </w:style>
  <w:style w:type="paragraph" w:styleId="HTMLPreformatted">
    <w:name w:val="HTML Preformatted"/>
    <w:basedOn w:val="Normal"/>
    <w:link w:val="HTMLPreformattedChar"/>
    <w:uiPriority w:val="99"/>
    <w:semiHidden/>
    <w:rsid w:val="008A5C04"/>
    <w:rPr>
      <w:rFonts w:ascii="Consolas" w:eastAsiaTheme="minorEastAsia" w:hAnsi="Consolas" w:cs="Consolas"/>
      <w:szCs w:val="20"/>
    </w:rPr>
  </w:style>
  <w:style w:type="character" w:customStyle="1" w:styleId="HTMLPreformattedChar">
    <w:name w:val="HTML Preformatted Char"/>
    <w:basedOn w:val="DefaultParagraphFont"/>
    <w:link w:val="HTMLPreformatted"/>
    <w:uiPriority w:val="99"/>
    <w:semiHidden/>
    <w:rsid w:val="008A5C04"/>
    <w:rPr>
      <w:rFonts w:ascii="Consolas" w:eastAsiaTheme="minorEastAsia" w:hAnsi="Consolas" w:cs="Consolas"/>
      <w:lang w:eastAsia="en-US"/>
    </w:rPr>
  </w:style>
  <w:style w:type="paragraph" w:styleId="IntenseQuote">
    <w:name w:val="Intense Quote"/>
    <w:basedOn w:val="Normal"/>
    <w:next w:val="Normal"/>
    <w:link w:val="IntenseQuoteChar"/>
    <w:uiPriority w:val="30"/>
    <w:qFormat/>
    <w:locked/>
    <w:rsid w:val="008A5C04"/>
    <w:pPr>
      <w:pBdr>
        <w:bottom w:val="single" w:sz="4" w:space="4" w:color="4F81BD" w:themeColor="accent1"/>
      </w:pBdr>
      <w:spacing w:before="200" w:after="280"/>
      <w:ind w:left="936" w:right="936"/>
    </w:pPr>
    <w:rPr>
      <w:rFonts w:ascii="Arial" w:eastAsiaTheme="minorEastAsia" w:hAnsi="Arial"/>
      <w:b/>
      <w:bCs/>
      <w:i/>
      <w:iCs/>
      <w:color w:val="4F81BD" w:themeColor="accent1"/>
      <w:sz w:val="22"/>
    </w:rPr>
  </w:style>
  <w:style w:type="character" w:customStyle="1" w:styleId="IntenseQuoteChar">
    <w:name w:val="Intense Quote Char"/>
    <w:basedOn w:val="DefaultParagraphFont"/>
    <w:link w:val="IntenseQuote"/>
    <w:uiPriority w:val="30"/>
    <w:rsid w:val="008A5C04"/>
    <w:rPr>
      <w:rFonts w:ascii="Arial" w:eastAsiaTheme="minorEastAsia" w:hAnsi="Arial"/>
      <w:b/>
      <w:bCs/>
      <w:i/>
      <w:iCs/>
      <w:color w:val="4F81BD" w:themeColor="accent1"/>
      <w:sz w:val="22"/>
      <w:szCs w:val="24"/>
      <w:lang w:eastAsia="en-US"/>
    </w:rPr>
  </w:style>
  <w:style w:type="paragraph" w:styleId="List2">
    <w:name w:val="List 2"/>
    <w:basedOn w:val="Normal"/>
    <w:uiPriority w:val="99"/>
    <w:semiHidden/>
    <w:rsid w:val="008A5C04"/>
    <w:pPr>
      <w:spacing w:before="120" w:after="240"/>
      <w:ind w:left="566" w:hanging="283"/>
      <w:contextualSpacing/>
    </w:pPr>
    <w:rPr>
      <w:rFonts w:ascii="Arial" w:eastAsiaTheme="minorEastAsia" w:hAnsi="Arial"/>
      <w:sz w:val="22"/>
    </w:rPr>
  </w:style>
  <w:style w:type="paragraph" w:styleId="List3">
    <w:name w:val="List 3"/>
    <w:basedOn w:val="Normal"/>
    <w:uiPriority w:val="99"/>
    <w:semiHidden/>
    <w:rsid w:val="008A5C04"/>
    <w:pPr>
      <w:spacing w:before="120" w:after="240"/>
      <w:ind w:left="849" w:hanging="283"/>
      <w:contextualSpacing/>
    </w:pPr>
    <w:rPr>
      <w:rFonts w:ascii="Arial" w:eastAsiaTheme="minorEastAsia" w:hAnsi="Arial"/>
      <w:sz w:val="22"/>
    </w:rPr>
  </w:style>
  <w:style w:type="paragraph" w:styleId="List4">
    <w:name w:val="List 4"/>
    <w:basedOn w:val="Normal"/>
    <w:uiPriority w:val="99"/>
    <w:rsid w:val="008A5C04"/>
    <w:pPr>
      <w:spacing w:before="120" w:after="240"/>
      <w:ind w:left="1132" w:hanging="283"/>
      <w:contextualSpacing/>
    </w:pPr>
    <w:rPr>
      <w:rFonts w:ascii="Arial" w:eastAsiaTheme="minorEastAsia" w:hAnsi="Arial"/>
      <w:sz w:val="22"/>
    </w:rPr>
  </w:style>
  <w:style w:type="paragraph" w:styleId="List5">
    <w:name w:val="List 5"/>
    <w:basedOn w:val="Normal"/>
    <w:uiPriority w:val="99"/>
    <w:rsid w:val="008A5C04"/>
    <w:pPr>
      <w:spacing w:before="120" w:after="240"/>
      <w:ind w:left="1415" w:hanging="283"/>
      <w:contextualSpacing/>
    </w:pPr>
    <w:rPr>
      <w:rFonts w:ascii="Arial" w:eastAsiaTheme="minorEastAsia" w:hAnsi="Arial"/>
      <w:sz w:val="22"/>
    </w:rPr>
  </w:style>
  <w:style w:type="paragraph" w:styleId="ListContinue">
    <w:name w:val="List Continue"/>
    <w:basedOn w:val="Normal"/>
    <w:uiPriority w:val="99"/>
    <w:semiHidden/>
    <w:rsid w:val="008A5C04"/>
    <w:pPr>
      <w:spacing w:before="120" w:after="120"/>
      <w:ind w:left="283"/>
      <w:contextualSpacing/>
    </w:pPr>
    <w:rPr>
      <w:rFonts w:ascii="Arial" w:eastAsiaTheme="minorEastAsia" w:hAnsi="Arial"/>
      <w:sz w:val="22"/>
    </w:rPr>
  </w:style>
  <w:style w:type="paragraph" w:styleId="ListContinue2">
    <w:name w:val="List Continue 2"/>
    <w:basedOn w:val="Normal"/>
    <w:uiPriority w:val="99"/>
    <w:semiHidden/>
    <w:rsid w:val="008A5C04"/>
    <w:pPr>
      <w:spacing w:before="120" w:after="120"/>
      <w:ind w:left="566"/>
      <w:contextualSpacing/>
    </w:pPr>
    <w:rPr>
      <w:rFonts w:ascii="Arial" w:eastAsiaTheme="minorEastAsia" w:hAnsi="Arial"/>
      <w:sz w:val="22"/>
    </w:rPr>
  </w:style>
  <w:style w:type="paragraph" w:styleId="ListContinue3">
    <w:name w:val="List Continue 3"/>
    <w:basedOn w:val="Normal"/>
    <w:uiPriority w:val="99"/>
    <w:semiHidden/>
    <w:rsid w:val="008A5C04"/>
    <w:pPr>
      <w:spacing w:before="120" w:after="120"/>
      <w:ind w:left="849"/>
      <w:contextualSpacing/>
    </w:pPr>
    <w:rPr>
      <w:rFonts w:ascii="Arial" w:eastAsiaTheme="minorEastAsia" w:hAnsi="Arial"/>
      <w:sz w:val="22"/>
    </w:rPr>
  </w:style>
  <w:style w:type="paragraph" w:styleId="ListContinue4">
    <w:name w:val="List Continue 4"/>
    <w:basedOn w:val="Normal"/>
    <w:uiPriority w:val="99"/>
    <w:semiHidden/>
    <w:rsid w:val="008A5C04"/>
    <w:pPr>
      <w:spacing w:before="120" w:after="120"/>
      <w:ind w:left="1132"/>
      <w:contextualSpacing/>
    </w:pPr>
    <w:rPr>
      <w:rFonts w:ascii="Arial" w:eastAsiaTheme="minorEastAsia" w:hAnsi="Arial"/>
      <w:sz w:val="22"/>
    </w:rPr>
  </w:style>
  <w:style w:type="paragraph" w:styleId="ListContinue5">
    <w:name w:val="List Continue 5"/>
    <w:basedOn w:val="Normal"/>
    <w:uiPriority w:val="99"/>
    <w:semiHidden/>
    <w:rsid w:val="008A5C04"/>
    <w:pPr>
      <w:spacing w:before="120" w:after="120"/>
      <w:ind w:left="1415"/>
      <w:contextualSpacing/>
    </w:pPr>
    <w:rPr>
      <w:rFonts w:ascii="Arial" w:eastAsiaTheme="minorEastAsia" w:hAnsi="Arial"/>
      <w:sz w:val="22"/>
    </w:rPr>
  </w:style>
  <w:style w:type="paragraph" w:styleId="ListNumber5">
    <w:name w:val="List Number 5"/>
    <w:basedOn w:val="Normal"/>
    <w:uiPriority w:val="99"/>
    <w:semiHidden/>
    <w:rsid w:val="008A5C04"/>
    <w:pPr>
      <w:tabs>
        <w:tab w:val="num" w:pos="1492"/>
      </w:tabs>
      <w:spacing w:before="120" w:after="240"/>
      <w:ind w:left="1492" w:hanging="360"/>
      <w:contextualSpacing/>
    </w:pPr>
    <w:rPr>
      <w:rFonts w:ascii="Arial" w:eastAsiaTheme="minorEastAsia" w:hAnsi="Arial"/>
      <w:sz w:val="22"/>
    </w:rPr>
  </w:style>
  <w:style w:type="character" w:customStyle="1" w:styleId="MacroTextChar">
    <w:name w:val="Macro Text Char"/>
    <w:basedOn w:val="DefaultParagraphFont"/>
    <w:link w:val="MacroText"/>
    <w:uiPriority w:val="99"/>
    <w:semiHidden/>
    <w:rsid w:val="008A5C04"/>
    <w:rPr>
      <w:rFonts w:ascii="Courier New" w:hAnsi="Courier New" w:cs="Courier New"/>
      <w:lang w:eastAsia="en-US"/>
    </w:rPr>
  </w:style>
  <w:style w:type="paragraph" w:styleId="MessageHeader">
    <w:name w:val="Message Header"/>
    <w:basedOn w:val="Normal"/>
    <w:link w:val="MessageHeaderChar"/>
    <w:uiPriority w:val="99"/>
    <w:semiHidden/>
    <w:rsid w:val="008A5C04"/>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8A5C04"/>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locked/>
    <w:rsid w:val="008A5C04"/>
    <w:rPr>
      <w:rFonts w:ascii="Arial" w:eastAsiaTheme="minorEastAsia" w:hAnsi="Arial"/>
      <w:sz w:val="22"/>
      <w:szCs w:val="24"/>
      <w:lang w:eastAsia="en-US"/>
    </w:rPr>
  </w:style>
  <w:style w:type="paragraph" w:styleId="NormalIndent">
    <w:name w:val="Normal Indent"/>
    <w:basedOn w:val="Normal"/>
    <w:uiPriority w:val="99"/>
    <w:semiHidden/>
    <w:rsid w:val="008A5C04"/>
    <w:pPr>
      <w:spacing w:before="120" w:after="240"/>
      <w:ind w:left="720"/>
    </w:pPr>
    <w:rPr>
      <w:rFonts w:ascii="Arial" w:eastAsiaTheme="minorEastAsia" w:hAnsi="Arial"/>
      <w:sz w:val="22"/>
    </w:rPr>
  </w:style>
  <w:style w:type="paragraph" w:styleId="NoteHeading">
    <w:name w:val="Note Heading"/>
    <w:basedOn w:val="Normal"/>
    <w:next w:val="Normal"/>
    <w:link w:val="NoteHeadingChar"/>
    <w:uiPriority w:val="99"/>
    <w:semiHidden/>
    <w:rsid w:val="008A5C04"/>
    <w:rPr>
      <w:rFonts w:ascii="Arial" w:eastAsiaTheme="minorEastAsia" w:hAnsi="Arial"/>
      <w:sz w:val="22"/>
    </w:rPr>
  </w:style>
  <w:style w:type="character" w:customStyle="1" w:styleId="NoteHeadingChar">
    <w:name w:val="Note Heading Char"/>
    <w:basedOn w:val="DefaultParagraphFont"/>
    <w:link w:val="NoteHeading"/>
    <w:uiPriority w:val="99"/>
    <w:semiHidden/>
    <w:rsid w:val="008A5C04"/>
    <w:rPr>
      <w:rFonts w:ascii="Arial" w:eastAsiaTheme="minorEastAsia" w:hAnsi="Arial"/>
      <w:sz w:val="22"/>
      <w:szCs w:val="24"/>
      <w:lang w:eastAsia="en-US"/>
    </w:rPr>
  </w:style>
  <w:style w:type="paragraph" w:styleId="PlainText">
    <w:name w:val="Plain Text"/>
    <w:basedOn w:val="Normal"/>
    <w:link w:val="PlainTextChar"/>
    <w:uiPriority w:val="99"/>
    <w:semiHidden/>
    <w:rsid w:val="008A5C04"/>
    <w:rPr>
      <w:rFonts w:ascii="Consolas" w:eastAsiaTheme="minorEastAsia" w:hAnsi="Consolas" w:cs="Consolas"/>
      <w:sz w:val="21"/>
      <w:szCs w:val="21"/>
    </w:rPr>
  </w:style>
  <w:style w:type="character" w:customStyle="1" w:styleId="PlainTextChar">
    <w:name w:val="Plain Text Char"/>
    <w:basedOn w:val="DefaultParagraphFont"/>
    <w:link w:val="PlainText"/>
    <w:uiPriority w:val="99"/>
    <w:semiHidden/>
    <w:rsid w:val="008A5C04"/>
    <w:rPr>
      <w:rFonts w:ascii="Consolas" w:eastAsiaTheme="minorEastAsia" w:hAnsi="Consolas" w:cs="Consolas"/>
      <w:sz w:val="21"/>
      <w:szCs w:val="21"/>
      <w:lang w:eastAsia="en-US"/>
    </w:rPr>
  </w:style>
  <w:style w:type="paragraph" w:styleId="Salutation">
    <w:name w:val="Salutation"/>
    <w:basedOn w:val="Normal"/>
    <w:next w:val="Normal"/>
    <w:link w:val="SalutationChar"/>
    <w:uiPriority w:val="99"/>
    <w:rsid w:val="008A5C04"/>
    <w:pPr>
      <w:spacing w:before="120" w:after="240"/>
    </w:pPr>
    <w:rPr>
      <w:rFonts w:ascii="Arial" w:eastAsiaTheme="minorEastAsia" w:hAnsi="Arial"/>
      <w:sz w:val="22"/>
    </w:rPr>
  </w:style>
  <w:style w:type="character" w:customStyle="1" w:styleId="SalutationChar">
    <w:name w:val="Salutation Char"/>
    <w:basedOn w:val="DefaultParagraphFont"/>
    <w:link w:val="Salutation"/>
    <w:uiPriority w:val="99"/>
    <w:rsid w:val="008A5C04"/>
    <w:rPr>
      <w:rFonts w:ascii="Arial" w:eastAsiaTheme="minorEastAsia" w:hAnsi="Arial"/>
      <w:sz w:val="22"/>
      <w:szCs w:val="24"/>
      <w:lang w:eastAsia="en-US"/>
    </w:rPr>
  </w:style>
  <w:style w:type="paragraph" w:styleId="Signature">
    <w:name w:val="Signature"/>
    <w:basedOn w:val="Normal"/>
    <w:link w:val="SignatureChar"/>
    <w:uiPriority w:val="99"/>
    <w:semiHidden/>
    <w:rsid w:val="008A5C04"/>
    <w:pPr>
      <w:ind w:left="4252"/>
    </w:pPr>
    <w:rPr>
      <w:rFonts w:ascii="Arial" w:eastAsiaTheme="minorEastAsia" w:hAnsi="Arial"/>
      <w:sz w:val="22"/>
    </w:rPr>
  </w:style>
  <w:style w:type="character" w:customStyle="1" w:styleId="SignatureChar">
    <w:name w:val="Signature Char"/>
    <w:basedOn w:val="DefaultParagraphFont"/>
    <w:link w:val="Signature"/>
    <w:uiPriority w:val="99"/>
    <w:semiHidden/>
    <w:rsid w:val="008A5C04"/>
    <w:rPr>
      <w:rFonts w:ascii="Arial" w:eastAsiaTheme="minorEastAsia" w:hAnsi="Arial"/>
      <w:sz w:val="22"/>
      <w:szCs w:val="24"/>
      <w:lang w:eastAsia="en-US"/>
    </w:rPr>
  </w:style>
  <w:style w:type="paragraph" w:styleId="Subtitle">
    <w:name w:val="Subtitle"/>
    <w:basedOn w:val="Normal"/>
    <w:next w:val="Normal"/>
    <w:link w:val="SubtitleChar"/>
    <w:uiPriority w:val="11"/>
    <w:qFormat/>
    <w:rsid w:val="008A5C04"/>
    <w:pPr>
      <w:numPr>
        <w:ilvl w:val="1"/>
      </w:numPr>
      <w:spacing w:before="120" w:after="240"/>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8A5C04"/>
    <w:rPr>
      <w:rFonts w:asciiTheme="majorHAnsi" w:eastAsiaTheme="majorEastAsia" w:hAnsiTheme="majorHAnsi" w:cstheme="majorBidi"/>
      <w:i/>
      <w:iCs/>
      <w:color w:val="4F81BD" w:themeColor="accent1"/>
      <w:spacing w:val="15"/>
      <w:sz w:val="24"/>
      <w:szCs w:val="24"/>
      <w:lang w:eastAsia="en-US"/>
    </w:rPr>
  </w:style>
  <w:style w:type="paragraph" w:styleId="Title">
    <w:name w:val="Title"/>
    <w:basedOn w:val="Normal"/>
    <w:next w:val="Normal"/>
    <w:link w:val="TitleChar"/>
    <w:uiPriority w:val="10"/>
    <w:qFormat/>
    <w:rsid w:val="008A5C0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A5C04"/>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TableHeaderMR">
    <w:name w:val="TableHeaderMR"/>
    <w:basedOn w:val="TableText-Centre"/>
    <w:link w:val="TableHeaderMRChar"/>
    <w:qFormat/>
    <w:rsid w:val="008A5C04"/>
    <w:rPr>
      <w:rFonts w:ascii="Arial Bold" w:hAnsi="Arial Bold"/>
      <w:b/>
      <w:smallCaps/>
    </w:rPr>
  </w:style>
  <w:style w:type="character" w:customStyle="1" w:styleId="TableHeaderMRChar">
    <w:name w:val="TableHeaderMR Char"/>
    <w:basedOn w:val="TableText-CentreChar"/>
    <w:link w:val="TableHeaderMR"/>
    <w:rsid w:val="008A5C04"/>
    <w:rPr>
      <w:rFonts w:ascii="Arial Bold" w:eastAsiaTheme="minorEastAsia" w:hAnsi="Arial Bold"/>
      <w:b/>
      <w:smallCaps/>
      <w:sz w:val="22"/>
      <w:szCs w:val="24"/>
      <w:lang w:eastAsia="en-US"/>
    </w:rPr>
  </w:style>
  <w:style w:type="paragraph" w:customStyle="1" w:styleId="Bulletted">
    <w:name w:val="Bulletted"/>
    <w:basedOn w:val="BodyTextNormal"/>
    <w:link w:val="BullettedChar"/>
    <w:rsid w:val="008A5C04"/>
    <w:pPr>
      <w:numPr>
        <w:numId w:val="23"/>
      </w:numPr>
      <w:spacing w:after="120"/>
      <w:ind w:left="0" w:firstLine="0"/>
    </w:pPr>
    <w:rPr>
      <w:rFonts w:ascii="Arial" w:hAnsi="Arial"/>
      <w:sz w:val="22"/>
    </w:rPr>
  </w:style>
  <w:style w:type="character" w:customStyle="1" w:styleId="BullettedChar">
    <w:name w:val="Bulletted Char"/>
    <w:basedOn w:val="BodyTextNormalChar"/>
    <w:link w:val="Bulletted"/>
    <w:rsid w:val="008A5C04"/>
    <w:rPr>
      <w:rFonts w:ascii="Arial" w:eastAsiaTheme="minorEastAsia" w:hAnsi="Arial"/>
      <w:sz w:val="22"/>
      <w:szCs w:val="24"/>
      <w:lang w:eastAsia="en-US"/>
    </w:rPr>
  </w:style>
  <w:style w:type="character" w:customStyle="1" w:styleId="UnresolvedMention1">
    <w:name w:val="Unresolved Mention1"/>
    <w:basedOn w:val="DefaultParagraphFont"/>
    <w:uiPriority w:val="99"/>
    <w:semiHidden/>
    <w:unhideWhenUsed/>
    <w:rsid w:val="008A5C04"/>
    <w:rPr>
      <w:color w:val="808080"/>
      <w:shd w:val="clear" w:color="auto" w:fill="E6E6E6"/>
    </w:rPr>
  </w:style>
  <w:style w:type="character" w:styleId="FollowedHyperlink">
    <w:name w:val="FollowedHyperlink"/>
    <w:basedOn w:val="DefaultParagraphFont"/>
    <w:uiPriority w:val="99"/>
    <w:semiHidden/>
    <w:unhideWhenUsed/>
    <w:locked/>
    <w:rsid w:val="008A5C04"/>
    <w:rPr>
      <w:color w:val="800080" w:themeColor="followedHyperlink"/>
      <w:u w:val="single"/>
    </w:rPr>
  </w:style>
  <w:style w:type="table" w:customStyle="1" w:styleId="PlainTable31">
    <w:name w:val="Plain Table 31"/>
    <w:basedOn w:val="TableNormal"/>
    <w:uiPriority w:val="43"/>
    <w:rsid w:val="008A5C04"/>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8A5C04"/>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2">
    <w:name w:val="Unresolved Mention2"/>
    <w:basedOn w:val="DefaultParagraphFont"/>
    <w:uiPriority w:val="99"/>
    <w:semiHidden/>
    <w:unhideWhenUsed/>
    <w:rsid w:val="008A5C04"/>
    <w:rPr>
      <w:color w:val="808080"/>
      <w:shd w:val="clear" w:color="auto" w:fill="E6E6E6"/>
    </w:rPr>
  </w:style>
  <w:style w:type="character" w:customStyle="1" w:styleId="UnresolvedMention3">
    <w:name w:val="Unresolved Mention3"/>
    <w:basedOn w:val="DefaultParagraphFont"/>
    <w:uiPriority w:val="99"/>
    <w:semiHidden/>
    <w:unhideWhenUsed/>
    <w:rsid w:val="005463EB"/>
    <w:rPr>
      <w:color w:val="808080"/>
      <w:shd w:val="clear" w:color="auto" w:fill="E6E6E6"/>
    </w:rPr>
  </w:style>
  <w:style w:type="table" w:customStyle="1" w:styleId="PlainTable32">
    <w:name w:val="Plain Table 32"/>
    <w:basedOn w:val="TableNormal"/>
    <w:uiPriority w:val="43"/>
    <w:rsid w:val="00217614"/>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2">
    <w:name w:val="Plain Table 42"/>
    <w:basedOn w:val="TableNormal"/>
    <w:uiPriority w:val="44"/>
    <w:rsid w:val="00217614"/>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C476E8"/>
    <w:rPr>
      <w:rFonts w:ascii="Verdana" w:hAnsi="Verdana"/>
      <w:szCs w:val="24"/>
      <w:lang w:eastAsia="en-US"/>
    </w:rPr>
  </w:style>
  <w:style w:type="character" w:styleId="EndnoteReference">
    <w:name w:val="endnote reference"/>
    <w:basedOn w:val="DefaultParagraphFont"/>
    <w:semiHidden/>
    <w:unhideWhenUsed/>
    <w:locked/>
    <w:rsid w:val="00295B9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5343633">
      <w:bodyDiv w:val="1"/>
      <w:marLeft w:val="0"/>
      <w:marRight w:val="0"/>
      <w:marTop w:val="0"/>
      <w:marBottom w:val="0"/>
      <w:divBdr>
        <w:top w:val="none" w:sz="0" w:space="0" w:color="auto"/>
        <w:left w:val="none" w:sz="0" w:space="0" w:color="auto"/>
        <w:bottom w:val="none" w:sz="0" w:space="0" w:color="auto"/>
        <w:right w:val="none" w:sz="0" w:space="0" w:color="auto"/>
      </w:divBdr>
    </w:div>
    <w:div w:id="473327711">
      <w:bodyDiv w:val="1"/>
      <w:marLeft w:val="0"/>
      <w:marRight w:val="0"/>
      <w:marTop w:val="0"/>
      <w:marBottom w:val="0"/>
      <w:divBdr>
        <w:top w:val="none" w:sz="0" w:space="0" w:color="auto"/>
        <w:left w:val="none" w:sz="0" w:space="0" w:color="auto"/>
        <w:bottom w:val="none" w:sz="0" w:space="0" w:color="auto"/>
        <w:right w:val="none" w:sz="0" w:space="0" w:color="auto"/>
      </w:divBdr>
    </w:div>
    <w:div w:id="789934501">
      <w:bodyDiv w:val="1"/>
      <w:marLeft w:val="0"/>
      <w:marRight w:val="0"/>
      <w:marTop w:val="0"/>
      <w:marBottom w:val="0"/>
      <w:divBdr>
        <w:top w:val="none" w:sz="0" w:space="0" w:color="auto"/>
        <w:left w:val="none" w:sz="0" w:space="0" w:color="auto"/>
        <w:bottom w:val="none" w:sz="0" w:space="0" w:color="auto"/>
        <w:right w:val="none" w:sz="0" w:space="0" w:color="auto"/>
      </w:divBdr>
    </w:div>
    <w:div w:id="810443767">
      <w:bodyDiv w:val="1"/>
      <w:marLeft w:val="0"/>
      <w:marRight w:val="0"/>
      <w:marTop w:val="0"/>
      <w:marBottom w:val="0"/>
      <w:divBdr>
        <w:top w:val="none" w:sz="0" w:space="0" w:color="auto"/>
        <w:left w:val="none" w:sz="0" w:space="0" w:color="auto"/>
        <w:bottom w:val="none" w:sz="0" w:space="0" w:color="auto"/>
        <w:right w:val="none" w:sz="0" w:space="0" w:color="auto"/>
      </w:divBdr>
    </w:div>
    <w:div w:id="865019829">
      <w:bodyDiv w:val="1"/>
      <w:marLeft w:val="0"/>
      <w:marRight w:val="0"/>
      <w:marTop w:val="0"/>
      <w:marBottom w:val="0"/>
      <w:divBdr>
        <w:top w:val="none" w:sz="0" w:space="0" w:color="auto"/>
        <w:left w:val="none" w:sz="0" w:space="0" w:color="auto"/>
        <w:bottom w:val="none" w:sz="0" w:space="0" w:color="auto"/>
        <w:right w:val="none" w:sz="0" w:space="0" w:color="auto"/>
      </w:divBdr>
    </w:div>
    <w:div w:id="1179390488">
      <w:bodyDiv w:val="1"/>
      <w:marLeft w:val="0"/>
      <w:marRight w:val="0"/>
      <w:marTop w:val="0"/>
      <w:marBottom w:val="0"/>
      <w:divBdr>
        <w:top w:val="none" w:sz="0" w:space="0" w:color="auto"/>
        <w:left w:val="none" w:sz="0" w:space="0" w:color="auto"/>
        <w:bottom w:val="none" w:sz="0" w:space="0" w:color="auto"/>
        <w:right w:val="none" w:sz="0" w:space="0" w:color="auto"/>
      </w:divBdr>
    </w:div>
    <w:div w:id="1384139607">
      <w:bodyDiv w:val="1"/>
      <w:marLeft w:val="0"/>
      <w:marRight w:val="0"/>
      <w:marTop w:val="0"/>
      <w:marBottom w:val="0"/>
      <w:divBdr>
        <w:top w:val="none" w:sz="0" w:space="0" w:color="auto"/>
        <w:left w:val="none" w:sz="0" w:space="0" w:color="auto"/>
        <w:bottom w:val="none" w:sz="0" w:space="0" w:color="auto"/>
        <w:right w:val="none" w:sz="0" w:space="0" w:color="auto"/>
      </w:divBdr>
    </w:div>
    <w:div w:id="1471559085">
      <w:bodyDiv w:val="1"/>
      <w:marLeft w:val="0"/>
      <w:marRight w:val="0"/>
      <w:marTop w:val="0"/>
      <w:marBottom w:val="0"/>
      <w:divBdr>
        <w:top w:val="none" w:sz="0" w:space="0" w:color="auto"/>
        <w:left w:val="none" w:sz="0" w:space="0" w:color="auto"/>
        <w:bottom w:val="none" w:sz="0" w:space="0" w:color="auto"/>
        <w:right w:val="none" w:sz="0" w:space="0" w:color="auto"/>
      </w:divBdr>
    </w:div>
    <w:div w:id="1708291670">
      <w:bodyDiv w:val="1"/>
      <w:marLeft w:val="0"/>
      <w:marRight w:val="0"/>
      <w:marTop w:val="0"/>
      <w:marBottom w:val="0"/>
      <w:divBdr>
        <w:top w:val="none" w:sz="0" w:space="0" w:color="auto"/>
        <w:left w:val="none" w:sz="0" w:space="0" w:color="auto"/>
        <w:bottom w:val="none" w:sz="0" w:space="0" w:color="auto"/>
        <w:right w:val="none" w:sz="0" w:space="0" w:color="auto"/>
      </w:divBdr>
    </w:div>
    <w:div w:id="1883707699">
      <w:bodyDiv w:val="1"/>
      <w:marLeft w:val="0"/>
      <w:marRight w:val="0"/>
      <w:marTop w:val="0"/>
      <w:marBottom w:val="0"/>
      <w:divBdr>
        <w:top w:val="none" w:sz="0" w:space="0" w:color="auto"/>
        <w:left w:val="none" w:sz="0" w:space="0" w:color="auto"/>
        <w:bottom w:val="none" w:sz="0" w:space="0" w:color="auto"/>
        <w:right w:val="none" w:sz="0" w:space="0" w:color="auto"/>
      </w:divBdr>
    </w:div>
    <w:div w:id="2075812250">
      <w:bodyDiv w:val="1"/>
      <w:marLeft w:val="0"/>
      <w:marRight w:val="0"/>
      <w:marTop w:val="0"/>
      <w:marBottom w:val="0"/>
      <w:divBdr>
        <w:top w:val="none" w:sz="0" w:space="0" w:color="auto"/>
        <w:left w:val="none" w:sz="0" w:space="0" w:color="auto"/>
        <w:bottom w:val="none" w:sz="0" w:space="0" w:color="auto"/>
        <w:right w:val="none" w:sz="0" w:space="0" w:color="auto"/>
      </w:divBdr>
    </w:div>
    <w:div w:id="2093770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gif"/><Relationship Id="rId39" Type="http://schemas.openxmlformats.org/officeDocument/2006/relationships/header" Target="header5.xml"/><Relationship Id="rId21" Type="http://schemas.openxmlformats.org/officeDocument/2006/relationships/image" Target="media/image3.wmf"/><Relationship Id="rId34" Type="http://schemas.openxmlformats.org/officeDocument/2006/relationships/image" Target="media/image16.gif"/><Relationship Id="rId42" Type="http://schemas.openxmlformats.org/officeDocument/2006/relationships/header" Target="header6.xml"/><Relationship Id="rId47" Type="http://schemas.openxmlformats.org/officeDocument/2006/relationships/hyperlink" Target="javascript:void((window.app||parent.app).HandlePopUpContent('Content/Components/3751239.html'))" TargetMode="External"/><Relationship Id="rId50" Type="http://schemas.openxmlformats.org/officeDocument/2006/relationships/hyperlink" Target="javascript:void((window.app||parent.app).HandlePopUpContent('Content/Components/3733053.html'))" TargetMode="External"/><Relationship Id="rId55" Type="http://schemas.openxmlformats.org/officeDocument/2006/relationships/hyperlink" Target="javascript:void((window.app||parent.app).HandlePopUpContent('Content/Components/3748684.html'))" TargetMode="External"/><Relationship Id="rId63" Type="http://schemas.openxmlformats.org/officeDocument/2006/relationships/footer" Target="footer6.xml"/><Relationship Id="rId68" Type="http://schemas.openxmlformats.org/officeDocument/2006/relationships/header" Target="header11.xml"/><Relationship Id="rId7" Type="http://schemas.openxmlformats.org/officeDocument/2006/relationships/styles" Target="styles.xml"/><Relationship Id="rId71" Type="http://schemas.openxmlformats.org/officeDocument/2006/relationships/header" Target="header13.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1.gif"/><Relationship Id="rId11" Type="http://schemas.openxmlformats.org/officeDocument/2006/relationships/endnotes" Target="endnotes.xml"/><Relationship Id="rId24" Type="http://schemas.openxmlformats.org/officeDocument/2006/relationships/image" Target="media/image6.gif"/><Relationship Id="rId32" Type="http://schemas.openxmlformats.org/officeDocument/2006/relationships/image" Target="media/image14.gif"/><Relationship Id="rId37" Type="http://schemas.openxmlformats.org/officeDocument/2006/relationships/image" Target="media/image19.png"/><Relationship Id="rId40" Type="http://schemas.openxmlformats.org/officeDocument/2006/relationships/footer" Target="footer4.xml"/><Relationship Id="rId45" Type="http://schemas.openxmlformats.org/officeDocument/2006/relationships/hyperlink" Target="javascript:void((window.app||parent.app).HandlePopUpContent('Content/Components/3724865.html'))" TargetMode="External"/><Relationship Id="rId53" Type="http://schemas.openxmlformats.org/officeDocument/2006/relationships/hyperlink" Target="javascript:void((window.app||parent.app).HandlePopUpContent('Content/Components/3724904.html'))" TargetMode="External"/><Relationship Id="rId58" Type="http://schemas.openxmlformats.org/officeDocument/2006/relationships/image" Target="media/image21.emf"/><Relationship Id="rId66" Type="http://schemas.openxmlformats.org/officeDocument/2006/relationships/package" Target="embeddings/Microsoft_PowerPoint_Presentation.pptx"/><Relationship Id="rId7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5.emf"/><Relationship Id="rId28" Type="http://schemas.openxmlformats.org/officeDocument/2006/relationships/image" Target="media/image10.gif"/><Relationship Id="rId36" Type="http://schemas.openxmlformats.org/officeDocument/2006/relationships/image" Target="media/image18.wmf"/><Relationship Id="rId49" Type="http://schemas.openxmlformats.org/officeDocument/2006/relationships/hyperlink" Target="javascript:void((window.app||parent.app).HandlePopUpContent('Content/Components/3724896.html'))" TargetMode="External"/><Relationship Id="rId57" Type="http://schemas.openxmlformats.org/officeDocument/2006/relationships/image" Target="media/image20.emf"/><Relationship Id="rId61" Type="http://schemas.openxmlformats.org/officeDocument/2006/relationships/header" Target="header8.xml"/><Relationship Id="rId10" Type="http://schemas.openxmlformats.org/officeDocument/2006/relationships/footnotes" Target="footnotes.xml"/><Relationship Id="rId19" Type="http://schemas.openxmlformats.org/officeDocument/2006/relationships/image" Target="media/image2.emf"/><Relationship Id="rId31" Type="http://schemas.openxmlformats.org/officeDocument/2006/relationships/image" Target="media/image13.gif"/><Relationship Id="rId44" Type="http://schemas.openxmlformats.org/officeDocument/2006/relationships/hyperlink" Target="javascript:void((window.app||parent.app).HandlePopUpContent('Content/Components/3733051.html'))" TargetMode="External"/><Relationship Id="rId52" Type="http://schemas.openxmlformats.org/officeDocument/2006/relationships/hyperlink" Target="javascript:void((window.app||parent.app).HandlePopUpContent('Content/Components/3724905.html'))" TargetMode="External"/><Relationship Id="rId60" Type="http://schemas.openxmlformats.org/officeDocument/2006/relationships/image" Target="media/image23.emf"/><Relationship Id="rId65" Type="http://schemas.openxmlformats.org/officeDocument/2006/relationships/image" Target="media/image24.emf"/><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4.emf"/><Relationship Id="rId27" Type="http://schemas.openxmlformats.org/officeDocument/2006/relationships/image" Target="media/image9.gif"/><Relationship Id="rId30" Type="http://schemas.openxmlformats.org/officeDocument/2006/relationships/image" Target="media/image12.gif"/><Relationship Id="rId35" Type="http://schemas.openxmlformats.org/officeDocument/2006/relationships/image" Target="media/image17.gif"/><Relationship Id="rId43" Type="http://schemas.openxmlformats.org/officeDocument/2006/relationships/hyperlink" Target="javascript:void((window.app||parent.app).HandlePopUpContent('Content/Components/3808211.html'))" TargetMode="External"/><Relationship Id="rId48" Type="http://schemas.openxmlformats.org/officeDocument/2006/relationships/hyperlink" Target="javascript:void((window.app||parent.app).HandlePopUpContent('Content/Components/3751241.html'))" TargetMode="External"/><Relationship Id="rId56" Type="http://schemas.openxmlformats.org/officeDocument/2006/relationships/header" Target="header7.xml"/><Relationship Id="rId64" Type="http://schemas.openxmlformats.org/officeDocument/2006/relationships/header" Target="header10.xml"/><Relationship Id="rId69" Type="http://schemas.openxmlformats.org/officeDocument/2006/relationships/header" Target="header12.xml"/><Relationship Id="rId8" Type="http://schemas.openxmlformats.org/officeDocument/2006/relationships/settings" Target="settings.xml"/><Relationship Id="rId51" Type="http://schemas.openxmlformats.org/officeDocument/2006/relationships/hyperlink" Target="javascript:void((window.app||parent.app).HandlePopUpContent('Content/Components/3724875.html'))" TargetMode="External"/><Relationship Id="rId72" Type="http://schemas.openxmlformats.org/officeDocument/2006/relationships/footer" Target="footer8.xml"/><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header" Target="header3.xml"/><Relationship Id="rId25" Type="http://schemas.openxmlformats.org/officeDocument/2006/relationships/image" Target="media/image7.gif"/><Relationship Id="rId33" Type="http://schemas.openxmlformats.org/officeDocument/2006/relationships/image" Target="media/image15.gif"/><Relationship Id="rId38" Type="http://schemas.openxmlformats.org/officeDocument/2006/relationships/header" Target="header4.xml"/><Relationship Id="rId46" Type="http://schemas.openxmlformats.org/officeDocument/2006/relationships/hyperlink" Target="javascript:void((window.app||parent.app).HandlePopUpContent('Content/Components/3724895.html'))" TargetMode="External"/><Relationship Id="rId59" Type="http://schemas.openxmlformats.org/officeDocument/2006/relationships/image" Target="media/image22.wmf"/><Relationship Id="rId67" Type="http://schemas.openxmlformats.org/officeDocument/2006/relationships/image" Target="media/image25.png"/><Relationship Id="rId20" Type="http://schemas.openxmlformats.org/officeDocument/2006/relationships/package" Target="embeddings/Microsoft_Visio_Drawing.vsdx"/><Relationship Id="rId41" Type="http://schemas.openxmlformats.org/officeDocument/2006/relationships/footer" Target="footer5.xml"/><Relationship Id="rId54" Type="http://schemas.openxmlformats.org/officeDocument/2006/relationships/hyperlink" Target="javascript:void((window.app||parent.app).HandlePopUpContent('Content/Components/3724945.html'))" TargetMode="External"/><Relationship Id="rId62" Type="http://schemas.openxmlformats.org/officeDocument/2006/relationships/header" Target="header9.xml"/><Relationship Id="rId7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ofgem%20templates\OfgemExternalPublication201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i="http://www.w3.org/2001/XMLSchema-instance" xmlns:xsd="http://www.w3.org/2001/XMLSchema" xmlns="http://www.boldonjames.com/2008/01/sie/internal/label" sislVersion="0" policy="973096ae-7329-4b3b-9368-47aeba6959e1">
  <element uid="id_classification_nonbusiness" value=""/>
  <element uid="461a45b0-9ad9-406b-bcd9-542300f614ae" value=""/>
</sisl>
</file>

<file path=customXml/item2.xml><?xml version="1.0" encoding="utf-8"?>
<ct:contentTypeSchema xmlns:ct="http://schemas.microsoft.com/office/2006/metadata/contentType" xmlns:ma="http://schemas.microsoft.com/office/2006/metadata/properties/metaAttributes" ct:_="" ma:_="" ma:contentTypeName="Document" ma:contentTypeID="0x010100B16569248DCEFC468825F0E5D05B12C9" ma:contentTypeVersion="14" ma:contentTypeDescription="Create a new document." ma:contentTypeScope="" ma:versionID="cbc6160723724aaa4f28100588291185">
  <xsd:schema xmlns:xsd="http://www.w3.org/2001/XMLSchema" xmlns:xs="http://www.w3.org/2001/XMLSchema" xmlns:p="http://schemas.microsoft.com/office/2006/metadata/properties" xmlns:ns2="74565e04-d6b2-45a3-b9b7-4a15edde7cb9" xmlns:ns3="631298fc-6a88-4548-b7d9-3b164918c4a3" xmlns:ns4="bb8073fa-251c-4d0f-9166-b1873d0bc4c8" targetNamespace="http://schemas.microsoft.com/office/2006/metadata/properties" ma:root="true" ma:fieldsID="544640fd6fbabd71582317ff51b9f6f3" ns2:_="" ns3:_="" ns4:_="">
    <xsd:import namespace="74565e04-d6b2-45a3-b9b7-4a15edde7cb9"/>
    <xsd:import namespace="631298fc-6a88-4548-b7d9-3b164918c4a3"/>
    <xsd:import namespace="bb8073fa-251c-4d0f-9166-b1873d0bc4c8"/>
    <xsd:element name="properties">
      <xsd:complexType>
        <xsd:sequence>
          <xsd:element name="documentManagement">
            <xsd:complexType>
              <xsd:all>
                <xsd:element ref="ns2:Document_x0020_Type" minOccurs="0"/>
                <xsd:element ref="ns2:m9a5c924f20c43a495de0dd9d6f62bb0" minOccurs="0"/>
                <xsd:element ref="ns3:TaxCatchAll" minOccurs="0"/>
                <xsd:element ref="ns3:TaxCatchAllLabel" minOccurs="0"/>
                <xsd:element ref="ns2:Organisation_SM" minOccurs="0"/>
                <xsd:element ref="ns2:Project_x0020_state" minOccurs="0"/>
                <xsd:element ref="ns4:BJSCInternalLabel" minOccurs="0"/>
                <xsd:element ref="ns4:BJSCid_group_classification" minOccurs="0"/>
                <xsd:element ref="ns4:BJSC514bdf30_x002D_2227_x002D_4016_x" minOccurs="0"/>
                <xsd:element ref="ns4:BJSCdd9eba61_x002D_d6b9_x002D_469b_x" minOccurs="0"/>
                <xsd:element ref="ns4:BJSCc5a055b0_x002D_1bed_x002D_4579_x" minOccurs="0"/>
                <xsd:element ref="ns4:BJSCSummaryMarking" minOccurs="0"/>
                <xsd:element ref="ns4:Workstrea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565e04-d6b2-45a3-b9b7-4a15edde7cb9"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dministrative Document"/>
          <xsd:enumeration value="Agenda"/>
          <xsd:enumeration value="Analysis"/>
          <xsd:enumeration value="Briefing Note"/>
          <xsd:enumeration value="Commercial Document"/>
          <xsd:enumeration value="Consultation"/>
          <xsd:enumeration value="Consultation Responses"/>
          <xsd:enumeration value="Data"/>
          <xsd:enumeration value="Economic Model"/>
          <xsd:enumeration value="Email Correspondence"/>
          <xsd:enumeration value="External Data"/>
          <xsd:enumeration value="External Letter"/>
          <xsd:enumeration value="External Publication"/>
          <xsd:enumeration value="FOI Request"/>
          <xsd:enumeration value="Governance"/>
          <xsd:enumeration value="Information"/>
          <xsd:enumeration value="Internal Paper"/>
          <xsd:enumeration value="Invoice"/>
          <xsd:enumeration value="Legal Advice"/>
          <xsd:enumeration value="Legal Advice Text"/>
          <xsd:enumeration value="Letters"/>
          <xsd:enumeration value="Licences &amp; Codes"/>
          <xsd:enumeration value="Log"/>
          <xsd:enumeration value="Management Paper"/>
          <xsd:enumeration value="Meeting Note"/>
          <xsd:enumeration value="Minutes"/>
          <xsd:enumeration value="Ofgem Email"/>
          <xsd:enumeration value="Ofgem Letter"/>
          <xsd:enumeration value="Ofgem Publication"/>
          <xsd:enumeration value="Plan"/>
          <xsd:enumeration value="PMO Document"/>
          <xsd:enumeration value="Policy Paper"/>
          <xsd:enumeration value="Presentation"/>
          <xsd:enumeration value="Process Flow"/>
          <xsd:enumeration value="Project Initiation Document"/>
          <xsd:enumeration value="Project Mandate"/>
          <xsd:enumeration value="Project Plan"/>
          <xsd:enumeration value="Publication"/>
          <xsd:enumeration value="Regulatory"/>
          <xsd:enumeration value="Request for Information"/>
          <xsd:enumeration value="Query"/>
          <xsd:enumeration value="Terms &amp; Conditions"/>
        </xsd:restriction>
      </xsd:simpleType>
    </xsd:element>
    <xsd:element name="m9a5c924f20c43a495de0dd9d6f62bb0" ma:index="9" nillable="true" ma:taxonomy="true" ma:internalName="m9a5c924f20c43a495de0dd9d6f62bb0" ma:taxonomyFieldName="Folksonomy" ma:displayName="Folksonomy" ma:readOnly="false" ma:default="" ma:fieldId="{69a5c924-f20c-43a4-95de-0dd9d6f62bb0}" ma:taxonomyMulti="true" ma:sspId="ca9306fc-8436-45f0-b931-e34f519be3a3" ma:termSetId="d489b2e8-374a-47a3-a44e-3f1b5aae522d" ma:anchorId="00000000-0000-0000-0000-000000000000" ma:open="true" ma:isKeyword="false">
      <xsd:complexType>
        <xsd:sequence>
          <xsd:element ref="pc:Terms" minOccurs="0" maxOccurs="1"/>
        </xsd:sequence>
      </xsd:complexType>
    </xsd:element>
    <xsd:element name="Organisation_SM" ma:index="13" nillable="true" ma:displayName="Organisation_SM" ma:format="Dropdown" ma:internalName="Organisation_SM" ma:readOnly="false">
      <xsd:simpleType>
        <xsd:restriction base="dms:Choice">
          <xsd:enumeration value="Enter Choice #1"/>
          <xsd:enumeration value="Enter Choice #2"/>
          <xsd:enumeration value="Enter Choice #3"/>
        </xsd:restriction>
      </xsd:simpleType>
    </xsd:element>
    <xsd:element name="Project_x0020_state" ma:index="14" nillable="true" ma:displayName="Project state" ma:format="Dropdown" ma:internalName="Project_x0020_state" ma:readOnly="false">
      <xsd:simpleType>
        <xsd:restriction base="dms:Choice">
          <xsd:enumeration value="Project management"/>
          <xsd:enumeration value="Research"/>
          <xsd:enumeration value="Policy development"/>
          <xsd:enumeration value="Finalise"/>
        </xsd:restriction>
      </xsd:simpleType>
    </xsd:element>
  </xsd:schema>
  <xsd:schema xmlns:xsd="http://www.w3.org/2001/XMLSchema" xmlns:xs="http://www.w3.org/2001/XMLSchema" xmlns:dms="http://schemas.microsoft.com/office/2006/documentManagement/types" xmlns:pc="http://schemas.microsoft.com/office/infopath/2007/PartnerControls" targetNamespace="631298fc-6a88-4548-b7d9-3b164918c4a3"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322fadc-f799-4e41-8862-be1b14da3f2e}" ma:internalName="TaxCatchAll" ma:showField="CatchAllData" ma:web="74565e04-d6b2-45a3-b9b7-4a15edde7cb9">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7322fadc-f799-4e41-8862-be1b14da3f2e}" ma:internalName="TaxCatchAllLabel" ma:readOnly="true" ma:showField="CatchAllDataLabel" ma:web="74565e04-d6b2-45a3-b9b7-4a15edde7c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b8073fa-251c-4d0f-9166-b1873d0bc4c8" elementFormDefault="qualified">
    <xsd:import namespace="http://schemas.microsoft.com/office/2006/documentManagement/types"/>
    <xsd:import namespace="http://schemas.microsoft.com/office/infopath/2007/PartnerControls"/>
    <xsd:element name="BJSCInternalLabel" ma:index="15" nillable="true" ma:displayName="Classifier Label" ma:internalName="BJSCInternalLabel">
      <xsd:simpleType>
        <xsd:restriction base="dms:Unknown"/>
      </xsd:simpleType>
    </xsd:element>
    <xsd:element name="BJSCid_group_classification" ma:index="16" nillable="true" ma:displayName="Classification" ma:internalName="BJSCid_group_classification">
      <xsd:simpleType>
        <xsd:restriction base="dms:Text"/>
      </xsd:simpleType>
    </xsd:element>
    <xsd:element name="BJSC514bdf30_x002D_2227_x002D_4016_x" ma:index="17" nillable="true" ma:displayName="Descriptor" ma:internalName="BJSC514bdf30_x002D_2227_x002D_4016_x">
      <xsd:simpleType>
        <xsd:restriction base="dms:Text"/>
      </xsd:simpleType>
    </xsd:element>
    <xsd:element name="BJSCdd9eba61_x002D_d6b9_x002D_469b_x" ma:index="18" nillable="true" ma:displayName="Audience" ma:internalName="BJSCdd9eba61_x002D_d6b9_x002D_469b_x">
      <xsd:simpleType>
        <xsd:restriction base="dms:Text"/>
      </xsd:simpleType>
    </xsd:element>
    <xsd:element name="BJSCc5a055b0_x002D_1bed_x002D_4579_x" ma:index="19" nillable="true" ma:displayName="Visual marking" ma:internalName="BJSCc5a055b0_x002D_1bed_x002D_4579_x">
      <xsd:simpleType>
        <xsd:restriction base="dms:Text"/>
      </xsd:simpleType>
    </xsd:element>
    <xsd:element name="BJSCSummaryMarking" ma:index="20" nillable="true" ma:displayName="Summary Marking" ma:internalName="BJSCSummaryMarking">
      <xsd:simpleType>
        <xsd:restriction base="dms:Text"/>
      </xsd:simpleType>
    </xsd:element>
    <xsd:element name="Workstream" ma:index="21" nillable="true" ma:displayName="Workstream" ma:format="Dropdown" ma:internalName="Workstream">
      <xsd:simpleType>
        <xsd:restriction base="dms:Choice">
          <xsd:enumeration value="Archive"/>
          <xsd:enumeration value="Assurance"/>
          <xsd:enumeration value="C&amp;M"/>
          <xsd:enumeration value="Change Management"/>
          <xsd:enumeration value="Commercial"/>
          <xsd:enumeration value="Data"/>
          <xsd:enumeration value="Delivery"/>
          <xsd:enumeration value="Delivery Group"/>
          <xsd:enumeration value="Design"/>
          <xsd:enumeration value="Governance"/>
          <xsd:enumeration value="Implementation Group"/>
          <xsd:enumeration value="Industry Coordination"/>
          <xsd:enumeration value="LPA"/>
          <xsd:enumeration value="PMO"/>
          <xsd:enumeration value="Programme Coordinator"/>
          <xsd:enumeration value="Regulation"/>
          <xsd:enumeration value="RST"/>
          <xsd:enumeration value="Security"/>
          <xsd:enumeration value="Switching Compensation"/>
          <xsd:enumeration value="Testing"/>
          <xsd:enumeration value="Erroneous Transfer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31298fc-6a88-4548-b7d9-3b164918c4a3">
      <Value>187</Value>
    </TaxCatchAll>
    <Organisation_SM xmlns="74565e04-d6b2-45a3-b9b7-4a15edde7cb9" xsi:nil="true"/>
    <BJSCid_group_classification xmlns="bb8073fa-251c-4d0f-9166-b1873d0bc4c8">OFFICIAL</BJSCid_group_classification>
    <BJSC514bdf30_x002D_2227_x002D_4016_x xmlns="bb8073fa-251c-4d0f-9166-b1873d0bc4c8" xsi:nil="true"/>
    <Document_x0020_Type xmlns="74565e04-d6b2-45a3-b9b7-4a15edde7cb9">Administrative Document</Document_x0020_Type>
    <Project_x0020_state xmlns="74565e04-d6b2-45a3-b9b7-4a15edde7cb9" xsi:nil="true"/>
    <m9a5c924f20c43a495de0dd9d6f62bb0 xmlns="74565e04-d6b2-45a3-b9b7-4a15edde7cb9">
      <Terms xmlns="http://schemas.microsoft.com/office/infopath/2007/PartnerControls">
        <TermInfo xmlns="http://schemas.microsoft.com/office/infopath/2007/PartnerControls">
          <TermName xmlns="http://schemas.microsoft.com/office/infopath/2007/PartnerControls">products</TermName>
          <TermId xmlns="http://schemas.microsoft.com/office/infopath/2007/PartnerControls">d5b9915a-f157-453b-9a94-ec3ddf7845ea</TermId>
        </TermInfo>
      </Terms>
    </m9a5c924f20c43a495de0dd9d6f62bb0>
    <BJSCdd9eba61_x002D_d6b9_x002D_469b_x xmlns="bb8073fa-251c-4d0f-9166-b1873d0bc4c8" xsi:nil="true"/>
    <BJSCc5a055b0_x002D_1bed_x002D_4579_x xmlns="bb8073fa-251c-4d0f-9166-b1873d0bc4c8">No</BJSCc5a055b0_x002D_1bed_x002D_4579_x>
    <Workstream xmlns="bb8073fa-251c-4d0f-9166-b1873d0bc4c8">Design</Workstream>
    <BJSCSummaryMarking xmlns="bb8073fa-251c-4d0f-9166-b1873d0bc4c8">OFFICIAL</BJSCSummaryMarking>
    <BJSCInternalLabel xmlns="bb8073fa-251c-4d0f-9166-b1873d0bc4c8">&lt;?xml version="1.0" encoding="us-ascii"?&gt;&lt;sisl xmlns:xsi="http://www.w3.org/2001/XMLSchema-instance" xmlns:xsd="http://www.w3.org/2001/XMLSchema" sislVersion="0" policy="973096ae-7329-4b3b-9368-47aeba6959e1" xmlns="http://www.boldonjames.com/2008/01/sie/internal/label"&gt;&lt;element uid="id_classification_nonbusiness" value="" /&gt;&lt;element uid="461a45b0-9ad9-406b-bcd9-542300f614ae" value="" /&gt;&lt;/sisl&gt;</BJSCInternalLabe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F23E12-F1D9-4451-9B4C-85753E54FF7C}">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E40E02C4-48F9-474E-BCDB-62ADF634E3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565e04-d6b2-45a3-b9b7-4a15edde7cb9"/>
    <ds:schemaRef ds:uri="631298fc-6a88-4548-b7d9-3b164918c4a3"/>
    <ds:schemaRef ds:uri="bb8073fa-251c-4d0f-9166-b1873d0bc4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9A5FFB-22EF-47B0-942B-901F75292563}">
  <ds:schemaRefs>
    <ds:schemaRef ds:uri="http://schemas.microsoft.com/sharepoint/v3/contenttype/forms"/>
  </ds:schemaRefs>
</ds:datastoreItem>
</file>

<file path=customXml/itemProps4.xml><?xml version="1.0" encoding="utf-8"?>
<ds:datastoreItem xmlns:ds="http://schemas.openxmlformats.org/officeDocument/2006/customXml" ds:itemID="{68CB13FB-3EE8-4291-86AE-356C43909BB3}">
  <ds:schemaRefs>
    <ds:schemaRef ds:uri="http://purl.org/dc/elements/1.1/"/>
    <ds:schemaRef ds:uri="http://schemas.microsoft.com/office/2006/metadata/properties"/>
    <ds:schemaRef ds:uri="631298fc-6a88-4548-b7d9-3b164918c4a3"/>
    <ds:schemaRef ds:uri="http://purl.org/dc/terms/"/>
    <ds:schemaRef ds:uri="74565e04-d6b2-45a3-b9b7-4a15edde7cb9"/>
    <ds:schemaRef ds:uri="http://schemas.microsoft.com/office/infopath/2007/PartnerControls"/>
    <ds:schemaRef ds:uri="http://schemas.microsoft.com/office/2006/documentManagement/types"/>
    <ds:schemaRef ds:uri="http://schemas.openxmlformats.org/package/2006/metadata/core-properties"/>
    <ds:schemaRef ds:uri="bb8073fa-251c-4d0f-9166-b1873d0bc4c8"/>
    <ds:schemaRef ds:uri="http://www.w3.org/XML/1998/namespace"/>
    <ds:schemaRef ds:uri="http://purl.org/dc/dcmitype/"/>
  </ds:schemaRefs>
</ds:datastoreItem>
</file>

<file path=customXml/itemProps5.xml><?xml version="1.0" encoding="utf-8"?>
<ds:datastoreItem xmlns:ds="http://schemas.openxmlformats.org/officeDocument/2006/customXml" ds:itemID="{8C776172-5401-4B4F-BDCA-F63C0ED77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OfgemExternalPublication2015</Template>
  <TotalTime>1</TotalTime>
  <Pages>71</Pages>
  <Words>12694</Words>
  <Characters>74641</Characters>
  <Application>Microsoft Office Word</Application>
  <DocSecurity>0</DocSecurity>
  <Lines>2261</Lines>
  <Paragraphs>1505</Paragraphs>
  <ScaleCrop>false</ScaleCrop>
  <HeadingPairs>
    <vt:vector size="2" baseType="variant">
      <vt:variant>
        <vt:lpstr>Title</vt:lpstr>
      </vt:variant>
      <vt:variant>
        <vt:i4>1</vt:i4>
      </vt:variant>
    </vt:vector>
  </HeadingPairs>
  <TitlesOfParts>
    <vt:vector size="1" baseType="lpstr">
      <vt:lpstr>D-4.1.5 E2E Solution Architecture v2.2 - Clean</vt:lpstr>
    </vt:vector>
  </TitlesOfParts>
  <Manager>David Walsh (DCC)</Manager>
  <Company>Ofgem</Company>
  <LinksUpToDate>false</LinksUpToDate>
  <CharactersWithSpaces>85830</CharactersWithSpaces>
  <SharedDoc>false</SharedDoc>
  <HLinks>
    <vt:vector size="102" baseType="variant">
      <vt:variant>
        <vt:i4>327767</vt:i4>
      </vt:variant>
      <vt:variant>
        <vt:i4>99</vt:i4>
      </vt:variant>
      <vt:variant>
        <vt:i4>0</vt:i4>
      </vt:variant>
      <vt:variant>
        <vt:i4>5</vt:i4>
      </vt:variant>
      <vt:variant>
        <vt:lpwstr>http://www.ofgem.gov.uk/</vt:lpwstr>
      </vt:variant>
      <vt:variant>
        <vt:lpwstr/>
      </vt:variant>
      <vt:variant>
        <vt:i4>1703997</vt:i4>
      </vt:variant>
      <vt:variant>
        <vt:i4>92</vt:i4>
      </vt:variant>
      <vt:variant>
        <vt:i4>0</vt:i4>
      </vt:variant>
      <vt:variant>
        <vt:i4>5</vt:i4>
      </vt:variant>
      <vt:variant>
        <vt:lpwstr/>
      </vt:variant>
      <vt:variant>
        <vt:lpwstr>_Toc135817813</vt:lpwstr>
      </vt:variant>
      <vt:variant>
        <vt:i4>1703997</vt:i4>
      </vt:variant>
      <vt:variant>
        <vt:i4>86</vt:i4>
      </vt:variant>
      <vt:variant>
        <vt:i4>0</vt:i4>
      </vt:variant>
      <vt:variant>
        <vt:i4>5</vt:i4>
      </vt:variant>
      <vt:variant>
        <vt:lpwstr/>
      </vt:variant>
      <vt:variant>
        <vt:lpwstr>_Toc135817812</vt:lpwstr>
      </vt:variant>
      <vt:variant>
        <vt:i4>1703997</vt:i4>
      </vt:variant>
      <vt:variant>
        <vt:i4>80</vt:i4>
      </vt:variant>
      <vt:variant>
        <vt:i4>0</vt:i4>
      </vt:variant>
      <vt:variant>
        <vt:i4>5</vt:i4>
      </vt:variant>
      <vt:variant>
        <vt:lpwstr/>
      </vt:variant>
      <vt:variant>
        <vt:lpwstr>_Toc135817811</vt:lpwstr>
      </vt:variant>
      <vt:variant>
        <vt:i4>1703997</vt:i4>
      </vt:variant>
      <vt:variant>
        <vt:i4>74</vt:i4>
      </vt:variant>
      <vt:variant>
        <vt:i4>0</vt:i4>
      </vt:variant>
      <vt:variant>
        <vt:i4>5</vt:i4>
      </vt:variant>
      <vt:variant>
        <vt:lpwstr/>
      </vt:variant>
      <vt:variant>
        <vt:lpwstr>_Toc135817810</vt:lpwstr>
      </vt:variant>
      <vt:variant>
        <vt:i4>1769533</vt:i4>
      </vt:variant>
      <vt:variant>
        <vt:i4>68</vt:i4>
      </vt:variant>
      <vt:variant>
        <vt:i4>0</vt:i4>
      </vt:variant>
      <vt:variant>
        <vt:i4>5</vt:i4>
      </vt:variant>
      <vt:variant>
        <vt:lpwstr/>
      </vt:variant>
      <vt:variant>
        <vt:lpwstr>_Toc135817809</vt:lpwstr>
      </vt:variant>
      <vt:variant>
        <vt:i4>1769533</vt:i4>
      </vt:variant>
      <vt:variant>
        <vt:i4>62</vt:i4>
      </vt:variant>
      <vt:variant>
        <vt:i4>0</vt:i4>
      </vt:variant>
      <vt:variant>
        <vt:i4>5</vt:i4>
      </vt:variant>
      <vt:variant>
        <vt:lpwstr/>
      </vt:variant>
      <vt:variant>
        <vt:lpwstr>_Toc135817808</vt:lpwstr>
      </vt:variant>
      <vt:variant>
        <vt:i4>1769533</vt:i4>
      </vt:variant>
      <vt:variant>
        <vt:i4>56</vt:i4>
      </vt:variant>
      <vt:variant>
        <vt:i4>0</vt:i4>
      </vt:variant>
      <vt:variant>
        <vt:i4>5</vt:i4>
      </vt:variant>
      <vt:variant>
        <vt:lpwstr/>
      </vt:variant>
      <vt:variant>
        <vt:lpwstr>_Toc135817807</vt:lpwstr>
      </vt:variant>
      <vt:variant>
        <vt:i4>1769533</vt:i4>
      </vt:variant>
      <vt:variant>
        <vt:i4>50</vt:i4>
      </vt:variant>
      <vt:variant>
        <vt:i4>0</vt:i4>
      </vt:variant>
      <vt:variant>
        <vt:i4>5</vt:i4>
      </vt:variant>
      <vt:variant>
        <vt:lpwstr/>
      </vt:variant>
      <vt:variant>
        <vt:lpwstr>_Toc135817806</vt:lpwstr>
      </vt:variant>
      <vt:variant>
        <vt:i4>1769533</vt:i4>
      </vt:variant>
      <vt:variant>
        <vt:i4>44</vt:i4>
      </vt:variant>
      <vt:variant>
        <vt:i4>0</vt:i4>
      </vt:variant>
      <vt:variant>
        <vt:i4>5</vt:i4>
      </vt:variant>
      <vt:variant>
        <vt:lpwstr/>
      </vt:variant>
      <vt:variant>
        <vt:lpwstr>_Toc135817805</vt:lpwstr>
      </vt:variant>
      <vt:variant>
        <vt:i4>1769533</vt:i4>
      </vt:variant>
      <vt:variant>
        <vt:i4>38</vt:i4>
      </vt:variant>
      <vt:variant>
        <vt:i4>0</vt:i4>
      </vt:variant>
      <vt:variant>
        <vt:i4>5</vt:i4>
      </vt:variant>
      <vt:variant>
        <vt:lpwstr/>
      </vt:variant>
      <vt:variant>
        <vt:lpwstr>_Toc135817804</vt:lpwstr>
      </vt:variant>
      <vt:variant>
        <vt:i4>1769533</vt:i4>
      </vt:variant>
      <vt:variant>
        <vt:i4>32</vt:i4>
      </vt:variant>
      <vt:variant>
        <vt:i4>0</vt:i4>
      </vt:variant>
      <vt:variant>
        <vt:i4>5</vt:i4>
      </vt:variant>
      <vt:variant>
        <vt:lpwstr/>
      </vt:variant>
      <vt:variant>
        <vt:lpwstr>_Toc135817803</vt:lpwstr>
      </vt:variant>
      <vt:variant>
        <vt:i4>1769533</vt:i4>
      </vt:variant>
      <vt:variant>
        <vt:i4>26</vt:i4>
      </vt:variant>
      <vt:variant>
        <vt:i4>0</vt:i4>
      </vt:variant>
      <vt:variant>
        <vt:i4>5</vt:i4>
      </vt:variant>
      <vt:variant>
        <vt:lpwstr/>
      </vt:variant>
      <vt:variant>
        <vt:lpwstr>_Toc135817802</vt:lpwstr>
      </vt:variant>
      <vt:variant>
        <vt:i4>1769533</vt:i4>
      </vt:variant>
      <vt:variant>
        <vt:i4>20</vt:i4>
      </vt:variant>
      <vt:variant>
        <vt:i4>0</vt:i4>
      </vt:variant>
      <vt:variant>
        <vt:i4>5</vt:i4>
      </vt:variant>
      <vt:variant>
        <vt:lpwstr/>
      </vt:variant>
      <vt:variant>
        <vt:lpwstr>_Toc135817801</vt:lpwstr>
      </vt:variant>
      <vt:variant>
        <vt:i4>1769533</vt:i4>
      </vt:variant>
      <vt:variant>
        <vt:i4>14</vt:i4>
      </vt:variant>
      <vt:variant>
        <vt:i4>0</vt:i4>
      </vt:variant>
      <vt:variant>
        <vt:i4>5</vt:i4>
      </vt:variant>
      <vt:variant>
        <vt:lpwstr/>
      </vt:variant>
      <vt:variant>
        <vt:lpwstr>_Toc135817800</vt:lpwstr>
      </vt:variant>
      <vt:variant>
        <vt:i4>1179698</vt:i4>
      </vt:variant>
      <vt:variant>
        <vt:i4>8</vt:i4>
      </vt:variant>
      <vt:variant>
        <vt:i4>0</vt:i4>
      </vt:variant>
      <vt:variant>
        <vt:i4>5</vt:i4>
      </vt:variant>
      <vt:variant>
        <vt:lpwstr/>
      </vt:variant>
      <vt:variant>
        <vt:lpwstr>_Toc135817799</vt:lpwstr>
      </vt:variant>
      <vt:variant>
        <vt:i4>1179698</vt:i4>
      </vt:variant>
      <vt:variant>
        <vt:i4>2</vt:i4>
      </vt:variant>
      <vt:variant>
        <vt:i4>0</vt:i4>
      </vt:variant>
      <vt:variant>
        <vt:i4>5</vt:i4>
      </vt:variant>
      <vt:variant>
        <vt:lpwstr/>
      </vt:variant>
      <vt:variant>
        <vt:lpwstr>_Toc135817798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D-4.1.5 E2E Solution Architecture v2.2 - Clean</dc:title>
  <dc:subject>Switching Programme E2E Solution Architecture</dc:subject>
  <dc:creator>Mat Rowles (DCC)</dc:creator>
  <cp:keywords/>
  <cp:lastModifiedBy>James Hardy</cp:lastModifiedBy>
  <cp:revision>2</cp:revision>
  <cp:lastPrinted>2017-10-12T13:50:00Z</cp:lastPrinted>
  <dcterms:created xsi:type="dcterms:W3CDTF">2019-07-08T10:18:00Z</dcterms:created>
  <dcterms:modified xsi:type="dcterms:W3CDTF">2019-07-08T10:18:00Z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77c7efcd-2c60-4f26-8462-9cf2c0412070</vt:lpwstr>
  </property>
  <property fmtid="{D5CDD505-2E9C-101B-9397-08002B2CF9AE}" pid="3" name="bjSaver">
    <vt:lpwstr>JFqlsOTkwRVacl8PSat7KL1bBgwaDqzV</vt:lpwstr>
  </property>
  <property fmtid="{D5CDD505-2E9C-101B-9397-08002B2CF9AE}" pid="4" name="ContentTypeId">
    <vt:lpwstr>0x010100B16569248DCEFC468825F0E5D05B12C9</vt:lpwstr>
  </property>
  <property fmtid="{D5CDD505-2E9C-101B-9397-08002B2CF9AE}" pid="5" name="Order">
    <vt:r8>3200</vt:r8>
  </property>
  <property fmtid="{D5CDD505-2E9C-101B-9397-08002B2CF9AE}" pid="6" name="SubGroup1">
    <vt:lpwstr/>
  </property>
  <property fmtid="{D5CDD505-2E9C-101B-9397-08002B2CF9AE}" pid="7" name="SubGroup3">
    <vt:lpwstr/>
  </property>
  <property fmtid="{D5CDD505-2E9C-101B-9397-08002B2CF9AE}" pid="8" name="SubGroup2">
    <vt:lpwstr/>
  </property>
  <property fmtid="{D5CDD505-2E9C-101B-9397-08002B2CF9AE}" pid="9" name="_dlc_DocIdItemGuid">
    <vt:lpwstr>a3e32f93-38df-4d78-b9e6-66cd89607d67</vt:lpwstr>
  </property>
  <property fmtid="{D5CDD505-2E9C-101B-9397-08002B2CF9AE}" pid="10" name="SmartDCCDocumentType">
    <vt:lpwstr>39;#Report|7993a0c8-e42c-499f-8859-af282aab7a34</vt:lpwstr>
  </property>
  <property fmtid="{D5CDD505-2E9C-101B-9397-08002B2CF9AE}" pid="11" name="TaxKeyword">
    <vt:lpwstr/>
  </property>
  <property fmtid="{D5CDD505-2E9C-101B-9397-08002B2CF9AE}" pid="12" name="SmartDCCSecurityClassification">
    <vt:lpwstr>1;#DCC Controlled|acf3b25a-0f54-496a-874b-0b3cadfe1240</vt:lpwstr>
  </property>
  <property fmtid="{D5CDD505-2E9C-101B-9397-08002B2CF9AE}" pid="13" name="SmartDCCFunction">
    <vt:lpwstr/>
  </property>
  <property fmtid="{D5CDD505-2E9C-101B-9397-08002B2CF9AE}" pid="14" name="Knowledge Type">
    <vt:lpwstr/>
  </property>
  <property fmtid="{D5CDD505-2E9C-101B-9397-08002B2CF9AE}" pid="15" name="SmartDCCOrganisation">
    <vt:lpwstr/>
  </property>
  <property fmtid="{D5CDD505-2E9C-101B-9397-08002B2CF9AE}" pid="16" name="Organisation_Contactshare">
    <vt:lpwstr>83;#Ofgem|8b4368c1-752b-461b-aa1f-79fb1ab95926</vt:lpwstr>
  </property>
  <property fmtid="{D5CDD505-2E9C-101B-9397-08002B2CF9AE}" pid="17" name="Switching_programme_folksonomy">
    <vt:lpwstr>187;#products|d5b9915a-f157-453b-9a94-ec3ddf7845ea;#613;#DB4 Product|0900451c-907d-4f34-9452-65d2d4ecb4e0</vt:lpwstr>
  </property>
  <property fmtid="{D5CDD505-2E9C-101B-9397-08002B2CF9AE}" pid="18" name="jfc60aaa43c242a7a3a374b1462ecca8">
    <vt:lpwstr>Ofgem|8b4368c1-752b-461b-aa1f-79fb1ab95926</vt:lpwstr>
  </property>
  <property fmtid="{D5CDD505-2E9C-101B-9397-08002B2CF9AE}" pid="19" name="jdd4b0e66e4b4c9c97e4aaa2176ba5d2">
    <vt:lpwstr>products|d5b9915a-f157-453b-9a94-ec3ddf7845ea</vt:lpwstr>
  </property>
  <property fmtid="{D5CDD505-2E9C-101B-9397-08002B2CF9AE}" pid="20" name="TaxCatchAll">
    <vt:lpwstr>83;#Ofgem|8b4368c1-752b-461b-aa1f-79fb1ab95926;#187;#products|d5b9915a-f157-453b-9a94-ec3ddf7845ea</vt:lpwstr>
  </property>
  <property fmtid="{D5CDD505-2E9C-101B-9397-08002B2CF9AE}" pid="21" name="BJSCc5a055b0-1bed-4579_x">
    <vt:lpwstr>No</vt:lpwstr>
  </property>
  <property fmtid="{D5CDD505-2E9C-101B-9397-08002B2CF9AE}" pid="22" name="BJSCSummaryMarking">
    <vt:lpwstr>OFFICIAL</vt:lpwstr>
  </property>
  <property fmtid="{D5CDD505-2E9C-101B-9397-08002B2CF9AE}" pid="23" name="BJSCInternalLabel">
    <vt:lpwstr>&lt;?xml version="1.0" encoding="us-ascii"?&gt;&lt;sisl xmlns:xsi="http://www.w3.org/2001/XMLSchema-instance" xmlns:xsd="http://www.w3.org/2001/XMLSchema" sislVersion="0" policy="973096ae-7329-4b3b-9368-47aeba6959e1" xmlns="http://www.boldonjames.com/2008/01/sie/i</vt:lpwstr>
  </property>
  <property fmtid="{D5CDD505-2E9C-101B-9397-08002B2CF9AE}" pid="24" name="BJSCdd9eba61-d6b9-469b_x">
    <vt:lpwstr/>
  </property>
  <property fmtid="{D5CDD505-2E9C-101B-9397-08002B2CF9AE}" pid="25" name="Folksonomy">
    <vt:lpwstr>187;#products|d5b9915a-f157-453b-9a94-ec3ddf7845ea</vt:lpwstr>
  </property>
  <property fmtid="{D5CDD505-2E9C-101B-9397-08002B2CF9AE}" pid="26" name="bjDocumentLabelXML">
    <vt:lpwstr>&lt;?xml version="1.0" encoding="us-ascii"?&gt;&lt;sisl xmlns:xsi="http://www.w3.org/2001/XMLSchema-instance" xmlns:xsd="http://www.w3.org/2001/XMLSchema" sislVersion="0" policy="973096ae-7329-4b3b-9368-47aeba6959e1" xmlns="http://www.boldonjames.com/2008/01/sie/i</vt:lpwstr>
  </property>
  <property fmtid="{D5CDD505-2E9C-101B-9397-08002B2CF9AE}" pid="27" name="bjDocumentLabelXML-0">
    <vt:lpwstr>nternal/label"&gt;&lt;element uid="id_classification_nonbusiness" value="" /&gt;&lt;element uid="461a45b0-9ad9-406b-bcd9-542300f614ae" value="" /&gt;&lt;/sisl&gt;</vt:lpwstr>
  </property>
  <property fmtid="{D5CDD505-2E9C-101B-9397-08002B2CF9AE}" pid="28" name="bjDocumentSecurityLabel">
    <vt:lpwstr>OFFICIAL</vt:lpwstr>
  </property>
</Properties>
</file>