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CCE36" w14:textId="77777777" w:rsidR="00A145B6" w:rsidRPr="00540E03" w:rsidRDefault="00A145B6" w:rsidP="00411BC3">
      <w:pPr>
        <w:spacing w:before="60" w:after="60"/>
        <w:rPr>
          <w:rFonts w:ascii="Verdana" w:hAnsi="Verdana"/>
          <w:color w:val="595959"/>
          <w:sz w:val="20"/>
          <w:szCs w:val="20"/>
        </w:rPr>
      </w:pPr>
      <w:bookmarkStart w:id="0" w:name="_GoBack"/>
      <w:bookmarkEnd w:id="0"/>
    </w:p>
    <w:p w14:paraId="00A6C50A" w14:textId="1F22D241" w:rsidR="00411BC3" w:rsidRPr="00540E03" w:rsidRDefault="00411BC3" w:rsidP="00411BC3">
      <w:pPr>
        <w:spacing w:before="60" w:after="60"/>
        <w:rPr>
          <w:rFonts w:ascii="Verdana" w:hAnsi="Verdana"/>
          <w:color w:val="595959"/>
          <w:sz w:val="20"/>
          <w:szCs w:val="20"/>
        </w:rPr>
      </w:pPr>
      <w:r w:rsidRPr="00540E03">
        <w:rPr>
          <w:rFonts w:ascii="Verdana" w:hAnsi="Verdana"/>
          <w:noProof/>
          <w:sz w:val="20"/>
          <w:szCs w:val="20"/>
          <w:lang w:eastAsia="en-GB"/>
        </w:rPr>
        <w:drawing>
          <wp:inline distT="0" distB="0" distL="0" distR="0" wp14:anchorId="227B84A2" wp14:editId="229E001D">
            <wp:extent cx="5934075" cy="201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019300"/>
                    </a:xfrm>
                    <a:prstGeom prst="rect">
                      <a:avLst/>
                    </a:prstGeom>
                    <a:noFill/>
                    <a:ln>
                      <a:noFill/>
                    </a:ln>
                  </pic:spPr>
                </pic:pic>
              </a:graphicData>
            </a:graphic>
          </wp:inline>
        </w:drawing>
      </w:r>
    </w:p>
    <w:p w14:paraId="35C09929" w14:textId="08C65265" w:rsidR="00667747" w:rsidRPr="00540E03" w:rsidRDefault="00B04601" w:rsidP="00B04601">
      <w:pPr>
        <w:rPr>
          <w:rFonts w:ascii="Verdana" w:hAnsi="Verdana"/>
          <w:b/>
          <w:color w:val="E36C0A" w:themeColor="accent6" w:themeShade="BF"/>
          <w:sz w:val="28"/>
          <w:szCs w:val="28"/>
        </w:rPr>
      </w:pPr>
      <w:r w:rsidRPr="00540E03">
        <w:rPr>
          <w:rFonts w:ascii="Verdana" w:hAnsi="Verdana"/>
          <w:b/>
          <w:color w:val="E36C0A" w:themeColor="accent6" w:themeShade="BF"/>
          <w:sz w:val="28"/>
          <w:szCs w:val="28"/>
        </w:rPr>
        <w:t>Information Note</w:t>
      </w:r>
      <w:r w:rsidR="009336AC" w:rsidRPr="00540E03">
        <w:rPr>
          <w:rFonts w:ascii="Verdana" w:hAnsi="Verdana"/>
          <w:b/>
          <w:color w:val="E36C0A" w:themeColor="accent6" w:themeShade="BF"/>
          <w:sz w:val="28"/>
          <w:szCs w:val="28"/>
        </w:rPr>
        <w:t xml:space="preserve"> </w:t>
      </w:r>
    </w:p>
    <w:p w14:paraId="22784350" w14:textId="12D21926" w:rsidR="00EC16EE" w:rsidRPr="00540E03" w:rsidRDefault="00667747" w:rsidP="00EC16EE">
      <w:pPr>
        <w:rPr>
          <w:rFonts w:ascii="Verdana" w:hAnsi="Verdana"/>
          <w:color w:val="17365D" w:themeColor="text2" w:themeShade="BF"/>
          <w:sz w:val="20"/>
          <w:szCs w:val="20"/>
        </w:rPr>
      </w:pPr>
      <w:r w:rsidRPr="00540E03">
        <w:rPr>
          <w:rFonts w:ascii="Verdana" w:hAnsi="Verdana"/>
          <w:b/>
          <w:color w:val="17365D" w:themeColor="text2" w:themeShade="BF"/>
          <w:sz w:val="28"/>
          <w:szCs w:val="28"/>
        </w:rPr>
        <w:t>R</w:t>
      </w:r>
      <w:r w:rsidR="009336AC" w:rsidRPr="00540E03">
        <w:rPr>
          <w:rFonts w:ascii="Verdana" w:hAnsi="Verdana"/>
          <w:b/>
          <w:color w:val="17365D" w:themeColor="text2" w:themeShade="BF"/>
          <w:sz w:val="28"/>
          <w:szCs w:val="28"/>
        </w:rPr>
        <w:t xml:space="preserve">egulatory options for </w:t>
      </w:r>
      <w:r w:rsidR="00B90ECF" w:rsidRPr="00540E03">
        <w:rPr>
          <w:rFonts w:ascii="Verdana" w:hAnsi="Verdana"/>
          <w:b/>
          <w:color w:val="17365D" w:themeColor="text2" w:themeShade="BF"/>
          <w:sz w:val="28"/>
          <w:szCs w:val="28"/>
        </w:rPr>
        <w:t>supplying</w:t>
      </w:r>
      <w:r w:rsidR="00F6518B" w:rsidRPr="00540E03">
        <w:rPr>
          <w:rFonts w:ascii="Verdana" w:hAnsi="Verdana"/>
          <w:b/>
          <w:color w:val="17365D" w:themeColor="text2" w:themeShade="BF"/>
          <w:sz w:val="28"/>
          <w:szCs w:val="28"/>
        </w:rPr>
        <w:t xml:space="preserve"> electricity</w:t>
      </w:r>
      <w:r w:rsidR="00B90ECF" w:rsidRPr="00540E03">
        <w:rPr>
          <w:rFonts w:ascii="Verdana" w:hAnsi="Verdana"/>
          <w:b/>
          <w:color w:val="17365D" w:themeColor="text2" w:themeShade="BF"/>
          <w:sz w:val="28"/>
          <w:szCs w:val="28"/>
        </w:rPr>
        <w:t xml:space="preserve"> to consumers</w:t>
      </w:r>
    </w:p>
    <w:p w14:paraId="1F0A864A" w14:textId="2184A75A" w:rsidR="009336AC" w:rsidRPr="00540E03" w:rsidRDefault="00C825C6" w:rsidP="00B27406">
      <w:pPr>
        <w:jc w:val="both"/>
        <w:rPr>
          <w:rFonts w:ascii="Verdana" w:hAnsi="Verdana"/>
          <w:sz w:val="20"/>
          <w:szCs w:val="20"/>
        </w:rPr>
      </w:pPr>
      <w:r w:rsidRPr="00540E03">
        <w:rPr>
          <w:rFonts w:ascii="Verdana" w:hAnsi="Verdana"/>
          <w:sz w:val="20"/>
          <w:szCs w:val="20"/>
        </w:rPr>
        <w:t>This note was prod</w:t>
      </w:r>
      <w:r w:rsidR="00B04601" w:rsidRPr="00540E03">
        <w:rPr>
          <w:rFonts w:ascii="Verdana" w:hAnsi="Verdana"/>
          <w:sz w:val="20"/>
          <w:szCs w:val="20"/>
        </w:rPr>
        <w:t>uced by Ofgem’s Innovation Link,</w:t>
      </w:r>
      <w:r w:rsidRPr="00540E03">
        <w:rPr>
          <w:rFonts w:ascii="Verdana" w:hAnsi="Verdana"/>
          <w:sz w:val="20"/>
          <w:szCs w:val="20"/>
        </w:rPr>
        <w:t xml:space="preserve"> </w:t>
      </w:r>
      <w:r w:rsidR="00B04601" w:rsidRPr="00540E03">
        <w:rPr>
          <w:rFonts w:ascii="Verdana" w:hAnsi="Verdana"/>
          <w:sz w:val="20"/>
          <w:szCs w:val="20"/>
        </w:rPr>
        <w:t>a ‘one-stop-</w:t>
      </w:r>
      <w:r w:rsidRPr="00540E03">
        <w:rPr>
          <w:rFonts w:ascii="Verdana" w:hAnsi="Verdana"/>
          <w:sz w:val="20"/>
          <w:szCs w:val="20"/>
        </w:rPr>
        <w:t xml:space="preserve">shop’ </w:t>
      </w:r>
      <w:r w:rsidR="00B04601" w:rsidRPr="00540E03">
        <w:rPr>
          <w:rFonts w:ascii="Verdana" w:hAnsi="Verdana"/>
          <w:sz w:val="20"/>
          <w:szCs w:val="20"/>
        </w:rPr>
        <w:t>providing</w:t>
      </w:r>
      <w:r w:rsidRPr="00540E03">
        <w:rPr>
          <w:rFonts w:ascii="Verdana" w:hAnsi="Verdana"/>
          <w:sz w:val="20"/>
          <w:szCs w:val="20"/>
        </w:rPr>
        <w:t xml:space="preserve"> support </w:t>
      </w:r>
      <w:r w:rsidR="00B04601" w:rsidRPr="00540E03">
        <w:rPr>
          <w:rFonts w:ascii="Verdana" w:hAnsi="Verdana"/>
          <w:sz w:val="20"/>
          <w:szCs w:val="20"/>
        </w:rPr>
        <w:t>about</w:t>
      </w:r>
      <w:r w:rsidRPr="00540E03">
        <w:rPr>
          <w:rFonts w:ascii="Verdana" w:hAnsi="Verdana"/>
          <w:sz w:val="20"/>
          <w:szCs w:val="20"/>
        </w:rPr>
        <w:t xml:space="preserve"> energy regulation to businesses looking to introduce innovative or significantly different propositions to the energy sector</w:t>
      </w:r>
      <w:r w:rsidR="009336AC" w:rsidRPr="00540E03">
        <w:rPr>
          <w:rStyle w:val="FootnoteReference"/>
        </w:rPr>
        <w:footnoteReference w:id="1"/>
      </w:r>
      <w:r w:rsidR="00902553" w:rsidRPr="00540E03">
        <w:rPr>
          <w:rFonts w:ascii="Verdana" w:hAnsi="Verdana"/>
          <w:sz w:val="20"/>
          <w:szCs w:val="20"/>
        </w:rPr>
        <w:t>.</w:t>
      </w:r>
      <w:r w:rsidR="009336AC" w:rsidRPr="00540E03">
        <w:rPr>
          <w:rStyle w:val="FootnoteReference"/>
        </w:rPr>
        <w:t xml:space="preserve"> </w:t>
      </w:r>
      <w:r w:rsidR="009336AC" w:rsidRPr="00540E03">
        <w:rPr>
          <w:rFonts w:ascii="Verdana" w:hAnsi="Verdana"/>
          <w:sz w:val="20"/>
          <w:szCs w:val="20"/>
        </w:rPr>
        <w:t xml:space="preserve">The purpose of this note is to help early-stage innovators considering entering the electricity supply market understand the regulatory options available to them. </w:t>
      </w:r>
    </w:p>
    <w:p w14:paraId="09A50EBC" w14:textId="44BE25C5" w:rsidR="00ED6870" w:rsidRPr="00540E03" w:rsidRDefault="009336AC" w:rsidP="00B27406">
      <w:pPr>
        <w:jc w:val="both"/>
        <w:rPr>
          <w:rFonts w:ascii="Verdana" w:hAnsi="Verdana"/>
          <w:sz w:val="20"/>
          <w:szCs w:val="20"/>
        </w:rPr>
      </w:pPr>
      <w:r w:rsidRPr="00540E03">
        <w:rPr>
          <w:rFonts w:ascii="Verdana" w:hAnsi="Verdana"/>
          <w:sz w:val="20"/>
          <w:szCs w:val="20"/>
        </w:rPr>
        <w:t xml:space="preserve">This note </w:t>
      </w:r>
      <w:r w:rsidR="00344D4E" w:rsidRPr="00540E03">
        <w:rPr>
          <w:rFonts w:ascii="Verdana" w:hAnsi="Verdana"/>
          <w:sz w:val="20"/>
          <w:szCs w:val="20"/>
        </w:rPr>
        <w:t>is presented for information only</w:t>
      </w:r>
      <w:r w:rsidR="00710088" w:rsidRPr="00540E03">
        <w:rPr>
          <w:rFonts w:ascii="Verdana" w:hAnsi="Verdana"/>
          <w:sz w:val="20"/>
          <w:szCs w:val="20"/>
        </w:rPr>
        <w:t xml:space="preserve">, provides an overview and is </w:t>
      </w:r>
      <w:r w:rsidR="00344D4E" w:rsidRPr="00540E03">
        <w:rPr>
          <w:rFonts w:ascii="Verdana" w:hAnsi="Verdana"/>
          <w:sz w:val="20"/>
          <w:szCs w:val="20"/>
        </w:rPr>
        <w:t>not intended to</w:t>
      </w:r>
      <w:r w:rsidRPr="00540E03">
        <w:rPr>
          <w:rFonts w:ascii="Verdana" w:hAnsi="Verdana"/>
          <w:sz w:val="20"/>
          <w:szCs w:val="20"/>
        </w:rPr>
        <w:t xml:space="preserve"> cover every</w:t>
      </w:r>
      <w:r w:rsidR="00344D4E" w:rsidRPr="00540E03">
        <w:rPr>
          <w:rFonts w:ascii="Verdana" w:hAnsi="Verdana"/>
          <w:sz w:val="20"/>
          <w:szCs w:val="20"/>
        </w:rPr>
        <w:t xml:space="preserve"> eventuality</w:t>
      </w:r>
      <w:r w:rsidRPr="00540E03">
        <w:rPr>
          <w:rFonts w:ascii="Verdana" w:hAnsi="Verdana"/>
          <w:sz w:val="20"/>
          <w:szCs w:val="20"/>
        </w:rPr>
        <w:t xml:space="preserve">. Reading it is not a substitute for </w:t>
      </w:r>
      <w:r w:rsidR="0023438A" w:rsidRPr="00540E03">
        <w:rPr>
          <w:rFonts w:ascii="Verdana" w:hAnsi="Verdana"/>
          <w:sz w:val="20"/>
          <w:szCs w:val="20"/>
        </w:rPr>
        <w:t>considering</w:t>
      </w:r>
      <w:r w:rsidR="00A3020D" w:rsidRPr="00540E03">
        <w:rPr>
          <w:rFonts w:ascii="Verdana" w:hAnsi="Verdana"/>
          <w:sz w:val="20"/>
          <w:szCs w:val="20"/>
        </w:rPr>
        <w:t>, for example,</w:t>
      </w:r>
      <w:r w:rsidRPr="00540E03">
        <w:rPr>
          <w:rFonts w:ascii="Verdana" w:hAnsi="Verdana"/>
          <w:sz w:val="20"/>
          <w:szCs w:val="20"/>
        </w:rPr>
        <w:t xml:space="preserve"> the supply licence</w:t>
      </w:r>
      <w:r w:rsidR="00A3020D" w:rsidRPr="00540E03">
        <w:rPr>
          <w:rFonts w:ascii="Verdana" w:hAnsi="Verdana"/>
          <w:sz w:val="20"/>
          <w:szCs w:val="20"/>
        </w:rPr>
        <w:t xml:space="preserve"> and relevant legislation</w:t>
      </w:r>
      <w:r w:rsidRPr="00540E03">
        <w:rPr>
          <w:rFonts w:ascii="Verdana" w:hAnsi="Verdana"/>
          <w:sz w:val="20"/>
          <w:szCs w:val="20"/>
        </w:rPr>
        <w:t xml:space="preserve">, or carrying out your own due diligence. </w:t>
      </w:r>
      <w:r w:rsidR="00344D4E" w:rsidRPr="00540E03">
        <w:rPr>
          <w:rFonts w:ascii="Verdana" w:hAnsi="Verdana"/>
          <w:sz w:val="20"/>
          <w:szCs w:val="20"/>
        </w:rPr>
        <w:t>It is your responsibility to assess compliance with regulatory requirements</w:t>
      </w:r>
      <w:r w:rsidR="00ED6870" w:rsidRPr="00540E03">
        <w:rPr>
          <w:rFonts w:ascii="Verdana" w:hAnsi="Verdana"/>
          <w:sz w:val="20"/>
          <w:szCs w:val="20"/>
        </w:rPr>
        <w:t>.</w:t>
      </w:r>
      <w:r w:rsidR="00904132" w:rsidRPr="00540E03">
        <w:rPr>
          <w:rFonts w:ascii="Verdana" w:hAnsi="Verdana"/>
          <w:sz w:val="20"/>
          <w:szCs w:val="20"/>
        </w:rPr>
        <w:t xml:space="preserve"> Market participants have to deliver positive consumer outcomes, and this needs to be factored into all aspects of the business. </w:t>
      </w:r>
    </w:p>
    <w:p w14:paraId="2FBD49ED" w14:textId="40333B56" w:rsidR="004176CE" w:rsidRPr="00540E03" w:rsidRDefault="004176CE" w:rsidP="004176CE">
      <w:pPr>
        <w:spacing w:before="360"/>
        <w:jc w:val="both"/>
        <w:rPr>
          <w:rFonts w:ascii="Verdana" w:hAnsi="Verdana"/>
          <w:b/>
          <w:color w:val="E36C0A" w:themeColor="accent6" w:themeShade="BF"/>
          <w:sz w:val="28"/>
          <w:szCs w:val="28"/>
        </w:rPr>
      </w:pPr>
      <w:r w:rsidRPr="00540E03">
        <w:rPr>
          <w:rFonts w:ascii="Verdana" w:hAnsi="Verdana"/>
          <w:b/>
          <w:color w:val="E36C0A" w:themeColor="accent6" w:themeShade="BF"/>
          <w:sz w:val="28"/>
          <w:szCs w:val="28"/>
        </w:rPr>
        <w:t>Setting the scene</w:t>
      </w:r>
    </w:p>
    <w:p w14:paraId="201F9731" w14:textId="5CDF09F0" w:rsidR="00411BC3" w:rsidRPr="00540E03" w:rsidRDefault="0043446D" w:rsidP="00411BC3">
      <w:pPr>
        <w:pStyle w:val="Heading1"/>
        <w:spacing w:before="360" w:after="120"/>
        <w:jc w:val="both"/>
        <w:rPr>
          <w:rFonts w:ascii="Verdana" w:hAnsi="Verdana"/>
          <w:color w:val="17365D" w:themeColor="text2" w:themeShade="BF"/>
          <w:sz w:val="20"/>
          <w:szCs w:val="20"/>
        </w:rPr>
      </w:pPr>
      <w:r w:rsidRPr="00540E03">
        <w:rPr>
          <w:rFonts w:ascii="Verdana" w:hAnsi="Verdana"/>
          <w:color w:val="17365D" w:themeColor="text2" w:themeShade="BF"/>
          <w:sz w:val="20"/>
          <w:szCs w:val="20"/>
        </w:rPr>
        <w:t>E</w:t>
      </w:r>
      <w:r w:rsidR="00E064DE" w:rsidRPr="00540E03">
        <w:rPr>
          <w:rFonts w:ascii="Verdana" w:hAnsi="Verdana"/>
          <w:color w:val="17365D" w:themeColor="text2" w:themeShade="BF"/>
          <w:sz w:val="20"/>
          <w:szCs w:val="20"/>
        </w:rPr>
        <w:t xml:space="preserve">lectricity market overview </w:t>
      </w:r>
    </w:p>
    <w:p w14:paraId="0F7ED82F" w14:textId="0AEADCE7" w:rsidR="00E7646F" w:rsidRPr="00540E03" w:rsidRDefault="00411BC3" w:rsidP="00411BC3">
      <w:pPr>
        <w:pStyle w:val="ListParagraph"/>
        <w:numPr>
          <w:ilvl w:val="0"/>
          <w:numId w:val="23"/>
        </w:numPr>
        <w:contextualSpacing w:val="0"/>
        <w:jc w:val="both"/>
        <w:rPr>
          <w:rFonts w:ascii="Verdana" w:hAnsi="Verdana"/>
          <w:sz w:val="20"/>
          <w:szCs w:val="20"/>
        </w:rPr>
      </w:pPr>
      <w:r w:rsidRPr="00540E03">
        <w:rPr>
          <w:rFonts w:ascii="Verdana" w:hAnsi="Verdana"/>
          <w:sz w:val="20"/>
          <w:szCs w:val="20"/>
        </w:rPr>
        <w:t xml:space="preserve">The electricity system is a complex, real-time arrangement of participants generating, </w:t>
      </w:r>
      <w:r w:rsidR="00A3020D" w:rsidRPr="00540E03">
        <w:rPr>
          <w:rFonts w:ascii="Verdana" w:hAnsi="Verdana"/>
          <w:sz w:val="20"/>
          <w:szCs w:val="20"/>
        </w:rPr>
        <w:t xml:space="preserve">transmitting, </w:t>
      </w:r>
      <w:r w:rsidRPr="00540E03">
        <w:rPr>
          <w:rFonts w:ascii="Verdana" w:hAnsi="Verdana"/>
          <w:sz w:val="20"/>
          <w:szCs w:val="20"/>
        </w:rPr>
        <w:t xml:space="preserve">distributing, </w:t>
      </w:r>
      <w:r w:rsidR="00667747" w:rsidRPr="00540E03">
        <w:rPr>
          <w:rFonts w:ascii="Verdana" w:hAnsi="Verdana"/>
          <w:sz w:val="20"/>
          <w:szCs w:val="20"/>
        </w:rPr>
        <w:t xml:space="preserve">storing, </w:t>
      </w:r>
      <w:r w:rsidRPr="00540E03">
        <w:rPr>
          <w:rFonts w:ascii="Verdana" w:hAnsi="Verdana"/>
          <w:sz w:val="20"/>
          <w:szCs w:val="20"/>
        </w:rPr>
        <w:t>supplying and consuming power</w:t>
      </w:r>
      <w:r w:rsidR="00E064DE" w:rsidRPr="00540E03">
        <w:rPr>
          <w:rFonts w:ascii="Verdana" w:hAnsi="Verdana"/>
          <w:sz w:val="20"/>
          <w:szCs w:val="20"/>
        </w:rPr>
        <w:t>. They are</w:t>
      </w:r>
      <w:r w:rsidRPr="00540E03">
        <w:rPr>
          <w:rFonts w:ascii="Verdana" w:hAnsi="Verdana"/>
          <w:sz w:val="20"/>
          <w:szCs w:val="20"/>
        </w:rPr>
        <w:t xml:space="preserve"> supported </w:t>
      </w:r>
      <w:r w:rsidRPr="00540E03">
        <w:rPr>
          <w:rFonts w:ascii="Verdana" w:hAnsi="Verdana"/>
          <w:sz w:val="20"/>
          <w:szCs w:val="20"/>
        </w:rPr>
        <w:lastRenderedPageBreak/>
        <w:t xml:space="preserve">by a wide array of actors building, maintaining and servicing the physical and virtual infrastructures necessary for the system’s successful and continued operation. </w:t>
      </w:r>
    </w:p>
    <w:p w14:paraId="76F7ED64" w14:textId="5F1F206D" w:rsidR="00411BC3" w:rsidRPr="00540E03" w:rsidRDefault="00411BC3" w:rsidP="00411BC3">
      <w:pPr>
        <w:pStyle w:val="ListParagraph"/>
        <w:numPr>
          <w:ilvl w:val="0"/>
          <w:numId w:val="23"/>
        </w:numPr>
        <w:contextualSpacing w:val="0"/>
        <w:jc w:val="both"/>
        <w:rPr>
          <w:rFonts w:ascii="Verdana" w:hAnsi="Verdana"/>
          <w:sz w:val="20"/>
          <w:szCs w:val="20"/>
        </w:rPr>
      </w:pPr>
      <w:r w:rsidRPr="00540E03">
        <w:rPr>
          <w:rFonts w:ascii="Verdana" w:hAnsi="Verdana"/>
          <w:sz w:val="20"/>
          <w:szCs w:val="20"/>
        </w:rPr>
        <w:t xml:space="preserve">In order to protect consumers and energy system participants, organisations seeking to supply electricity to consumers are </w:t>
      </w:r>
      <w:r w:rsidR="00C825C6" w:rsidRPr="00540E03">
        <w:rPr>
          <w:rFonts w:ascii="Verdana" w:hAnsi="Verdana"/>
          <w:sz w:val="20"/>
          <w:szCs w:val="20"/>
        </w:rPr>
        <w:t xml:space="preserve">generally </w:t>
      </w:r>
      <w:r w:rsidRPr="00540E03">
        <w:rPr>
          <w:rFonts w:ascii="Verdana" w:hAnsi="Verdana"/>
          <w:sz w:val="20"/>
          <w:szCs w:val="20"/>
        </w:rPr>
        <w:t>required</w:t>
      </w:r>
      <w:r w:rsidR="00C825C6" w:rsidRPr="00540E03">
        <w:rPr>
          <w:rStyle w:val="FootnoteReference"/>
        </w:rPr>
        <w:footnoteReference w:id="2"/>
      </w:r>
      <w:r w:rsidRPr="00540E03">
        <w:rPr>
          <w:rFonts w:ascii="Verdana" w:hAnsi="Verdana"/>
          <w:sz w:val="20"/>
          <w:szCs w:val="20"/>
        </w:rPr>
        <w:t xml:space="preserve"> to </w:t>
      </w:r>
      <w:r w:rsidR="009336AC" w:rsidRPr="00540E03">
        <w:rPr>
          <w:rFonts w:ascii="Verdana" w:hAnsi="Verdana"/>
          <w:sz w:val="20"/>
          <w:szCs w:val="20"/>
        </w:rPr>
        <w:t xml:space="preserve">hold </w:t>
      </w:r>
      <w:r w:rsidRPr="00540E03">
        <w:rPr>
          <w:rFonts w:ascii="Verdana" w:hAnsi="Verdana"/>
          <w:sz w:val="20"/>
          <w:szCs w:val="20"/>
        </w:rPr>
        <w:t>an electricity supply licence under the Electricity Act 1989</w:t>
      </w:r>
      <w:r w:rsidRPr="00540E03">
        <w:rPr>
          <w:rStyle w:val="FootnoteReference"/>
        </w:rPr>
        <w:footnoteReference w:id="3"/>
      </w:r>
      <w:r w:rsidRPr="00540E03">
        <w:rPr>
          <w:rFonts w:ascii="Verdana" w:hAnsi="Verdana"/>
          <w:sz w:val="20"/>
          <w:szCs w:val="20"/>
        </w:rPr>
        <w:t>. Ofgem oversees and administers the granting of supply licences in GB, which set out the obligations and terms under which licence holders must operate.</w:t>
      </w:r>
    </w:p>
    <w:p w14:paraId="6195114E" w14:textId="044E7A01" w:rsidR="00411BC3" w:rsidRPr="00540E03" w:rsidRDefault="00411BC3" w:rsidP="00BE5756">
      <w:pPr>
        <w:pStyle w:val="ListParagraph"/>
        <w:numPr>
          <w:ilvl w:val="0"/>
          <w:numId w:val="23"/>
        </w:numPr>
        <w:contextualSpacing w:val="0"/>
        <w:jc w:val="both"/>
        <w:rPr>
          <w:rFonts w:ascii="Verdana" w:hAnsi="Verdana"/>
          <w:sz w:val="20"/>
          <w:szCs w:val="20"/>
        </w:rPr>
      </w:pPr>
      <w:r w:rsidRPr="00540E03">
        <w:rPr>
          <w:rFonts w:ascii="Verdana" w:hAnsi="Verdana"/>
          <w:sz w:val="20"/>
          <w:szCs w:val="20"/>
        </w:rPr>
        <w:t>All licensees are required to comply with industry codes</w:t>
      </w:r>
      <w:r w:rsidRPr="00540E03" w:rsidDel="00851A5C">
        <w:rPr>
          <w:rFonts w:ascii="Verdana" w:hAnsi="Verdana"/>
          <w:sz w:val="20"/>
          <w:szCs w:val="20"/>
        </w:rPr>
        <w:t xml:space="preserve"> </w:t>
      </w:r>
      <w:r w:rsidR="00055637" w:rsidRPr="00540E03">
        <w:rPr>
          <w:rFonts w:ascii="Verdana" w:hAnsi="Verdana"/>
          <w:sz w:val="20"/>
          <w:szCs w:val="20"/>
        </w:rPr>
        <w:t xml:space="preserve">which are, broadly speaking, </w:t>
      </w:r>
      <w:r w:rsidRPr="00540E03">
        <w:rPr>
          <w:rFonts w:ascii="Verdana" w:hAnsi="Verdana"/>
          <w:sz w:val="20"/>
          <w:szCs w:val="20"/>
        </w:rPr>
        <w:t xml:space="preserve">a number of highly detailed multi-party agreements. Both individually and collectively, the codes </w:t>
      </w:r>
      <w:r w:rsidR="00710088" w:rsidRPr="00540E03">
        <w:rPr>
          <w:rFonts w:ascii="Verdana" w:hAnsi="Verdana"/>
          <w:sz w:val="20"/>
          <w:szCs w:val="20"/>
        </w:rPr>
        <w:t>affect</w:t>
      </w:r>
      <w:r w:rsidRPr="00540E03">
        <w:rPr>
          <w:rFonts w:ascii="Verdana" w:hAnsi="Verdana"/>
          <w:sz w:val="20"/>
          <w:szCs w:val="20"/>
        </w:rPr>
        <w:t xml:space="preserve"> the shape of the electricity sector. </w:t>
      </w:r>
      <w:r w:rsidR="00D50D98" w:rsidRPr="00540E03">
        <w:rPr>
          <w:rFonts w:ascii="Verdana" w:hAnsi="Verdana"/>
          <w:sz w:val="20"/>
          <w:szCs w:val="20"/>
        </w:rPr>
        <w:t>Amongst other things, t</w:t>
      </w:r>
      <w:r w:rsidRPr="00540E03">
        <w:rPr>
          <w:rFonts w:ascii="Verdana" w:hAnsi="Verdana"/>
          <w:sz w:val="20"/>
          <w:szCs w:val="20"/>
        </w:rPr>
        <w:t xml:space="preserve">hese codes </w:t>
      </w:r>
      <w:r w:rsidR="00E064DE" w:rsidRPr="00540E03">
        <w:rPr>
          <w:rFonts w:ascii="Verdana" w:hAnsi="Verdana"/>
          <w:sz w:val="20"/>
          <w:szCs w:val="20"/>
        </w:rPr>
        <w:t>(</w:t>
      </w:r>
      <w:r w:rsidRPr="00540E03">
        <w:rPr>
          <w:rFonts w:ascii="Verdana" w:hAnsi="Verdana"/>
          <w:sz w:val="20"/>
          <w:szCs w:val="20"/>
        </w:rPr>
        <w:t>overseen in part by industry and in part by Ofgem</w:t>
      </w:r>
      <w:r w:rsidR="00E064DE" w:rsidRPr="00540E03">
        <w:rPr>
          <w:rFonts w:ascii="Verdana" w:hAnsi="Verdana"/>
          <w:sz w:val="20"/>
          <w:szCs w:val="20"/>
        </w:rPr>
        <w:t xml:space="preserve">) </w:t>
      </w:r>
      <w:r w:rsidRPr="00540E03">
        <w:rPr>
          <w:rFonts w:ascii="Verdana" w:hAnsi="Verdana"/>
          <w:sz w:val="20"/>
          <w:szCs w:val="20"/>
        </w:rPr>
        <w:t xml:space="preserve">define the terms under which participants access the </w:t>
      </w:r>
      <w:r w:rsidR="00E064DE" w:rsidRPr="00540E03">
        <w:rPr>
          <w:rFonts w:ascii="Verdana" w:hAnsi="Verdana"/>
          <w:sz w:val="20"/>
          <w:szCs w:val="20"/>
        </w:rPr>
        <w:t xml:space="preserve">electricity </w:t>
      </w:r>
      <w:r w:rsidRPr="00540E03">
        <w:rPr>
          <w:rFonts w:ascii="Verdana" w:hAnsi="Verdana"/>
          <w:sz w:val="20"/>
          <w:szCs w:val="20"/>
        </w:rPr>
        <w:t xml:space="preserve">networks and take part in the electricity market. </w:t>
      </w:r>
    </w:p>
    <w:p w14:paraId="2EC5D61F" w14:textId="6E9441F0" w:rsidR="00411BC3" w:rsidRPr="00540E03" w:rsidRDefault="00BE5756" w:rsidP="00BE5756">
      <w:pPr>
        <w:pStyle w:val="ListParagraph"/>
        <w:numPr>
          <w:ilvl w:val="0"/>
          <w:numId w:val="23"/>
        </w:numPr>
        <w:contextualSpacing w:val="0"/>
        <w:jc w:val="both"/>
        <w:rPr>
          <w:rFonts w:ascii="Verdana" w:hAnsi="Verdana"/>
          <w:sz w:val="20"/>
          <w:szCs w:val="20"/>
        </w:rPr>
      </w:pPr>
      <w:r w:rsidRPr="00540E03">
        <w:rPr>
          <w:rFonts w:ascii="Verdana" w:hAnsi="Verdana"/>
          <w:sz w:val="20"/>
          <w:szCs w:val="20"/>
        </w:rPr>
        <w:t xml:space="preserve">The </w:t>
      </w:r>
      <w:r w:rsidR="00951DF4" w:rsidRPr="00540E03">
        <w:rPr>
          <w:rFonts w:ascii="Verdana" w:hAnsi="Verdana"/>
          <w:sz w:val="20"/>
          <w:szCs w:val="20"/>
        </w:rPr>
        <w:t xml:space="preserve">management of flows on the electricity system is undertaken </w:t>
      </w:r>
      <w:r w:rsidR="00D50D98" w:rsidRPr="00540E03">
        <w:rPr>
          <w:rFonts w:ascii="Verdana" w:hAnsi="Verdana"/>
          <w:sz w:val="20"/>
          <w:szCs w:val="20"/>
        </w:rPr>
        <w:t xml:space="preserve">by National Grid in its role as </w:t>
      </w:r>
      <w:r w:rsidR="00951DF4" w:rsidRPr="00540E03">
        <w:rPr>
          <w:rFonts w:ascii="Verdana" w:hAnsi="Verdana"/>
          <w:sz w:val="20"/>
          <w:szCs w:val="20"/>
        </w:rPr>
        <w:t xml:space="preserve">the </w:t>
      </w:r>
      <w:r w:rsidR="00D50D98" w:rsidRPr="00540E03">
        <w:rPr>
          <w:rFonts w:ascii="Verdana" w:hAnsi="Verdana"/>
          <w:sz w:val="20"/>
          <w:szCs w:val="20"/>
        </w:rPr>
        <w:t xml:space="preserve">transmission system operator </w:t>
      </w:r>
      <w:r w:rsidRPr="00540E03">
        <w:rPr>
          <w:rFonts w:ascii="Verdana" w:hAnsi="Verdana"/>
          <w:sz w:val="20"/>
          <w:szCs w:val="20"/>
        </w:rPr>
        <w:t xml:space="preserve">(SO). </w:t>
      </w:r>
      <w:r w:rsidR="00411BC3" w:rsidRPr="00540E03">
        <w:rPr>
          <w:rFonts w:ascii="Verdana" w:hAnsi="Verdana"/>
          <w:sz w:val="20"/>
          <w:szCs w:val="20"/>
        </w:rPr>
        <w:t>Power is traded on the wholesale market bilaterally</w:t>
      </w:r>
      <w:r w:rsidRPr="00540E03">
        <w:rPr>
          <w:rFonts w:ascii="Verdana" w:hAnsi="Verdana"/>
          <w:sz w:val="20"/>
          <w:szCs w:val="20"/>
        </w:rPr>
        <w:t xml:space="preserve"> between generators and supplie</w:t>
      </w:r>
      <w:r w:rsidR="00951DF4" w:rsidRPr="00540E03">
        <w:rPr>
          <w:rFonts w:ascii="Verdana" w:hAnsi="Verdana"/>
          <w:sz w:val="20"/>
          <w:szCs w:val="20"/>
        </w:rPr>
        <w:t>r</w:t>
      </w:r>
      <w:r w:rsidRPr="00540E03">
        <w:rPr>
          <w:rFonts w:ascii="Verdana" w:hAnsi="Verdana"/>
          <w:sz w:val="20"/>
          <w:szCs w:val="20"/>
        </w:rPr>
        <w:t>s</w:t>
      </w:r>
      <w:r w:rsidR="00411BC3" w:rsidRPr="00540E03">
        <w:rPr>
          <w:rFonts w:ascii="Verdana" w:hAnsi="Verdana"/>
          <w:sz w:val="20"/>
          <w:szCs w:val="20"/>
        </w:rPr>
        <w:t xml:space="preserve"> (often years and months in advance)</w:t>
      </w:r>
      <w:r w:rsidRPr="00540E03">
        <w:rPr>
          <w:rFonts w:ascii="Verdana" w:hAnsi="Verdana"/>
          <w:sz w:val="20"/>
          <w:szCs w:val="20"/>
        </w:rPr>
        <w:t>,</w:t>
      </w:r>
      <w:r w:rsidR="00411BC3" w:rsidRPr="00540E03">
        <w:rPr>
          <w:rFonts w:ascii="Verdana" w:hAnsi="Verdana"/>
          <w:sz w:val="20"/>
          <w:szCs w:val="20"/>
        </w:rPr>
        <w:t xml:space="preserve"> and on energy exchanges (days and hours in advance)</w:t>
      </w:r>
      <w:r w:rsidRPr="00540E03">
        <w:rPr>
          <w:rFonts w:ascii="Verdana" w:hAnsi="Verdana"/>
          <w:sz w:val="20"/>
          <w:szCs w:val="20"/>
        </w:rPr>
        <w:t>. This trading goes on u</w:t>
      </w:r>
      <w:r w:rsidR="00411BC3" w:rsidRPr="00540E03">
        <w:rPr>
          <w:rFonts w:ascii="Verdana" w:hAnsi="Verdana"/>
          <w:sz w:val="20"/>
          <w:szCs w:val="20"/>
        </w:rPr>
        <w:t>p until one hour before delivery</w:t>
      </w:r>
      <w:r w:rsidR="00951DF4" w:rsidRPr="00540E03">
        <w:rPr>
          <w:rFonts w:ascii="Verdana" w:hAnsi="Verdana"/>
          <w:sz w:val="20"/>
          <w:szCs w:val="20"/>
        </w:rPr>
        <w:t xml:space="preserve"> – the point known as ‘gate closure’</w:t>
      </w:r>
      <w:r w:rsidR="00411BC3" w:rsidRPr="00540E03">
        <w:rPr>
          <w:rFonts w:ascii="Verdana" w:hAnsi="Verdana"/>
          <w:sz w:val="20"/>
          <w:szCs w:val="20"/>
        </w:rPr>
        <w:t xml:space="preserve">. At this </w:t>
      </w:r>
      <w:r w:rsidR="00951DF4" w:rsidRPr="00540E03">
        <w:rPr>
          <w:rFonts w:ascii="Verdana" w:hAnsi="Verdana"/>
          <w:sz w:val="20"/>
          <w:szCs w:val="20"/>
        </w:rPr>
        <w:t>time</w:t>
      </w:r>
      <w:r w:rsidR="00411BC3" w:rsidRPr="00540E03">
        <w:rPr>
          <w:rFonts w:ascii="Verdana" w:hAnsi="Verdana"/>
          <w:sz w:val="20"/>
          <w:szCs w:val="20"/>
        </w:rPr>
        <w:t xml:space="preserve">, suppliers and generators have to notify the </w:t>
      </w:r>
      <w:r w:rsidRPr="00540E03">
        <w:rPr>
          <w:rFonts w:ascii="Verdana" w:hAnsi="Verdana"/>
          <w:sz w:val="20"/>
          <w:szCs w:val="20"/>
        </w:rPr>
        <w:t>SO</w:t>
      </w:r>
      <w:r w:rsidR="00411BC3" w:rsidRPr="00540E03">
        <w:rPr>
          <w:rFonts w:ascii="Verdana" w:hAnsi="Verdana"/>
          <w:sz w:val="20"/>
          <w:szCs w:val="20"/>
        </w:rPr>
        <w:t xml:space="preserve"> how much power they have contracted for, and how much they are forecasting they will need or be able to provide.</w:t>
      </w:r>
    </w:p>
    <w:p w14:paraId="76B4359B" w14:textId="5FC34CAD" w:rsidR="00411BC3" w:rsidRPr="00540E03" w:rsidRDefault="00411BC3" w:rsidP="00411BC3">
      <w:pPr>
        <w:pStyle w:val="ListParagraph"/>
        <w:numPr>
          <w:ilvl w:val="0"/>
          <w:numId w:val="23"/>
        </w:numPr>
        <w:contextualSpacing w:val="0"/>
        <w:jc w:val="both"/>
        <w:rPr>
          <w:rFonts w:ascii="Verdana" w:hAnsi="Verdana"/>
          <w:sz w:val="20"/>
          <w:szCs w:val="20"/>
        </w:rPr>
      </w:pPr>
      <w:r w:rsidRPr="00540E03">
        <w:rPr>
          <w:rFonts w:ascii="Verdana" w:hAnsi="Verdana"/>
          <w:sz w:val="20"/>
          <w:szCs w:val="20"/>
        </w:rPr>
        <w:t>To avoid the system frequency</w:t>
      </w:r>
      <w:r w:rsidR="00BB68EF" w:rsidRPr="00540E03">
        <w:rPr>
          <w:rStyle w:val="FootnoteReference"/>
        </w:rPr>
        <w:footnoteReference w:id="4"/>
      </w:r>
      <w:r w:rsidRPr="00540E03">
        <w:rPr>
          <w:rFonts w:ascii="Verdana" w:hAnsi="Verdana"/>
          <w:sz w:val="20"/>
          <w:szCs w:val="20"/>
        </w:rPr>
        <w:t xml:space="preserve"> falling or rising to unacceptable levels, the SO assesses whether more electricity will be generated than consumed (or vice versa). Through the ‘balancing mechanism’ the </w:t>
      </w:r>
      <w:r w:rsidR="00990C7B" w:rsidRPr="00540E03">
        <w:rPr>
          <w:rFonts w:ascii="Verdana" w:hAnsi="Verdana"/>
          <w:sz w:val="20"/>
          <w:szCs w:val="20"/>
        </w:rPr>
        <w:t>SO can take corrective action</w:t>
      </w:r>
      <w:r w:rsidR="00951DF4" w:rsidRPr="00540E03">
        <w:rPr>
          <w:rFonts w:ascii="Verdana" w:hAnsi="Verdana"/>
          <w:sz w:val="20"/>
          <w:szCs w:val="20"/>
        </w:rPr>
        <w:t>,</w:t>
      </w:r>
      <w:r w:rsidR="00990C7B" w:rsidRPr="00540E03">
        <w:rPr>
          <w:rFonts w:ascii="Verdana" w:hAnsi="Verdana"/>
          <w:sz w:val="20"/>
          <w:szCs w:val="20"/>
        </w:rPr>
        <w:t xml:space="preserve"> by </w:t>
      </w:r>
      <w:r w:rsidRPr="00540E03">
        <w:rPr>
          <w:rFonts w:ascii="Verdana" w:hAnsi="Verdana"/>
          <w:sz w:val="20"/>
          <w:szCs w:val="20"/>
        </w:rPr>
        <w:t>buy</w:t>
      </w:r>
      <w:r w:rsidR="00990C7B" w:rsidRPr="00540E03">
        <w:rPr>
          <w:rFonts w:ascii="Verdana" w:hAnsi="Verdana"/>
          <w:sz w:val="20"/>
          <w:szCs w:val="20"/>
        </w:rPr>
        <w:t>ing</w:t>
      </w:r>
      <w:r w:rsidRPr="00540E03">
        <w:rPr>
          <w:rFonts w:ascii="Verdana" w:hAnsi="Verdana"/>
          <w:sz w:val="20"/>
          <w:szCs w:val="20"/>
        </w:rPr>
        <w:t xml:space="preserve"> or sell</w:t>
      </w:r>
      <w:r w:rsidR="00990C7B" w:rsidRPr="00540E03">
        <w:rPr>
          <w:rFonts w:ascii="Verdana" w:hAnsi="Verdana"/>
          <w:sz w:val="20"/>
          <w:szCs w:val="20"/>
        </w:rPr>
        <w:t>ing</w:t>
      </w:r>
      <w:r w:rsidRPr="00540E03">
        <w:rPr>
          <w:rFonts w:ascii="Verdana" w:hAnsi="Verdana"/>
          <w:sz w:val="20"/>
          <w:szCs w:val="20"/>
        </w:rPr>
        <w:t xml:space="preserve"> electricity</w:t>
      </w:r>
      <w:r w:rsidR="00951DF4" w:rsidRPr="00540E03">
        <w:rPr>
          <w:rFonts w:ascii="Verdana" w:hAnsi="Verdana"/>
          <w:sz w:val="20"/>
          <w:szCs w:val="20"/>
        </w:rPr>
        <w:t>,</w:t>
      </w:r>
      <w:r w:rsidRPr="00540E03">
        <w:rPr>
          <w:rFonts w:ascii="Verdana" w:hAnsi="Verdana"/>
          <w:sz w:val="20"/>
          <w:szCs w:val="20"/>
        </w:rPr>
        <w:t xml:space="preserve"> to maintain balance in real-time. </w:t>
      </w:r>
    </w:p>
    <w:p w14:paraId="7A796D0C" w14:textId="36E9D3D9" w:rsidR="00411BC3" w:rsidRPr="00540E03" w:rsidRDefault="00411BC3" w:rsidP="00411BC3">
      <w:pPr>
        <w:pStyle w:val="Paragrapgh"/>
        <w:numPr>
          <w:ilvl w:val="0"/>
          <w:numId w:val="23"/>
        </w:numPr>
        <w:spacing w:before="0" w:after="200" w:line="276" w:lineRule="auto"/>
        <w:jc w:val="both"/>
      </w:pPr>
      <w:r w:rsidRPr="00540E03">
        <w:rPr>
          <w:rFonts w:cs="Arial"/>
          <w:lang w:eastAsia="en-GB"/>
        </w:rPr>
        <w:lastRenderedPageBreak/>
        <w:t>The nature of electricity is such that generators may produce more or less energy than they have sold and customers may consume more or less energy than their supplier has purchased on their behalf. The discrepancies between contractual and actual (</w:t>
      </w:r>
      <w:r w:rsidR="00D45AE0" w:rsidRPr="00540E03">
        <w:rPr>
          <w:rFonts w:cs="Arial"/>
          <w:lang w:eastAsia="en-GB"/>
        </w:rPr>
        <w:t>often-called</w:t>
      </w:r>
      <w:r w:rsidRPr="00540E03">
        <w:rPr>
          <w:rFonts w:cs="Arial"/>
          <w:lang w:eastAsia="en-GB"/>
        </w:rPr>
        <w:t xml:space="preserve"> physical) positions is reconciled through a process known as ‘settlement’.</w:t>
      </w:r>
    </w:p>
    <w:p w14:paraId="1F595B60" w14:textId="425230B0" w:rsidR="00411BC3" w:rsidRPr="00540E03" w:rsidRDefault="00990C7B" w:rsidP="00411BC3">
      <w:pPr>
        <w:pStyle w:val="Heading1"/>
        <w:spacing w:before="360" w:after="120"/>
        <w:jc w:val="both"/>
        <w:rPr>
          <w:rFonts w:ascii="Verdana" w:hAnsi="Verdana"/>
          <w:color w:val="17365D" w:themeColor="text2" w:themeShade="BF"/>
          <w:sz w:val="20"/>
          <w:szCs w:val="20"/>
        </w:rPr>
      </w:pPr>
      <w:r w:rsidRPr="00540E03">
        <w:rPr>
          <w:rFonts w:ascii="Verdana" w:hAnsi="Verdana"/>
          <w:color w:val="17365D" w:themeColor="text2" w:themeShade="BF"/>
          <w:sz w:val="20"/>
          <w:szCs w:val="20"/>
        </w:rPr>
        <w:t>Electricity i</w:t>
      </w:r>
      <w:r w:rsidR="00411BC3" w:rsidRPr="00540E03">
        <w:rPr>
          <w:rFonts w:ascii="Verdana" w:hAnsi="Verdana"/>
          <w:color w:val="17365D" w:themeColor="text2" w:themeShade="BF"/>
          <w:sz w:val="20"/>
          <w:szCs w:val="20"/>
        </w:rPr>
        <w:t xml:space="preserve">ndustry </w:t>
      </w:r>
      <w:r w:rsidRPr="00540E03">
        <w:rPr>
          <w:rFonts w:ascii="Verdana" w:hAnsi="Verdana"/>
          <w:color w:val="17365D" w:themeColor="text2" w:themeShade="BF"/>
          <w:sz w:val="20"/>
          <w:szCs w:val="20"/>
        </w:rPr>
        <w:t xml:space="preserve">players </w:t>
      </w:r>
    </w:p>
    <w:p w14:paraId="421328A6" w14:textId="098D4BE0" w:rsidR="00411BC3" w:rsidRPr="00540E03" w:rsidRDefault="00990C7B" w:rsidP="00DE47E3">
      <w:pPr>
        <w:pStyle w:val="ListParagraph"/>
        <w:numPr>
          <w:ilvl w:val="0"/>
          <w:numId w:val="23"/>
        </w:numPr>
        <w:jc w:val="both"/>
        <w:rPr>
          <w:rFonts w:ascii="Verdana" w:hAnsi="Verdana"/>
          <w:sz w:val="20"/>
          <w:szCs w:val="20"/>
        </w:rPr>
      </w:pPr>
      <w:r w:rsidRPr="00540E03">
        <w:rPr>
          <w:rFonts w:ascii="Verdana" w:hAnsi="Verdana"/>
          <w:sz w:val="20"/>
          <w:szCs w:val="20"/>
        </w:rPr>
        <w:t xml:space="preserve">The </w:t>
      </w:r>
      <w:r w:rsidR="00411BC3" w:rsidRPr="00540E03">
        <w:rPr>
          <w:rFonts w:ascii="Verdana" w:hAnsi="Verdana"/>
          <w:sz w:val="20"/>
          <w:szCs w:val="20"/>
        </w:rPr>
        <w:t xml:space="preserve">following </w:t>
      </w:r>
      <w:r w:rsidR="00F20A06" w:rsidRPr="00540E03">
        <w:rPr>
          <w:rFonts w:ascii="Verdana" w:hAnsi="Verdana"/>
          <w:sz w:val="20"/>
          <w:szCs w:val="20"/>
        </w:rPr>
        <w:t xml:space="preserve">summarises the </w:t>
      </w:r>
      <w:r w:rsidR="00411BC3" w:rsidRPr="00540E03">
        <w:rPr>
          <w:rFonts w:ascii="Verdana" w:hAnsi="Verdana"/>
          <w:sz w:val="20"/>
          <w:szCs w:val="20"/>
        </w:rPr>
        <w:t>differ</w:t>
      </w:r>
      <w:r w:rsidRPr="00540E03">
        <w:rPr>
          <w:rFonts w:ascii="Verdana" w:hAnsi="Verdana"/>
          <w:sz w:val="20"/>
          <w:szCs w:val="20"/>
        </w:rPr>
        <w:t xml:space="preserve">ent parties and </w:t>
      </w:r>
      <w:r w:rsidR="005B63A7" w:rsidRPr="00540E03">
        <w:rPr>
          <w:rFonts w:ascii="Verdana" w:hAnsi="Verdana"/>
          <w:sz w:val="20"/>
          <w:szCs w:val="20"/>
        </w:rPr>
        <w:t>what they do</w:t>
      </w:r>
      <w:r w:rsidR="00951DF4" w:rsidRPr="00540E03">
        <w:rPr>
          <w:rFonts w:ascii="Verdana" w:hAnsi="Verdana"/>
          <w:sz w:val="20"/>
          <w:szCs w:val="20"/>
        </w:rPr>
        <w:t>. It’s not intended to be exhaustive and doesn’t cover every function</w:t>
      </w:r>
      <w:r w:rsidR="00411BC3" w:rsidRPr="00540E03">
        <w:rPr>
          <w:rFonts w:ascii="Verdana" w:hAnsi="Verdana"/>
          <w:sz w:val="20"/>
          <w:szCs w:val="20"/>
        </w:rPr>
        <w:t xml:space="preserve">, </w:t>
      </w:r>
      <w:r w:rsidR="00F20A06" w:rsidRPr="00540E03">
        <w:rPr>
          <w:rFonts w:ascii="Verdana" w:hAnsi="Verdana"/>
          <w:sz w:val="20"/>
          <w:szCs w:val="20"/>
        </w:rPr>
        <w:t xml:space="preserve">every player or all of the complex interactions </w:t>
      </w:r>
      <w:r w:rsidR="00411BC3" w:rsidRPr="00540E03">
        <w:rPr>
          <w:rFonts w:ascii="Verdana" w:hAnsi="Verdana"/>
          <w:sz w:val="20"/>
          <w:szCs w:val="20"/>
        </w:rPr>
        <w:t xml:space="preserve">between </w:t>
      </w:r>
      <w:r w:rsidR="005B63A7" w:rsidRPr="00540E03">
        <w:rPr>
          <w:rFonts w:ascii="Verdana" w:hAnsi="Verdana"/>
          <w:sz w:val="20"/>
          <w:szCs w:val="20"/>
        </w:rPr>
        <w:t>them</w:t>
      </w:r>
      <w:r w:rsidR="005737F2" w:rsidRPr="00540E03">
        <w:rPr>
          <w:rFonts w:ascii="Verdana" w:hAnsi="Verdana"/>
          <w:sz w:val="20"/>
          <w:szCs w:val="20"/>
        </w:rPr>
        <w:t xml:space="preserve">. This document is only intended as </w:t>
      </w:r>
      <w:r w:rsidR="006B2B90" w:rsidRPr="00540E03">
        <w:rPr>
          <w:rFonts w:ascii="Verdana" w:hAnsi="Verdana"/>
          <w:sz w:val="20"/>
          <w:szCs w:val="20"/>
        </w:rPr>
        <w:t xml:space="preserve">a </w:t>
      </w:r>
      <w:r w:rsidR="005737F2" w:rsidRPr="00540E03">
        <w:rPr>
          <w:rFonts w:ascii="Verdana" w:hAnsi="Verdana"/>
          <w:sz w:val="20"/>
          <w:szCs w:val="20"/>
        </w:rPr>
        <w:t xml:space="preserve">general </w:t>
      </w:r>
      <w:r w:rsidR="006B2B90" w:rsidRPr="00540E03">
        <w:rPr>
          <w:rFonts w:ascii="Verdana" w:hAnsi="Verdana"/>
          <w:sz w:val="20"/>
          <w:szCs w:val="20"/>
        </w:rPr>
        <w:t>introduction</w:t>
      </w:r>
      <w:r w:rsidR="005737F2" w:rsidRPr="00540E03">
        <w:rPr>
          <w:rFonts w:ascii="Verdana" w:hAnsi="Verdana"/>
          <w:sz w:val="20"/>
          <w:szCs w:val="20"/>
        </w:rPr>
        <w:t xml:space="preserve"> to illustrate what different </w:t>
      </w:r>
      <w:r w:rsidR="006B2B90" w:rsidRPr="00540E03">
        <w:rPr>
          <w:rFonts w:ascii="Verdana" w:hAnsi="Verdana"/>
          <w:sz w:val="20"/>
          <w:szCs w:val="20"/>
        </w:rPr>
        <w:t>players</w:t>
      </w:r>
      <w:r w:rsidR="005737F2" w:rsidRPr="00540E03">
        <w:rPr>
          <w:rFonts w:ascii="Verdana" w:hAnsi="Verdana"/>
          <w:sz w:val="20"/>
          <w:szCs w:val="20"/>
        </w:rPr>
        <w:t xml:space="preserve"> do, and shouldn’t be relied on as guidance on precisely what activities require a licence.</w:t>
      </w:r>
      <w:r w:rsidR="00F67C17" w:rsidRPr="00540E03">
        <w:rPr>
          <w:rFonts w:ascii="Verdana" w:hAnsi="Verdana"/>
          <w:sz w:val="20"/>
          <w:szCs w:val="20"/>
        </w:rPr>
        <w:t xml:space="preserve"> </w:t>
      </w:r>
    </w:p>
    <w:p w14:paraId="740B39AD" w14:textId="77777777" w:rsidR="00411BC3" w:rsidRPr="00540E03" w:rsidRDefault="00411BC3" w:rsidP="00411BC3">
      <w:pPr>
        <w:pStyle w:val="ListParagraph"/>
        <w:spacing w:after="0"/>
        <w:ind w:left="357"/>
        <w:contextualSpacing w:val="0"/>
        <w:jc w:val="both"/>
        <w:rPr>
          <w:rFonts w:ascii="Verdana" w:hAnsi="Verdana"/>
          <w:sz w:val="20"/>
          <w:szCs w:val="20"/>
        </w:rPr>
      </w:pPr>
    </w:p>
    <w:p w14:paraId="6DB085BA" w14:textId="77777777" w:rsidR="00411BC3" w:rsidRPr="00540E03" w:rsidRDefault="00411BC3" w:rsidP="00411BC3">
      <w:pPr>
        <w:pStyle w:val="ListParagraph"/>
        <w:numPr>
          <w:ilvl w:val="0"/>
          <w:numId w:val="15"/>
        </w:numPr>
        <w:ind w:left="709" w:hanging="357"/>
        <w:contextualSpacing w:val="0"/>
        <w:jc w:val="both"/>
        <w:rPr>
          <w:rFonts w:ascii="Verdana" w:hAnsi="Verdana"/>
          <w:sz w:val="20"/>
          <w:szCs w:val="20"/>
        </w:rPr>
      </w:pPr>
      <w:r w:rsidRPr="00540E03">
        <w:rPr>
          <w:rFonts w:ascii="Verdana" w:hAnsi="Verdana"/>
          <w:b/>
          <w:color w:val="17365D" w:themeColor="text2" w:themeShade="BF"/>
          <w:sz w:val="20"/>
          <w:szCs w:val="20"/>
        </w:rPr>
        <w:t>Generators</w:t>
      </w:r>
      <w:r w:rsidRPr="00540E03">
        <w:rPr>
          <w:rFonts w:ascii="Verdana" w:hAnsi="Verdana"/>
          <w:color w:val="17365D" w:themeColor="text2" w:themeShade="BF"/>
          <w:sz w:val="20"/>
          <w:szCs w:val="20"/>
        </w:rPr>
        <w:t xml:space="preserve"> </w:t>
      </w:r>
      <w:r w:rsidRPr="00540E03">
        <w:rPr>
          <w:rFonts w:ascii="Verdana" w:hAnsi="Verdana"/>
          <w:sz w:val="20"/>
          <w:szCs w:val="20"/>
        </w:rPr>
        <w:t>sell their power to suppliers (or large users) at a wholesale rate and feed it into the transmission or distribution system.</w:t>
      </w:r>
    </w:p>
    <w:p w14:paraId="28070F5B" w14:textId="7DDF6199" w:rsidR="00411BC3" w:rsidRPr="00540E03" w:rsidRDefault="00411BC3" w:rsidP="00411BC3">
      <w:pPr>
        <w:pStyle w:val="ListParagraph"/>
        <w:numPr>
          <w:ilvl w:val="0"/>
          <w:numId w:val="15"/>
        </w:numPr>
        <w:ind w:left="709" w:hanging="357"/>
        <w:contextualSpacing w:val="0"/>
        <w:jc w:val="both"/>
        <w:rPr>
          <w:rFonts w:ascii="Verdana" w:hAnsi="Verdana"/>
          <w:sz w:val="20"/>
          <w:szCs w:val="20"/>
        </w:rPr>
      </w:pPr>
      <w:r w:rsidRPr="00540E03">
        <w:rPr>
          <w:rFonts w:ascii="Verdana" w:hAnsi="Verdana"/>
          <w:b/>
          <w:color w:val="17365D" w:themeColor="text2" w:themeShade="BF"/>
          <w:sz w:val="20"/>
          <w:szCs w:val="20"/>
        </w:rPr>
        <w:t>Suppliers</w:t>
      </w:r>
      <w:r w:rsidRPr="00540E03">
        <w:rPr>
          <w:rFonts w:ascii="Verdana" w:hAnsi="Verdana"/>
          <w:color w:val="17365D" w:themeColor="text2" w:themeShade="BF"/>
          <w:sz w:val="20"/>
          <w:szCs w:val="20"/>
        </w:rPr>
        <w:t xml:space="preserve"> </w:t>
      </w:r>
      <w:r w:rsidRPr="00540E03">
        <w:rPr>
          <w:rFonts w:ascii="Verdana" w:hAnsi="Verdana"/>
          <w:sz w:val="20"/>
          <w:szCs w:val="20"/>
        </w:rPr>
        <w:t>procure power wholesale and sell it on to consumers</w:t>
      </w:r>
      <w:r w:rsidR="00667747" w:rsidRPr="00540E03">
        <w:rPr>
          <w:rFonts w:ascii="Verdana" w:hAnsi="Verdana"/>
          <w:sz w:val="20"/>
          <w:szCs w:val="20"/>
        </w:rPr>
        <w:t xml:space="preserve"> (household or business</w:t>
      </w:r>
      <w:r w:rsidR="00710088" w:rsidRPr="00540E03">
        <w:rPr>
          <w:rFonts w:ascii="Verdana" w:hAnsi="Verdana"/>
          <w:sz w:val="20"/>
          <w:szCs w:val="20"/>
        </w:rPr>
        <w:t>) in</w:t>
      </w:r>
      <w:r w:rsidRPr="00540E03">
        <w:rPr>
          <w:rFonts w:ascii="Verdana" w:hAnsi="Verdana"/>
          <w:sz w:val="20"/>
          <w:szCs w:val="20"/>
        </w:rPr>
        <w:t xml:space="preserve"> the retail market. They aggregate all </w:t>
      </w:r>
      <w:r w:rsidR="005B63A7" w:rsidRPr="00540E03">
        <w:rPr>
          <w:rFonts w:ascii="Verdana" w:hAnsi="Verdana"/>
          <w:sz w:val="20"/>
          <w:szCs w:val="20"/>
        </w:rPr>
        <w:t xml:space="preserve">of the costs of the </w:t>
      </w:r>
      <w:r w:rsidRPr="00540E03">
        <w:rPr>
          <w:rFonts w:ascii="Verdana" w:hAnsi="Verdana"/>
          <w:sz w:val="20"/>
          <w:szCs w:val="20"/>
        </w:rPr>
        <w:t>electricity system</w:t>
      </w:r>
      <w:r w:rsidR="005B63A7" w:rsidRPr="00540E03">
        <w:rPr>
          <w:rFonts w:ascii="Verdana" w:hAnsi="Verdana"/>
          <w:sz w:val="20"/>
          <w:szCs w:val="20"/>
        </w:rPr>
        <w:t xml:space="preserve">’s </w:t>
      </w:r>
      <w:r w:rsidRPr="00540E03">
        <w:rPr>
          <w:rFonts w:ascii="Verdana" w:hAnsi="Verdana"/>
          <w:sz w:val="20"/>
          <w:szCs w:val="20"/>
        </w:rPr>
        <w:t>supply chain for consumers</w:t>
      </w:r>
      <w:r w:rsidR="005B63A7" w:rsidRPr="00540E03">
        <w:rPr>
          <w:rFonts w:ascii="Verdana" w:hAnsi="Verdana"/>
          <w:sz w:val="20"/>
          <w:szCs w:val="20"/>
        </w:rPr>
        <w:t xml:space="preserve">. This includes the </w:t>
      </w:r>
      <w:r w:rsidRPr="00540E03">
        <w:rPr>
          <w:rFonts w:ascii="Verdana" w:hAnsi="Verdana"/>
          <w:sz w:val="20"/>
          <w:szCs w:val="20"/>
        </w:rPr>
        <w:t xml:space="preserve">costs of generation, transport, </w:t>
      </w:r>
      <w:r w:rsidR="005B63A7" w:rsidRPr="00540E03">
        <w:rPr>
          <w:rFonts w:ascii="Verdana" w:hAnsi="Verdana"/>
          <w:sz w:val="20"/>
          <w:szCs w:val="20"/>
        </w:rPr>
        <w:t xml:space="preserve">system </w:t>
      </w:r>
      <w:r w:rsidRPr="00540E03">
        <w:rPr>
          <w:rFonts w:ascii="Verdana" w:hAnsi="Verdana"/>
          <w:sz w:val="20"/>
          <w:szCs w:val="20"/>
        </w:rPr>
        <w:t xml:space="preserve">balancing, metering and </w:t>
      </w:r>
      <w:r w:rsidR="0043446D" w:rsidRPr="00540E03">
        <w:rPr>
          <w:rFonts w:ascii="Verdana" w:hAnsi="Verdana"/>
          <w:sz w:val="20"/>
          <w:szCs w:val="20"/>
        </w:rPr>
        <w:t>government’s</w:t>
      </w:r>
      <w:r w:rsidR="005B63A7" w:rsidRPr="00540E03">
        <w:rPr>
          <w:rFonts w:ascii="Verdana" w:hAnsi="Verdana"/>
          <w:sz w:val="20"/>
          <w:szCs w:val="20"/>
        </w:rPr>
        <w:t xml:space="preserve"> </w:t>
      </w:r>
      <w:r w:rsidRPr="00540E03">
        <w:rPr>
          <w:rFonts w:ascii="Verdana" w:hAnsi="Verdana"/>
          <w:sz w:val="20"/>
          <w:szCs w:val="20"/>
        </w:rPr>
        <w:t>environmental and social programmes</w:t>
      </w:r>
      <w:r w:rsidR="005B63A7" w:rsidRPr="00540E03">
        <w:rPr>
          <w:rFonts w:ascii="Verdana" w:hAnsi="Verdana"/>
          <w:sz w:val="20"/>
          <w:szCs w:val="20"/>
        </w:rPr>
        <w:t xml:space="preserve"> </w:t>
      </w:r>
      <w:r w:rsidRPr="00540E03">
        <w:rPr>
          <w:rFonts w:ascii="Verdana" w:hAnsi="Verdana"/>
          <w:sz w:val="20"/>
          <w:szCs w:val="20"/>
        </w:rPr>
        <w:t xml:space="preserve">which are levied onto bills.  </w:t>
      </w:r>
    </w:p>
    <w:p w14:paraId="31E4E75B" w14:textId="545ADE7C" w:rsidR="00411BC3" w:rsidRPr="00540E03" w:rsidRDefault="00411BC3" w:rsidP="00411BC3">
      <w:pPr>
        <w:pStyle w:val="ListParagraph"/>
        <w:numPr>
          <w:ilvl w:val="0"/>
          <w:numId w:val="15"/>
        </w:numPr>
        <w:ind w:left="709" w:hanging="357"/>
        <w:contextualSpacing w:val="0"/>
        <w:jc w:val="both"/>
        <w:rPr>
          <w:rFonts w:ascii="Verdana" w:hAnsi="Verdana"/>
          <w:sz w:val="20"/>
          <w:szCs w:val="20"/>
        </w:rPr>
      </w:pPr>
      <w:r w:rsidRPr="00540E03">
        <w:rPr>
          <w:rFonts w:ascii="Verdana" w:hAnsi="Verdana"/>
          <w:sz w:val="20"/>
          <w:szCs w:val="20"/>
        </w:rPr>
        <w:t xml:space="preserve">The </w:t>
      </w:r>
      <w:r w:rsidRPr="00540E03">
        <w:rPr>
          <w:rFonts w:ascii="Verdana" w:hAnsi="Verdana"/>
          <w:b/>
          <w:color w:val="17365D" w:themeColor="text2" w:themeShade="BF"/>
          <w:sz w:val="20"/>
          <w:szCs w:val="20"/>
        </w:rPr>
        <w:t>System Operator</w:t>
      </w:r>
      <w:r w:rsidRPr="00540E03">
        <w:rPr>
          <w:rFonts w:ascii="Verdana" w:hAnsi="Verdana"/>
          <w:color w:val="17365D" w:themeColor="text2" w:themeShade="BF"/>
          <w:sz w:val="20"/>
          <w:szCs w:val="20"/>
        </w:rPr>
        <w:t xml:space="preserve"> </w:t>
      </w:r>
      <w:r w:rsidRPr="00540E03">
        <w:rPr>
          <w:rFonts w:ascii="Verdana" w:hAnsi="Verdana"/>
          <w:sz w:val="20"/>
          <w:szCs w:val="20"/>
        </w:rPr>
        <w:t>(SO) (National Grid) coordinates and directs electricity flows onto and over the transmission system, balancing generation</w:t>
      </w:r>
      <w:r w:rsidR="00D50D98" w:rsidRPr="00540E03">
        <w:rPr>
          <w:rFonts w:ascii="Verdana" w:hAnsi="Verdana"/>
          <w:sz w:val="20"/>
          <w:szCs w:val="20"/>
        </w:rPr>
        <w:t xml:space="preserve"> and</w:t>
      </w:r>
      <w:r w:rsidRPr="00540E03">
        <w:rPr>
          <w:rFonts w:ascii="Verdana" w:hAnsi="Verdana"/>
          <w:sz w:val="20"/>
          <w:szCs w:val="20"/>
        </w:rPr>
        <w:t xml:space="preserve"> supply. The SO administers the balancing mechanism</w:t>
      </w:r>
      <w:r w:rsidR="005B63A7" w:rsidRPr="00540E03">
        <w:rPr>
          <w:rFonts w:ascii="Verdana" w:hAnsi="Verdana"/>
          <w:sz w:val="20"/>
          <w:szCs w:val="20"/>
        </w:rPr>
        <w:t xml:space="preserve"> </w:t>
      </w:r>
      <w:r w:rsidRPr="00540E03">
        <w:rPr>
          <w:rFonts w:ascii="Verdana" w:hAnsi="Verdana"/>
          <w:sz w:val="20"/>
          <w:szCs w:val="20"/>
        </w:rPr>
        <w:t>to manage the system in real-time</w:t>
      </w:r>
      <w:r w:rsidR="005B63A7" w:rsidRPr="00540E03">
        <w:rPr>
          <w:rFonts w:ascii="Verdana" w:hAnsi="Verdana"/>
          <w:sz w:val="20"/>
          <w:szCs w:val="20"/>
        </w:rPr>
        <w:t xml:space="preserve">. It </w:t>
      </w:r>
      <w:r w:rsidRPr="00540E03">
        <w:rPr>
          <w:rFonts w:ascii="Verdana" w:hAnsi="Verdana"/>
          <w:sz w:val="20"/>
          <w:szCs w:val="20"/>
        </w:rPr>
        <w:t xml:space="preserve">contracts with sources of supply and demand to increase or decrease generation or usage when called upon. </w:t>
      </w:r>
    </w:p>
    <w:p w14:paraId="358C6AF8" w14:textId="324A19D6" w:rsidR="00411BC3" w:rsidRPr="00540E03" w:rsidRDefault="00411BC3" w:rsidP="00411BC3">
      <w:pPr>
        <w:pStyle w:val="ListParagraph"/>
        <w:numPr>
          <w:ilvl w:val="0"/>
          <w:numId w:val="15"/>
        </w:numPr>
        <w:ind w:left="709" w:hanging="357"/>
        <w:contextualSpacing w:val="0"/>
        <w:jc w:val="both"/>
        <w:rPr>
          <w:rFonts w:ascii="Verdana" w:hAnsi="Verdana"/>
          <w:sz w:val="20"/>
          <w:szCs w:val="20"/>
        </w:rPr>
      </w:pPr>
      <w:r w:rsidRPr="00540E03">
        <w:rPr>
          <w:rFonts w:ascii="Verdana" w:hAnsi="Verdana" w:cs="Arial"/>
          <w:b/>
          <w:color w:val="17365D" w:themeColor="text2" w:themeShade="BF"/>
          <w:sz w:val="20"/>
          <w:szCs w:val="20"/>
        </w:rPr>
        <w:t>Transmission Operators</w:t>
      </w:r>
      <w:r w:rsidRPr="00540E03">
        <w:rPr>
          <w:rFonts w:ascii="Verdana" w:hAnsi="Verdana" w:cs="Arial"/>
          <w:color w:val="17365D" w:themeColor="text2" w:themeShade="BF"/>
          <w:sz w:val="20"/>
          <w:szCs w:val="20"/>
        </w:rPr>
        <w:t xml:space="preserve"> </w:t>
      </w:r>
      <w:r w:rsidRPr="00540E03">
        <w:rPr>
          <w:rFonts w:ascii="Verdana" w:hAnsi="Verdana" w:cs="Arial"/>
          <w:color w:val="000000"/>
          <w:sz w:val="20"/>
          <w:szCs w:val="20"/>
        </w:rPr>
        <w:t>(TOs) develop, operate and maintain a high voltage system within their onshore transmission areas (</w:t>
      </w:r>
      <w:r w:rsidR="00D50D98" w:rsidRPr="00540E03">
        <w:rPr>
          <w:rFonts w:ascii="Verdana" w:hAnsi="Verdana" w:cs="Arial"/>
          <w:color w:val="000000"/>
          <w:sz w:val="20"/>
          <w:szCs w:val="20"/>
        </w:rPr>
        <w:t xml:space="preserve">National Grid Electricity Transmission </w:t>
      </w:r>
      <w:r w:rsidRPr="00540E03">
        <w:rPr>
          <w:rFonts w:ascii="Verdana" w:hAnsi="Verdana" w:cs="Arial"/>
          <w:color w:val="000000"/>
          <w:sz w:val="20"/>
          <w:szCs w:val="20"/>
        </w:rPr>
        <w:t>for England and Wales, Scottish Power Transmission for southern Scotland, and Scottish Hydro Electric Transmission</w:t>
      </w:r>
      <w:r w:rsidR="00D50D98" w:rsidRPr="00540E03">
        <w:rPr>
          <w:rFonts w:ascii="Verdana" w:hAnsi="Verdana" w:cs="Arial"/>
          <w:color w:val="000000"/>
          <w:sz w:val="20"/>
          <w:szCs w:val="20"/>
        </w:rPr>
        <w:t xml:space="preserve">, </w:t>
      </w:r>
      <w:r w:rsidRPr="00540E03">
        <w:rPr>
          <w:rFonts w:ascii="Verdana" w:hAnsi="Verdana" w:cs="Arial"/>
          <w:color w:val="000000"/>
          <w:sz w:val="20"/>
          <w:szCs w:val="20"/>
        </w:rPr>
        <w:t>for northern Scotland and the Scottish islands groups). </w:t>
      </w:r>
    </w:p>
    <w:p w14:paraId="35A7E3FA" w14:textId="6C822DFD" w:rsidR="00411BC3" w:rsidRPr="00540E03" w:rsidRDefault="00411BC3" w:rsidP="00411BC3">
      <w:pPr>
        <w:pStyle w:val="ListParagraph"/>
        <w:numPr>
          <w:ilvl w:val="0"/>
          <w:numId w:val="15"/>
        </w:numPr>
        <w:ind w:left="709" w:hanging="357"/>
        <w:contextualSpacing w:val="0"/>
        <w:jc w:val="both"/>
        <w:rPr>
          <w:rFonts w:ascii="Verdana" w:hAnsi="Verdana"/>
          <w:sz w:val="20"/>
          <w:szCs w:val="20"/>
        </w:rPr>
      </w:pPr>
      <w:r w:rsidRPr="00540E03">
        <w:rPr>
          <w:rFonts w:ascii="Verdana" w:hAnsi="Verdana"/>
          <w:b/>
          <w:color w:val="17365D" w:themeColor="text2" w:themeShade="BF"/>
          <w:sz w:val="20"/>
          <w:szCs w:val="20"/>
        </w:rPr>
        <w:t>Distribution Network Operators</w:t>
      </w:r>
      <w:r w:rsidRPr="00540E03">
        <w:rPr>
          <w:rFonts w:ascii="Verdana" w:hAnsi="Verdana"/>
          <w:color w:val="17365D" w:themeColor="text2" w:themeShade="BF"/>
          <w:sz w:val="20"/>
          <w:szCs w:val="20"/>
        </w:rPr>
        <w:t xml:space="preserve"> </w:t>
      </w:r>
      <w:r w:rsidRPr="00540E03">
        <w:rPr>
          <w:rFonts w:ascii="Verdana" w:hAnsi="Verdana"/>
          <w:sz w:val="20"/>
          <w:szCs w:val="20"/>
        </w:rPr>
        <w:t xml:space="preserve">(DNOs) </w:t>
      </w:r>
      <w:r w:rsidR="006723D6" w:rsidRPr="00540E03">
        <w:rPr>
          <w:rFonts w:ascii="Verdana" w:hAnsi="Verdana" w:cs="Arial"/>
          <w:color w:val="000000"/>
          <w:sz w:val="20"/>
          <w:szCs w:val="20"/>
        </w:rPr>
        <w:t xml:space="preserve">develop, operate and maintain </w:t>
      </w:r>
      <w:r w:rsidRPr="00540E03">
        <w:rPr>
          <w:rFonts w:ascii="Verdana" w:hAnsi="Verdana"/>
          <w:sz w:val="20"/>
          <w:szCs w:val="20"/>
        </w:rPr>
        <w:t xml:space="preserve">the distribution </w:t>
      </w:r>
      <w:r w:rsidR="005B63A7" w:rsidRPr="00540E03">
        <w:rPr>
          <w:rFonts w:ascii="Verdana" w:hAnsi="Verdana"/>
          <w:sz w:val="20"/>
          <w:szCs w:val="20"/>
        </w:rPr>
        <w:t>networks</w:t>
      </w:r>
      <w:r w:rsidRPr="00540E03">
        <w:rPr>
          <w:rFonts w:ascii="Verdana" w:hAnsi="Verdana"/>
          <w:sz w:val="20"/>
          <w:szCs w:val="20"/>
        </w:rPr>
        <w:t xml:space="preserve"> that physically connect most </w:t>
      </w:r>
      <w:r w:rsidR="005B63A7" w:rsidRPr="00540E03">
        <w:rPr>
          <w:rFonts w:ascii="Verdana" w:hAnsi="Verdana"/>
          <w:sz w:val="20"/>
          <w:szCs w:val="20"/>
        </w:rPr>
        <w:t>energy users</w:t>
      </w:r>
      <w:r w:rsidRPr="00540E03">
        <w:rPr>
          <w:rFonts w:ascii="Verdana" w:hAnsi="Verdana"/>
          <w:sz w:val="20"/>
          <w:szCs w:val="20"/>
        </w:rPr>
        <w:t xml:space="preserve">, smaller generation units and the transmission system. While their role was largely limited to passing </w:t>
      </w:r>
      <w:r w:rsidR="00D45AE0" w:rsidRPr="00540E03">
        <w:rPr>
          <w:rFonts w:ascii="Verdana" w:hAnsi="Verdana"/>
          <w:sz w:val="20"/>
          <w:szCs w:val="20"/>
        </w:rPr>
        <w:t>transmission-connected</w:t>
      </w:r>
      <w:r w:rsidRPr="00540E03">
        <w:rPr>
          <w:rFonts w:ascii="Verdana" w:hAnsi="Verdana"/>
          <w:sz w:val="20"/>
          <w:szCs w:val="20"/>
        </w:rPr>
        <w:t xml:space="preserve"> power to users, in recent years the requirement for DNOs </w:t>
      </w:r>
      <w:r w:rsidRPr="00540E03">
        <w:rPr>
          <w:rFonts w:ascii="Verdana" w:hAnsi="Verdana"/>
          <w:sz w:val="20"/>
          <w:szCs w:val="20"/>
        </w:rPr>
        <w:lastRenderedPageBreak/>
        <w:t xml:space="preserve">to manage increasingly bidirectional traffic has grown, as smaller scale generation (and storage) connect to the distribution grids. </w:t>
      </w:r>
    </w:p>
    <w:p w14:paraId="56596DCF" w14:textId="77777777" w:rsidR="00990C7B" w:rsidRPr="00540E03" w:rsidRDefault="00990C7B" w:rsidP="00990C7B">
      <w:pPr>
        <w:pStyle w:val="ListParagraph"/>
        <w:numPr>
          <w:ilvl w:val="0"/>
          <w:numId w:val="15"/>
        </w:numPr>
        <w:ind w:left="709" w:hanging="357"/>
        <w:contextualSpacing w:val="0"/>
        <w:jc w:val="both"/>
        <w:rPr>
          <w:rFonts w:ascii="Verdana" w:hAnsi="Verdana"/>
          <w:sz w:val="20"/>
          <w:szCs w:val="20"/>
        </w:rPr>
      </w:pPr>
      <w:r w:rsidRPr="00540E03">
        <w:rPr>
          <w:rFonts w:ascii="Verdana" w:hAnsi="Verdana"/>
          <w:b/>
          <w:color w:val="17365D" w:themeColor="text2" w:themeShade="BF"/>
          <w:sz w:val="20"/>
          <w:szCs w:val="20"/>
        </w:rPr>
        <w:t>Non-Physical Traders</w:t>
      </w:r>
      <w:r w:rsidRPr="00540E03">
        <w:rPr>
          <w:rFonts w:ascii="Verdana" w:hAnsi="Verdana"/>
          <w:color w:val="17365D" w:themeColor="text2" w:themeShade="BF"/>
          <w:sz w:val="20"/>
          <w:szCs w:val="20"/>
        </w:rPr>
        <w:t xml:space="preserve"> </w:t>
      </w:r>
      <w:r w:rsidRPr="00540E03">
        <w:rPr>
          <w:rFonts w:ascii="Verdana" w:hAnsi="Verdana"/>
          <w:sz w:val="20"/>
          <w:szCs w:val="20"/>
        </w:rPr>
        <w:t xml:space="preserve">are organisations (like banks or specialised trading firms) without means to generate and without demand for electricity. They trade (buy and sell) electricity for profit.  </w:t>
      </w:r>
    </w:p>
    <w:p w14:paraId="04E1CB69" w14:textId="77777777" w:rsidR="00411BC3" w:rsidRPr="00540E03" w:rsidRDefault="00411BC3" w:rsidP="006B2B90">
      <w:pPr>
        <w:pStyle w:val="ListParagraph"/>
        <w:numPr>
          <w:ilvl w:val="0"/>
          <w:numId w:val="15"/>
        </w:numPr>
        <w:ind w:left="709" w:hanging="357"/>
        <w:contextualSpacing w:val="0"/>
        <w:jc w:val="both"/>
        <w:rPr>
          <w:rFonts w:ascii="Verdana" w:hAnsi="Verdana"/>
          <w:sz w:val="20"/>
          <w:szCs w:val="20"/>
        </w:rPr>
      </w:pPr>
      <w:r w:rsidRPr="00540E03">
        <w:rPr>
          <w:rFonts w:ascii="Verdana" w:hAnsi="Verdana"/>
          <w:sz w:val="20"/>
          <w:szCs w:val="20"/>
        </w:rPr>
        <w:t xml:space="preserve">The </w:t>
      </w:r>
      <w:r w:rsidRPr="00540E03">
        <w:rPr>
          <w:rFonts w:ascii="Verdana" w:hAnsi="Verdana"/>
          <w:b/>
          <w:bCs/>
          <w:color w:val="17365D" w:themeColor="text2" w:themeShade="BF"/>
          <w:sz w:val="20"/>
          <w:szCs w:val="20"/>
        </w:rPr>
        <w:t xml:space="preserve">Data Communications Company </w:t>
      </w:r>
      <w:r w:rsidRPr="00540E03">
        <w:rPr>
          <w:rFonts w:ascii="Verdana" w:hAnsi="Verdana"/>
          <w:bCs/>
          <w:sz w:val="20"/>
          <w:szCs w:val="20"/>
        </w:rPr>
        <w:t>(DCC)</w:t>
      </w:r>
      <w:r w:rsidRPr="00540E03">
        <w:rPr>
          <w:rFonts w:ascii="Verdana" w:hAnsi="Verdana"/>
          <w:sz w:val="20"/>
          <w:szCs w:val="20"/>
        </w:rPr>
        <w:t xml:space="preserve"> manages the data and communications network connecting smart meters in homes and businesses to the systems of energy suppliers, network operators and other authorised service users of the network. </w:t>
      </w:r>
    </w:p>
    <w:p w14:paraId="65452999" w14:textId="00B6F754" w:rsidR="00411BC3" w:rsidRPr="00540E03" w:rsidRDefault="00F20A06" w:rsidP="0043446D">
      <w:pPr>
        <w:pStyle w:val="Heading1"/>
        <w:spacing w:before="360" w:after="200"/>
        <w:jc w:val="both"/>
        <w:rPr>
          <w:rFonts w:ascii="Verdana" w:hAnsi="Verdana"/>
          <w:color w:val="E36C0A" w:themeColor="accent6" w:themeShade="BF"/>
        </w:rPr>
      </w:pPr>
      <w:r w:rsidRPr="00540E03">
        <w:rPr>
          <w:rFonts w:ascii="Verdana" w:hAnsi="Verdana"/>
          <w:color w:val="E36C0A" w:themeColor="accent6" w:themeShade="BF"/>
        </w:rPr>
        <w:t>Selling</w:t>
      </w:r>
      <w:r w:rsidR="00411BC3" w:rsidRPr="00540E03">
        <w:rPr>
          <w:rFonts w:ascii="Verdana" w:hAnsi="Verdana"/>
          <w:color w:val="E36C0A" w:themeColor="accent6" w:themeShade="BF"/>
        </w:rPr>
        <w:t xml:space="preserve"> </w:t>
      </w:r>
      <w:r w:rsidR="004176CE" w:rsidRPr="00540E03">
        <w:rPr>
          <w:rFonts w:ascii="Verdana" w:hAnsi="Verdana"/>
          <w:color w:val="E36C0A" w:themeColor="accent6" w:themeShade="BF"/>
        </w:rPr>
        <w:t>e</w:t>
      </w:r>
      <w:r w:rsidR="00411BC3" w:rsidRPr="00540E03">
        <w:rPr>
          <w:rFonts w:ascii="Verdana" w:hAnsi="Verdana"/>
          <w:color w:val="E36C0A" w:themeColor="accent6" w:themeShade="BF"/>
        </w:rPr>
        <w:t xml:space="preserve">lectricity to </w:t>
      </w:r>
      <w:r w:rsidR="004176CE" w:rsidRPr="00540E03">
        <w:rPr>
          <w:rFonts w:ascii="Verdana" w:hAnsi="Verdana"/>
          <w:color w:val="E36C0A" w:themeColor="accent6" w:themeShade="BF"/>
        </w:rPr>
        <w:t>c</w:t>
      </w:r>
      <w:r w:rsidR="00411BC3" w:rsidRPr="00540E03">
        <w:rPr>
          <w:rFonts w:ascii="Verdana" w:hAnsi="Verdana"/>
          <w:color w:val="E36C0A" w:themeColor="accent6" w:themeShade="BF"/>
        </w:rPr>
        <w:t xml:space="preserve">onsumers </w:t>
      </w:r>
    </w:p>
    <w:p w14:paraId="1891E513" w14:textId="2400CBBB" w:rsidR="00935544" w:rsidRPr="00540E03" w:rsidRDefault="00F20A06" w:rsidP="00C825C6">
      <w:pPr>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 xml:space="preserve">There </w:t>
      </w:r>
      <w:r w:rsidR="00EC5BC0" w:rsidRPr="00540E03">
        <w:rPr>
          <w:rFonts w:ascii="Verdana" w:hAnsi="Verdana"/>
          <w:sz w:val="20"/>
          <w:szCs w:val="20"/>
        </w:rPr>
        <w:t xml:space="preserve">is </w:t>
      </w:r>
      <w:r w:rsidR="006655D5" w:rsidRPr="00540E03">
        <w:rPr>
          <w:rFonts w:ascii="Verdana" w:hAnsi="Verdana"/>
          <w:sz w:val="20"/>
          <w:szCs w:val="20"/>
        </w:rPr>
        <w:t>a range of options</w:t>
      </w:r>
      <w:r w:rsidRPr="00540E03">
        <w:rPr>
          <w:rFonts w:ascii="Verdana" w:hAnsi="Verdana"/>
          <w:sz w:val="20"/>
          <w:szCs w:val="20"/>
        </w:rPr>
        <w:t xml:space="preserve"> available to </w:t>
      </w:r>
      <w:r w:rsidR="006655D5" w:rsidRPr="00540E03">
        <w:rPr>
          <w:rFonts w:ascii="Verdana" w:hAnsi="Verdana"/>
          <w:sz w:val="20"/>
          <w:szCs w:val="20"/>
        </w:rPr>
        <w:t xml:space="preserve">parties </w:t>
      </w:r>
      <w:r w:rsidRPr="00540E03">
        <w:rPr>
          <w:rFonts w:ascii="Verdana" w:hAnsi="Verdana"/>
          <w:sz w:val="20"/>
          <w:szCs w:val="20"/>
        </w:rPr>
        <w:t xml:space="preserve">that are looking to sell </w:t>
      </w:r>
      <w:r w:rsidR="001F6E14" w:rsidRPr="00540E03">
        <w:rPr>
          <w:rFonts w:ascii="Verdana" w:hAnsi="Verdana"/>
          <w:sz w:val="20"/>
          <w:szCs w:val="20"/>
        </w:rPr>
        <w:t>electricity</w:t>
      </w:r>
      <w:r w:rsidRPr="00540E03">
        <w:rPr>
          <w:rFonts w:ascii="Verdana" w:hAnsi="Verdana"/>
          <w:sz w:val="20"/>
          <w:szCs w:val="20"/>
        </w:rPr>
        <w:t xml:space="preserve"> to consumers. These are summarised in the table below</w:t>
      </w:r>
      <w:r w:rsidR="00935544" w:rsidRPr="00540E03">
        <w:rPr>
          <w:rFonts w:ascii="Verdana" w:hAnsi="Verdana"/>
          <w:sz w:val="20"/>
          <w:szCs w:val="20"/>
        </w:rPr>
        <w:t xml:space="preserve">. </w:t>
      </w:r>
    </w:p>
    <w:p w14:paraId="73C4D409" w14:textId="77777777" w:rsidR="00411BC3" w:rsidRPr="00540E03" w:rsidRDefault="00411BC3" w:rsidP="00411BC3">
      <w:pPr>
        <w:autoSpaceDE w:val="0"/>
        <w:autoSpaceDN w:val="0"/>
        <w:adjustRightInd w:val="0"/>
        <w:spacing w:after="0"/>
        <w:jc w:val="both"/>
        <w:rPr>
          <w:rFonts w:ascii="Verdana" w:hAnsi="Verdana" w:cs="AkzidenzGroteskPro-Regular"/>
          <w:color w:val="FFFFFF"/>
          <w:sz w:val="20"/>
          <w:szCs w:val="20"/>
        </w:rPr>
      </w:pPr>
      <w:r w:rsidRPr="00540E03">
        <w:rPr>
          <w:rFonts w:ascii="Verdana" w:hAnsi="Verdana"/>
          <w:sz w:val="20"/>
          <w:szCs w:val="20"/>
        </w:rPr>
        <w:t xml:space="preserve">  </w:t>
      </w:r>
    </w:p>
    <w:tbl>
      <w:tblPr>
        <w:tblStyle w:val="TableGrid"/>
        <w:tblW w:w="9351" w:type="dxa"/>
        <w:tblLook w:val="04A0" w:firstRow="1" w:lastRow="0" w:firstColumn="1" w:lastColumn="0" w:noHBand="0" w:noVBand="1"/>
      </w:tblPr>
      <w:tblGrid>
        <w:gridCol w:w="1633"/>
        <w:gridCol w:w="7718"/>
      </w:tblGrid>
      <w:tr w:rsidR="00F569CC" w:rsidRPr="00540E03" w14:paraId="69E8E550" w14:textId="77777777" w:rsidTr="00F569CC">
        <w:trPr>
          <w:trHeight w:val="389"/>
          <w:tblHeader/>
        </w:trPr>
        <w:tc>
          <w:tcPr>
            <w:tcW w:w="1633" w:type="dxa"/>
            <w:shd w:val="clear" w:color="auto" w:fill="F2F2F2" w:themeFill="background1" w:themeFillShade="F2"/>
            <w:tcMar>
              <w:top w:w="57" w:type="dxa"/>
              <w:bottom w:w="57" w:type="dxa"/>
            </w:tcMar>
            <w:vAlign w:val="center"/>
          </w:tcPr>
          <w:p w14:paraId="72D8F9DB" w14:textId="030B4D2B" w:rsidR="00F569CC" w:rsidRPr="00540E03" w:rsidRDefault="00F569CC" w:rsidP="00935544">
            <w:pPr>
              <w:autoSpaceDE w:val="0"/>
              <w:autoSpaceDN w:val="0"/>
              <w:adjustRightInd w:val="0"/>
              <w:jc w:val="center"/>
              <w:rPr>
                <w:rFonts w:ascii="Verdana" w:hAnsi="Verdana" w:cs="AkzidenzGroteskPro-Regular"/>
                <w:b/>
                <w:sz w:val="20"/>
                <w:szCs w:val="20"/>
              </w:rPr>
            </w:pPr>
            <w:r w:rsidRPr="00540E03">
              <w:rPr>
                <w:rFonts w:ascii="Verdana" w:hAnsi="Verdana" w:cs="AkzidenzGroteskPro-Regular"/>
                <w:b/>
                <w:color w:val="17365D" w:themeColor="text2" w:themeShade="BF"/>
                <w:sz w:val="20"/>
                <w:szCs w:val="20"/>
              </w:rPr>
              <w:t>Option</w:t>
            </w:r>
          </w:p>
        </w:tc>
        <w:tc>
          <w:tcPr>
            <w:tcW w:w="7718" w:type="dxa"/>
            <w:shd w:val="clear" w:color="auto" w:fill="F2F2F2" w:themeFill="background1" w:themeFillShade="F2"/>
            <w:tcMar>
              <w:top w:w="57" w:type="dxa"/>
              <w:bottom w:w="57" w:type="dxa"/>
            </w:tcMar>
            <w:vAlign w:val="center"/>
          </w:tcPr>
          <w:p w14:paraId="08F63F59" w14:textId="77777777" w:rsidR="00F569CC" w:rsidRPr="00540E03" w:rsidRDefault="00F569CC" w:rsidP="00935544">
            <w:pPr>
              <w:autoSpaceDE w:val="0"/>
              <w:autoSpaceDN w:val="0"/>
              <w:adjustRightInd w:val="0"/>
              <w:jc w:val="center"/>
              <w:rPr>
                <w:rFonts w:ascii="Verdana" w:hAnsi="Verdana" w:cs="AkzidenzGroteskPro-Regular"/>
                <w:b/>
                <w:sz w:val="20"/>
                <w:szCs w:val="20"/>
              </w:rPr>
            </w:pPr>
            <w:r w:rsidRPr="00540E03">
              <w:rPr>
                <w:rFonts w:ascii="Verdana" w:hAnsi="Verdana" w:cs="AkzidenzGroteskPro-Regular"/>
                <w:b/>
                <w:color w:val="17365D" w:themeColor="text2" w:themeShade="BF"/>
                <w:sz w:val="20"/>
                <w:szCs w:val="20"/>
              </w:rPr>
              <w:t>Features</w:t>
            </w:r>
          </w:p>
        </w:tc>
      </w:tr>
      <w:tr w:rsidR="00F569CC" w:rsidRPr="00540E03" w14:paraId="754FE706" w14:textId="77777777" w:rsidTr="00F569CC">
        <w:tc>
          <w:tcPr>
            <w:tcW w:w="1633" w:type="dxa"/>
            <w:tcMar>
              <w:top w:w="57" w:type="dxa"/>
              <w:bottom w:w="57" w:type="dxa"/>
            </w:tcMar>
            <w:vAlign w:val="center"/>
          </w:tcPr>
          <w:p w14:paraId="1A7AF156" w14:textId="77777777" w:rsidR="00F569CC" w:rsidRPr="00540E03" w:rsidRDefault="00F569CC" w:rsidP="00060404">
            <w:pPr>
              <w:autoSpaceDE w:val="0"/>
              <w:autoSpaceDN w:val="0"/>
              <w:adjustRightInd w:val="0"/>
              <w:jc w:val="both"/>
              <w:rPr>
                <w:rFonts w:ascii="Verdana" w:hAnsi="Verdana" w:cs="AkzidenzGroteskPro-Regular"/>
                <w:sz w:val="20"/>
                <w:szCs w:val="20"/>
              </w:rPr>
            </w:pPr>
            <w:r w:rsidRPr="00540E03">
              <w:rPr>
                <w:rFonts w:ascii="Verdana" w:hAnsi="Verdana" w:cs="AkzidenzGroteskPro-Regular"/>
                <w:sz w:val="20"/>
                <w:szCs w:val="20"/>
              </w:rPr>
              <w:t>Licensed supplier</w:t>
            </w:r>
          </w:p>
        </w:tc>
        <w:tc>
          <w:tcPr>
            <w:tcW w:w="7718" w:type="dxa"/>
            <w:tcMar>
              <w:top w:w="57" w:type="dxa"/>
              <w:bottom w:w="57" w:type="dxa"/>
            </w:tcMar>
          </w:tcPr>
          <w:p w14:paraId="79893F5D" w14:textId="0D8192B5" w:rsidR="00F569CC" w:rsidRPr="00540E03" w:rsidRDefault="00F569CC" w:rsidP="00411BC3">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Licence granted</w:t>
            </w:r>
            <w:r w:rsidR="000E307A" w:rsidRPr="00540E03">
              <w:rPr>
                <w:rFonts w:ascii="Verdana" w:hAnsi="Verdana" w:cs="AkzidenzGroteskPro-Regular"/>
                <w:sz w:val="20"/>
                <w:szCs w:val="20"/>
              </w:rPr>
              <w:t xml:space="preserve"> by </w:t>
            </w:r>
            <w:r w:rsidR="00540E03" w:rsidRPr="00540E03">
              <w:rPr>
                <w:rFonts w:ascii="Verdana" w:hAnsi="Verdana" w:cs="AkzidenzGroteskPro-Regular"/>
                <w:sz w:val="20"/>
                <w:szCs w:val="20"/>
              </w:rPr>
              <w:t>Ofgem</w:t>
            </w:r>
            <w:r w:rsidR="000E307A" w:rsidRPr="00540E03">
              <w:rPr>
                <w:rStyle w:val="FootnoteReference"/>
                <w:rFonts w:cs="AkzidenzGroteskPro-Regular"/>
              </w:rPr>
              <w:footnoteReference w:id="5"/>
            </w:r>
            <w:r w:rsidRPr="00540E03">
              <w:rPr>
                <w:rFonts w:ascii="Verdana" w:hAnsi="Verdana" w:cs="AkzidenzGroteskPro-Regular"/>
                <w:sz w:val="20"/>
                <w:szCs w:val="20"/>
              </w:rPr>
              <w:t xml:space="preserve"> </w:t>
            </w:r>
            <w:r w:rsidR="004A1DD5" w:rsidRPr="00540E03">
              <w:rPr>
                <w:rFonts w:ascii="Verdana" w:hAnsi="Verdana" w:cs="AkzidenzGroteskPro-Regular"/>
                <w:sz w:val="20"/>
                <w:szCs w:val="20"/>
              </w:rPr>
              <w:t>to permit the supply of electricity to</w:t>
            </w:r>
            <w:r w:rsidRPr="00540E03">
              <w:rPr>
                <w:rFonts w:ascii="Verdana" w:hAnsi="Verdana" w:cs="AkzidenzGroteskPro-Regular"/>
                <w:sz w:val="20"/>
                <w:szCs w:val="20"/>
              </w:rPr>
              <w:t xml:space="preserve"> domestic and / or non-domestic </w:t>
            </w:r>
            <w:r w:rsidR="004A1DD5" w:rsidRPr="00540E03">
              <w:rPr>
                <w:rFonts w:ascii="Verdana" w:hAnsi="Verdana" w:cs="AkzidenzGroteskPro-Regular"/>
                <w:sz w:val="20"/>
                <w:szCs w:val="20"/>
              </w:rPr>
              <w:t>premises in GB</w:t>
            </w:r>
            <w:r w:rsidRPr="00540E03">
              <w:rPr>
                <w:rFonts w:ascii="Verdana" w:hAnsi="Verdana" w:cs="AkzidenzGroteskPro-Regular"/>
                <w:sz w:val="20"/>
                <w:szCs w:val="20"/>
              </w:rPr>
              <w:t xml:space="preserve">. </w:t>
            </w:r>
          </w:p>
          <w:p w14:paraId="2150CBCC" w14:textId="27B58CCF" w:rsidR="00F569CC" w:rsidRPr="00540E03" w:rsidRDefault="00F569CC" w:rsidP="00764945">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A licence application fee applies</w:t>
            </w:r>
            <w:r w:rsidRPr="00540E03">
              <w:rPr>
                <w:rStyle w:val="FootnoteReference"/>
              </w:rPr>
              <w:footnoteReference w:id="6"/>
            </w:r>
            <w:r w:rsidRPr="00540E03">
              <w:rPr>
                <w:rFonts w:ascii="Verdana" w:hAnsi="Verdana" w:cs="AkzidenzGroteskPro-Regular"/>
                <w:sz w:val="20"/>
                <w:szCs w:val="20"/>
              </w:rPr>
              <w:t xml:space="preserve">. </w:t>
            </w:r>
          </w:p>
          <w:p w14:paraId="33A71213" w14:textId="77777777" w:rsidR="00F569CC" w:rsidRPr="00540E03" w:rsidRDefault="00F569CC" w:rsidP="00411BC3">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Licensees have to become a party to and comply with the relevant industry codes.</w:t>
            </w:r>
          </w:p>
          <w:p w14:paraId="2B6D28E3" w14:textId="4BC75940" w:rsidR="00F569CC" w:rsidRPr="00540E03" w:rsidRDefault="00F569CC" w:rsidP="00411BC3">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Responsibilities include consumer protection, social and environmental obligations.</w:t>
            </w:r>
          </w:p>
          <w:p w14:paraId="5D0F13F3" w14:textId="06B6F87C" w:rsidR="002345B6" w:rsidRPr="00540E03" w:rsidRDefault="002345B6" w:rsidP="00DE47E3">
            <w:pPr>
              <w:pStyle w:val="ListParagraph"/>
              <w:numPr>
                <w:ilvl w:val="0"/>
                <w:numId w:val="18"/>
              </w:numPr>
              <w:autoSpaceDE w:val="0"/>
              <w:autoSpaceDN w:val="0"/>
              <w:adjustRightInd w:val="0"/>
              <w:spacing w:after="80"/>
              <w:ind w:left="317"/>
              <w:contextualSpacing w:val="0"/>
              <w:jc w:val="both"/>
              <w:rPr>
                <w:rFonts w:ascii="Verdana" w:hAnsi="Verdana"/>
                <w:sz w:val="20"/>
                <w:szCs w:val="20"/>
              </w:rPr>
            </w:pPr>
            <w:r w:rsidRPr="00540E03">
              <w:rPr>
                <w:rFonts w:ascii="Verdana" w:hAnsi="Verdana" w:cs="AkzidenzGroteskPro-Regular"/>
                <w:sz w:val="20"/>
                <w:szCs w:val="20"/>
              </w:rPr>
              <w:t>S</w:t>
            </w:r>
            <w:r w:rsidR="00DE47E3" w:rsidRPr="00540E03">
              <w:rPr>
                <w:rFonts w:ascii="Verdana" w:hAnsi="Verdana"/>
                <w:sz w:val="20"/>
                <w:szCs w:val="20"/>
              </w:rPr>
              <w:t xml:space="preserve">uppliers with a domestic supply licence </w:t>
            </w:r>
            <w:r w:rsidRPr="00540E03">
              <w:rPr>
                <w:rFonts w:ascii="Verdana" w:hAnsi="Verdana"/>
                <w:sz w:val="20"/>
                <w:szCs w:val="20"/>
              </w:rPr>
              <w:t xml:space="preserve">are required to </w:t>
            </w:r>
            <w:r w:rsidR="00DE47E3" w:rsidRPr="00540E03">
              <w:rPr>
                <w:rFonts w:ascii="Verdana" w:hAnsi="Verdana"/>
                <w:sz w:val="20"/>
                <w:szCs w:val="20"/>
              </w:rPr>
              <w:t>offer terms to all domestic consumers that make a valid request</w:t>
            </w:r>
            <w:r w:rsidRPr="00540E03">
              <w:rPr>
                <w:rStyle w:val="FootnoteReference"/>
              </w:rPr>
              <w:footnoteReference w:id="7"/>
            </w:r>
            <w:r w:rsidR="00667747" w:rsidRPr="00540E03">
              <w:rPr>
                <w:rFonts w:ascii="Verdana" w:hAnsi="Verdana"/>
                <w:sz w:val="20"/>
                <w:szCs w:val="20"/>
              </w:rPr>
              <w:t>.</w:t>
            </w:r>
          </w:p>
          <w:p w14:paraId="15C658F8" w14:textId="73C550A7" w:rsidR="00F569CC" w:rsidRPr="00540E03" w:rsidRDefault="00DE47E3" w:rsidP="00667747">
            <w:pPr>
              <w:pStyle w:val="ListParagraph"/>
              <w:numPr>
                <w:ilvl w:val="0"/>
                <w:numId w:val="18"/>
              </w:numPr>
              <w:autoSpaceDE w:val="0"/>
              <w:autoSpaceDN w:val="0"/>
              <w:adjustRightInd w:val="0"/>
              <w:spacing w:after="80"/>
              <w:ind w:left="317"/>
              <w:contextualSpacing w:val="0"/>
              <w:jc w:val="both"/>
              <w:rPr>
                <w:rFonts w:ascii="Verdana" w:hAnsi="Verdana"/>
                <w:sz w:val="20"/>
                <w:szCs w:val="20"/>
              </w:rPr>
            </w:pPr>
            <w:r w:rsidRPr="00540E03">
              <w:rPr>
                <w:rFonts w:ascii="Verdana" w:hAnsi="Verdana"/>
                <w:sz w:val="20"/>
                <w:szCs w:val="20"/>
              </w:rPr>
              <w:t xml:space="preserve">A restricted supply licence may be applied for, although we will consider, amongst other things, whether </w:t>
            </w:r>
            <w:r w:rsidR="00667747" w:rsidRPr="00540E03">
              <w:rPr>
                <w:rFonts w:ascii="Verdana" w:hAnsi="Verdana"/>
                <w:sz w:val="20"/>
                <w:szCs w:val="20"/>
              </w:rPr>
              <w:t>it</w:t>
            </w:r>
            <w:r w:rsidRPr="00540E03">
              <w:rPr>
                <w:rFonts w:ascii="Verdana" w:hAnsi="Verdana"/>
                <w:sz w:val="20"/>
                <w:szCs w:val="20"/>
              </w:rPr>
              <w:t xml:space="preserve"> can be justified in terms of public interest. </w:t>
            </w:r>
          </w:p>
        </w:tc>
      </w:tr>
      <w:tr w:rsidR="00F569CC" w:rsidRPr="00540E03" w14:paraId="3418DB08" w14:textId="77777777" w:rsidTr="00F569CC">
        <w:trPr>
          <w:trHeight w:val="552"/>
        </w:trPr>
        <w:tc>
          <w:tcPr>
            <w:tcW w:w="1633" w:type="dxa"/>
            <w:tcMar>
              <w:top w:w="57" w:type="dxa"/>
              <w:bottom w:w="57" w:type="dxa"/>
            </w:tcMar>
            <w:vAlign w:val="center"/>
          </w:tcPr>
          <w:p w14:paraId="7234671A" w14:textId="77777777" w:rsidR="00F569CC" w:rsidRPr="00540E03" w:rsidRDefault="00F569CC" w:rsidP="00764945">
            <w:pPr>
              <w:autoSpaceDE w:val="0"/>
              <w:autoSpaceDN w:val="0"/>
              <w:adjustRightInd w:val="0"/>
              <w:rPr>
                <w:rFonts w:ascii="Verdana" w:hAnsi="Verdana" w:cs="AkzidenzGroteskPro-Regular"/>
                <w:sz w:val="20"/>
                <w:szCs w:val="20"/>
              </w:rPr>
            </w:pPr>
            <w:r w:rsidRPr="00540E03">
              <w:rPr>
                <w:rFonts w:ascii="Verdana" w:hAnsi="Verdana" w:cs="AkzidenzGroteskPro-Regular"/>
                <w:sz w:val="20"/>
                <w:szCs w:val="20"/>
              </w:rPr>
              <w:t>Licence Lite supplier</w:t>
            </w:r>
          </w:p>
        </w:tc>
        <w:tc>
          <w:tcPr>
            <w:tcW w:w="7718" w:type="dxa"/>
            <w:tcMar>
              <w:top w:w="57" w:type="dxa"/>
              <w:bottom w:w="57" w:type="dxa"/>
            </w:tcMar>
          </w:tcPr>
          <w:p w14:paraId="2759D7E9" w14:textId="754ECCF2" w:rsidR="00F569CC" w:rsidRPr="00540E03" w:rsidRDefault="00F569CC" w:rsidP="00411BC3">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Party applies for a</w:t>
            </w:r>
            <w:r w:rsidR="00540E03" w:rsidRPr="00540E03">
              <w:rPr>
                <w:rFonts w:ascii="Verdana" w:hAnsi="Verdana" w:cs="AkzidenzGroteskPro-Regular"/>
                <w:sz w:val="20"/>
                <w:szCs w:val="20"/>
              </w:rPr>
              <w:t>n electricity</w:t>
            </w:r>
            <w:r w:rsidRPr="00540E03">
              <w:rPr>
                <w:rFonts w:ascii="Verdana" w:hAnsi="Verdana" w:cs="AkzidenzGroteskPro-Regular"/>
                <w:sz w:val="20"/>
                <w:szCs w:val="20"/>
              </w:rPr>
              <w:t xml:space="preserve"> supply licence (as above) and requests Ofgem approval </w:t>
            </w:r>
            <w:r w:rsidRPr="00540E03">
              <w:rPr>
                <w:rFonts w:ascii="Verdana" w:hAnsi="Verdana" w:cs="AkzidenzGroteskPro-Regular"/>
                <w:sz w:val="20"/>
                <w:szCs w:val="20"/>
                <w:u w:val="single"/>
              </w:rPr>
              <w:t>not</w:t>
            </w:r>
            <w:r w:rsidRPr="00540E03">
              <w:rPr>
                <w:rFonts w:ascii="Verdana" w:hAnsi="Verdana" w:cs="AkzidenzGroteskPro-Regular"/>
                <w:sz w:val="20"/>
                <w:szCs w:val="20"/>
              </w:rPr>
              <w:t xml:space="preserve"> to become party to some of the industry codes.</w:t>
            </w:r>
          </w:p>
          <w:p w14:paraId="3CBCDA50" w14:textId="7AE08A05" w:rsidR="00F569CC" w:rsidRPr="00540E03" w:rsidRDefault="00F569CC" w:rsidP="00411BC3">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 xml:space="preserve">Code responsibilities </w:t>
            </w:r>
            <w:r w:rsidR="006B2B90" w:rsidRPr="00540E03">
              <w:rPr>
                <w:rFonts w:ascii="Verdana" w:hAnsi="Verdana" w:cs="AkzidenzGroteskPro-Regular"/>
                <w:sz w:val="20"/>
                <w:szCs w:val="20"/>
              </w:rPr>
              <w:t xml:space="preserve">are </w:t>
            </w:r>
            <w:r w:rsidRPr="00540E03">
              <w:rPr>
                <w:rFonts w:ascii="Verdana" w:hAnsi="Verdana" w:cs="AkzidenzGroteskPro-Regular"/>
                <w:sz w:val="20"/>
                <w:szCs w:val="20"/>
              </w:rPr>
              <w:t>delivered via a commercial relationship with another (third party) licensed supplier (TPLS).</w:t>
            </w:r>
          </w:p>
          <w:p w14:paraId="341012A5" w14:textId="65D4BB8D" w:rsidR="00F569CC" w:rsidRPr="00540E03" w:rsidRDefault="00540E03" w:rsidP="00411BC3">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Pr>
                <w:rFonts w:ascii="Verdana" w:hAnsi="Verdana" w:cs="AkzidenzGroteskPro-Regular"/>
                <w:sz w:val="20"/>
                <w:szCs w:val="20"/>
              </w:rPr>
              <w:t>The l</w:t>
            </w:r>
            <w:r w:rsidR="006B2B90" w:rsidRPr="00540E03">
              <w:rPr>
                <w:rFonts w:ascii="Verdana" w:hAnsi="Verdana" w:cs="AkzidenzGroteskPro-Regular"/>
                <w:sz w:val="20"/>
                <w:szCs w:val="20"/>
              </w:rPr>
              <w:t>icence lite s</w:t>
            </w:r>
            <w:r w:rsidR="00F569CC" w:rsidRPr="00540E03">
              <w:rPr>
                <w:rFonts w:ascii="Verdana" w:hAnsi="Verdana" w:cs="AkzidenzGroteskPro-Regular"/>
                <w:sz w:val="20"/>
                <w:szCs w:val="20"/>
              </w:rPr>
              <w:t>upplier remains fully licensed and responsible for compliance with all other elements of their licence.</w:t>
            </w:r>
          </w:p>
          <w:p w14:paraId="67A806C6" w14:textId="320B6FE8" w:rsidR="00F569CC" w:rsidRPr="00540E03" w:rsidRDefault="00F569CC" w:rsidP="00071F4C">
            <w:pPr>
              <w:pStyle w:val="ListParagraph"/>
              <w:numPr>
                <w:ilvl w:val="0"/>
                <w:numId w:val="18"/>
              </w:numPr>
              <w:autoSpaceDE w:val="0"/>
              <w:autoSpaceDN w:val="0"/>
              <w:adjustRightInd w:val="0"/>
              <w:spacing w:after="80"/>
              <w:ind w:left="312" w:hanging="357"/>
              <w:contextualSpacing w:val="0"/>
              <w:jc w:val="both"/>
            </w:pPr>
            <w:r w:rsidRPr="00540E03">
              <w:rPr>
                <w:rFonts w:ascii="Verdana" w:hAnsi="Verdana" w:cs="AkzidenzGroteskPro-Regular"/>
                <w:sz w:val="20"/>
                <w:szCs w:val="20"/>
              </w:rPr>
              <w:t xml:space="preserve">Reduces entry and operational costs by outsourcing some code compliance to another </w:t>
            </w:r>
            <w:r w:rsidR="006B2B90" w:rsidRPr="00540E03">
              <w:rPr>
                <w:rFonts w:ascii="Verdana" w:hAnsi="Verdana" w:cs="AkzidenzGroteskPro-Regular"/>
                <w:sz w:val="20"/>
                <w:szCs w:val="20"/>
              </w:rPr>
              <w:t xml:space="preserve">licensed </w:t>
            </w:r>
            <w:r w:rsidRPr="00540E03">
              <w:rPr>
                <w:rFonts w:ascii="Verdana" w:hAnsi="Verdana" w:cs="AkzidenzGroteskPro-Regular"/>
                <w:sz w:val="20"/>
                <w:szCs w:val="20"/>
              </w:rPr>
              <w:t>supplier.</w:t>
            </w:r>
          </w:p>
        </w:tc>
      </w:tr>
      <w:tr w:rsidR="00F569CC" w:rsidRPr="00540E03" w14:paraId="241EF792" w14:textId="77777777" w:rsidTr="00F569CC">
        <w:trPr>
          <w:trHeight w:val="1216"/>
        </w:trPr>
        <w:tc>
          <w:tcPr>
            <w:tcW w:w="1633" w:type="dxa"/>
            <w:tcMar>
              <w:top w:w="57" w:type="dxa"/>
              <w:bottom w:w="57" w:type="dxa"/>
            </w:tcMar>
            <w:vAlign w:val="center"/>
          </w:tcPr>
          <w:p w14:paraId="2B0DE242" w14:textId="77777777" w:rsidR="00F569CC" w:rsidRPr="00540E03" w:rsidRDefault="00F569CC" w:rsidP="00060404">
            <w:pPr>
              <w:autoSpaceDE w:val="0"/>
              <w:autoSpaceDN w:val="0"/>
              <w:adjustRightInd w:val="0"/>
              <w:jc w:val="both"/>
              <w:rPr>
                <w:rFonts w:ascii="Verdana" w:hAnsi="Verdana" w:cs="AkzidenzGroteskPro-Regular"/>
                <w:sz w:val="20"/>
                <w:szCs w:val="20"/>
              </w:rPr>
            </w:pPr>
            <w:r w:rsidRPr="00540E03">
              <w:rPr>
                <w:rFonts w:ascii="Verdana" w:hAnsi="Verdana" w:cs="AkzidenzGroteskPro-Regular"/>
                <w:sz w:val="20"/>
                <w:szCs w:val="20"/>
              </w:rPr>
              <w:lastRenderedPageBreak/>
              <w:t>Licence exempt supplier</w:t>
            </w:r>
          </w:p>
        </w:tc>
        <w:tc>
          <w:tcPr>
            <w:tcW w:w="7718" w:type="dxa"/>
            <w:tcMar>
              <w:top w:w="57" w:type="dxa"/>
              <w:bottom w:w="57" w:type="dxa"/>
            </w:tcMar>
          </w:tcPr>
          <w:p w14:paraId="4EADD0B2" w14:textId="77777777" w:rsidR="00F569CC" w:rsidRPr="00540E03" w:rsidRDefault="00F569CC" w:rsidP="00411BC3">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Legislation allows supply without a licence up to certain thresholds and in particular circumstances.</w:t>
            </w:r>
          </w:p>
          <w:p w14:paraId="29125E93" w14:textId="163D97A9" w:rsidR="004A1DD5" w:rsidRPr="00540E03" w:rsidRDefault="00667747" w:rsidP="00B82C70">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Exempt supplier</w:t>
            </w:r>
            <w:r w:rsidR="00B82C70" w:rsidRPr="00540E03">
              <w:rPr>
                <w:rFonts w:ascii="Verdana" w:hAnsi="Verdana" w:cs="AkzidenzGroteskPro-Regular"/>
                <w:sz w:val="20"/>
                <w:szCs w:val="20"/>
              </w:rPr>
              <w:t xml:space="preserve"> may need to make arrangements</w:t>
            </w:r>
            <w:r w:rsidR="006723D6" w:rsidRPr="00540E03">
              <w:rPr>
                <w:rFonts w:ascii="Verdana" w:hAnsi="Verdana" w:cs="AkzidenzGroteskPro-Regular"/>
                <w:sz w:val="20"/>
                <w:szCs w:val="20"/>
              </w:rPr>
              <w:t xml:space="preserve"> with a licensed supplier</w:t>
            </w:r>
            <w:r w:rsidR="006B2B90" w:rsidRPr="00540E03">
              <w:rPr>
                <w:rFonts w:ascii="Verdana" w:hAnsi="Verdana" w:cs="AkzidenzGroteskPro-Regular"/>
                <w:sz w:val="20"/>
                <w:szCs w:val="20"/>
              </w:rPr>
              <w:t xml:space="preserve"> (to perform industry compliant functions)</w:t>
            </w:r>
            <w:r w:rsidRPr="00540E03">
              <w:rPr>
                <w:rFonts w:ascii="Verdana" w:hAnsi="Verdana" w:cs="AkzidenzGroteskPro-Regular"/>
                <w:sz w:val="20"/>
                <w:szCs w:val="20"/>
              </w:rPr>
              <w:t>.</w:t>
            </w:r>
          </w:p>
          <w:p w14:paraId="2276015C" w14:textId="18DC8DE7" w:rsidR="00F569CC" w:rsidRPr="00540E03" w:rsidRDefault="00667747" w:rsidP="00667747">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Exempt supplier</w:t>
            </w:r>
            <w:r w:rsidR="007E2362" w:rsidRPr="00540E03">
              <w:rPr>
                <w:rFonts w:ascii="Verdana" w:hAnsi="Verdana" w:cs="AkzidenzGroteskPro-Regular"/>
                <w:sz w:val="20"/>
                <w:szCs w:val="20"/>
              </w:rPr>
              <w:t xml:space="preserve"> i</w:t>
            </w:r>
            <w:r w:rsidR="00F67C17" w:rsidRPr="00540E03">
              <w:rPr>
                <w:rFonts w:ascii="Verdana" w:hAnsi="Verdana" w:cs="AkzidenzGroteskPro-Regular"/>
                <w:sz w:val="20"/>
                <w:szCs w:val="20"/>
              </w:rPr>
              <w:t>s</w:t>
            </w:r>
            <w:r w:rsidR="00B82C70" w:rsidRPr="00540E03">
              <w:rPr>
                <w:rFonts w:ascii="Verdana" w:hAnsi="Verdana" w:cs="AkzidenzGroteskPro-Regular"/>
                <w:sz w:val="20"/>
                <w:szCs w:val="20"/>
              </w:rPr>
              <w:t xml:space="preserve"> subject to legislative requirements </w:t>
            </w:r>
            <w:r w:rsidR="00D45AE0" w:rsidRPr="00540E03">
              <w:rPr>
                <w:rFonts w:ascii="Verdana" w:hAnsi="Verdana" w:cs="AkzidenzGroteskPro-Regular"/>
                <w:sz w:val="20"/>
                <w:szCs w:val="20"/>
              </w:rPr>
              <w:t>which</w:t>
            </w:r>
            <w:r w:rsidR="00B82C70" w:rsidRPr="00540E03">
              <w:rPr>
                <w:rFonts w:ascii="Verdana" w:hAnsi="Verdana" w:cs="AkzidenzGroteskPro-Regular"/>
                <w:sz w:val="20"/>
                <w:szCs w:val="20"/>
              </w:rPr>
              <w:t xml:space="preserve"> are based on key customer-facing requirements from the cond</w:t>
            </w:r>
            <w:r w:rsidR="00130FFB" w:rsidRPr="00540E03">
              <w:rPr>
                <w:rFonts w:ascii="Verdana" w:hAnsi="Verdana" w:cs="AkzidenzGroteskPro-Regular"/>
                <w:sz w:val="20"/>
                <w:szCs w:val="20"/>
              </w:rPr>
              <w:t xml:space="preserve">itions of the </w:t>
            </w:r>
            <w:r w:rsidRPr="00540E03">
              <w:rPr>
                <w:rFonts w:ascii="Verdana" w:hAnsi="Verdana" w:cs="AkzidenzGroteskPro-Regular"/>
                <w:sz w:val="20"/>
                <w:szCs w:val="20"/>
              </w:rPr>
              <w:t xml:space="preserve">electricity </w:t>
            </w:r>
            <w:r w:rsidR="00130FFB" w:rsidRPr="00540E03">
              <w:rPr>
                <w:rFonts w:ascii="Verdana" w:hAnsi="Verdana" w:cs="AkzidenzGroteskPro-Regular"/>
                <w:sz w:val="20"/>
                <w:szCs w:val="20"/>
              </w:rPr>
              <w:t>supply licence</w:t>
            </w:r>
            <w:r w:rsidR="00302998" w:rsidRPr="00540E03">
              <w:rPr>
                <w:rFonts w:ascii="Verdana" w:hAnsi="Verdana" w:cs="AkzidenzGroteskPro-Regular"/>
                <w:sz w:val="20"/>
                <w:szCs w:val="20"/>
              </w:rPr>
              <w:t xml:space="preserve"> (</w:t>
            </w:r>
            <w:r w:rsidR="00130FFB" w:rsidRPr="00540E03">
              <w:rPr>
                <w:rFonts w:ascii="Verdana" w:hAnsi="Verdana" w:cs="AkzidenzGroteskPro-Regular"/>
                <w:sz w:val="20"/>
                <w:szCs w:val="20"/>
              </w:rPr>
              <w:t>e</w:t>
            </w:r>
            <w:r w:rsidR="00B82C70" w:rsidRPr="00540E03">
              <w:rPr>
                <w:rFonts w:ascii="Verdana" w:hAnsi="Verdana" w:cs="AkzidenzGroteskPro-Regular"/>
                <w:sz w:val="20"/>
                <w:szCs w:val="20"/>
              </w:rPr>
              <w:t>g</w:t>
            </w:r>
            <w:r w:rsidR="00302998" w:rsidRPr="00540E03">
              <w:rPr>
                <w:rFonts w:ascii="Verdana" w:hAnsi="Verdana" w:cs="AkzidenzGroteskPro-Regular"/>
                <w:sz w:val="20"/>
                <w:szCs w:val="20"/>
              </w:rPr>
              <w:t>,</w:t>
            </w:r>
            <w:r w:rsidR="00B82C70" w:rsidRPr="00540E03">
              <w:rPr>
                <w:rFonts w:ascii="Verdana" w:hAnsi="Verdana" w:cs="AkzidenzGroteskPro-Regular"/>
                <w:sz w:val="20"/>
                <w:szCs w:val="20"/>
              </w:rPr>
              <w:t xml:space="preserve"> giving customers contractual information, regular bills and notice of price increases</w:t>
            </w:r>
            <w:r w:rsidR="00302998" w:rsidRPr="00540E03">
              <w:rPr>
                <w:rFonts w:ascii="Verdana" w:hAnsi="Verdana" w:cs="AkzidenzGroteskPro-Regular"/>
                <w:sz w:val="20"/>
                <w:szCs w:val="20"/>
              </w:rPr>
              <w:t>).</w:t>
            </w:r>
          </w:p>
        </w:tc>
      </w:tr>
      <w:tr w:rsidR="00F569CC" w:rsidRPr="00540E03" w14:paraId="24786CE0" w14:textId="77777777" w:rsidTr="00F569CC">
        <w:tc>
          <w:tcPr>
            <w:tcW w:w="1633" w:type="dxa"/>
            <w:tcMar>
              <w:top w:w="57" w:type="dxa"/>
              <w:bottom w:w="57" w:type="dxa"/>
            </w:tcMar>
            <w:vAlign w:val="center"/>
          </w:tcPr>
          <w:p w14:paraId="1E723D2A" w14:textId="77777777" w:rsidR="00F569CC" w:rsidRPr="00540E03" w:rsidRDefault="00F569CC" w:rsidP="00060404">
            <w:pPr>
              <w:autoSpaceDE w:val="0"/>
              <w:autoSpaceDN w:val="0"/>
              <w:adjustRightInd w:val="0"/>
              <w:jc w:val="both"/>
              <w:rPr>
                <w:rFonts w:ascii="Verdana" w:hAnsi="Verdana" w:cs="AkzidenzGroteskPro-Regular"/>
                <w:sz w:val="20"/>
                <w:szCs w:val="20"/>
              </w:rPr>
            </w:pPr>
            <w:r w:rsidRPr="00540E03">
              <w:rPr>
                <w:rFonts w:ascii="Verdana" w:hAnsi="Verdana" w:cs="AkzidenzGroteskPro-Regular"/>
                <w:sz w:val="20"/>
                <w:szCs w:val="20"/>
              </w:rPr>
              <w:t>White label</w:t>
            </w:r>
          </w:p>
        </w:tc>
        <w:tc>
          <w:tcPr>
            <w:tcW w:w="7718" w:type="dxa"/>
            <w:tcMar>
              <w:top w:w="57" w:type="dxa"/>
              <w:bottom w:w="57" w:type="dxa"/>
            </w:tcMar>
          </w:tcPr>
          <w:p w14:paraId="086E8D6F" w14:textId="77777777" w:rsidR="009A0FB7" w:rsidRPr="00540E03" w:rsidRDefault="00F569CC" w:rsidP="00E23772">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Partnership between licensed supplier and third party to offer branded tariffs.</w:t>
            </w:r>
          </w:p>
          <w:p w14:paraId="30A49B8B" w14:textId="185B8790" w:rsidR="00E24380" w:rsidRPr="00540E03" w:rsidRDefault="00B82C70" w:rsidP="00E23772">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Models vary, but the white label act</w:t>
            </w:r>
            <w:r w:rsidR="006723D6" w:rsidRPr="00540E03">
              <w:rPr>
                <w:rFonts w:ascii="Verdana" w:hAnsi="Verdana" w:cs="AkzidenzGroteskPro-Regular"/>
                <w:sz w:val="20"/>
                <w:szCs w:val="20"/>
              </w:rPr>
              <w:t>s</w:t>
            </w:r>
            <w:r w:rsidRPr="00540E03">
              <w:rPr>
                <w:rFonts w:ascii="Verdana" w:hAnsi="Verdana" w:cs="AkzidenzGroteskPro-Regular"/>
                <w:sz w:val="20"/>
                <w:szCs w:val="20"/>
              </w:rPr>
              <w:t xml:space="preserve"> as an agent (and therefor</w:t>
            </w:r>
            <w:r w:rsidR="00646C87" w:rsidRPr="00540E03">
              <w:rPr>
                <w:rFonts w:ascii="Verdana" w:hAnsi="Verdana" w:cs="AkzidenzGroteskPro-Regular"/>
                <w:sz w:val="20"/>
                <w:szCs w:val="20"/>
              </w:rPr>
              <w:t>e under the control of) a licens</w:t>
            </w:r>
            <w:r w:rsidRPr="00540E03">
              <w:rPr>
                <w:rFonts w:ascii="Verdana" w:hAnsi="Verdana" w:cs="AkzidenzGroteskPro-Regular"/>
                <w:sz w:val="20"/>
                <w:szCs w:val="20"/>
              </w:rPr>
              <w:t>ed supplier</w:t>
            </w:r>
            <w:r w:rsidR="00764945" w:rsidRPr="00540E03">
              <w:rPr>
                <w:rFonts w:ascii="Verdana" w:hAnsi="Verdana" w:cs="AkzidenzGroteskPro-Regular"/>
                <w:sz w:val="20"/>
                <w:szCs w:val="20"/>
              </w:rPr>
              <w:t xml:space="preserve"> (</w:t>
            </w:r>
            <w:r w:rsidRPr="00540E03">
              <w:rPr>
                <w:rFonts w:ascii="Verdana" w:hAnsi="Verdana" w:cs="AkzidenzGroteskPro-Regular"/>
                <w:sz w:val="20"/>
                <w:szCs w:val="20"/>
              </w:rPr>
              <w:t>eg</w:t>
            </w:r>
            <w:r w:rsidR="00764945" w:rsidRPr="00540E03">
              <w:rPr>
                <w:rFonts w:ascii="Verdana" w:hAnsi="Verdana" w:cs="AkzidenzGroteskPro-Regular"/>
                <w:sz w:val="20"/>
                <w:szCs w:val="20"/>
              </w:rPr>
              <w:t>,</w:t>
            </w:r>
            <w:r w:rsidRPr="00540E03">
              <w:rPr>
                <w:rFonts w:ascii="Verdana" w:hAnsi="Verdana" w:cs="AkzidenzGroteskPro-Regular"/>
                <w:sz w:val="20"/>
                <w:szCs w:val="20"/>
              </w:rPr>
              <w:t xml:space="preserve"> if they carry out activities involving customer acquisition or other customer interactions</w:t>
            </w:r>
            <w:r w:rsidR="00764945" w:rsidRPr="00540E03">
              <w:rPr>
                <w:rFonts w:ascii="Verdana" w:hAnsi="Verdana" w:cs="AkzidenzGroteskPro-Regular"/>
                <w:sz w:val="20"/>
                <w:szCs w:val="20"/>
              </w:rPr>
              <w:t>)</w:t>
            </w:r>
            <w:r w:rsidR="004A1DD5" w:rsidRPr="00540E03">
              <w:rPr>
                <w:rFonts w:ascii="Verdana" w:hAnsi="Verdana" w:cs="AkzidenzGroteskPro-Regular"/>
                <w:sz w:val="20"/>
                <w:szCs w:val="20"/>
              </w:rPr>
              <w:t>.</w:t>
            </w:r>
          </w:p>
          <w:p w14:paraId="747415E2" w14:textId="7E70E6E3" w:rsidR="00F569CC" w:rsidRPr="00540E03" w:rsidRDefault="00F569CC" w:rsidP="00E23772">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Licence requirements, including code compliance and consumer protection, sit with the licensed supplier.</w:t>
            </w:r>
          </w:p>
        </w:tc>
      </w:tr>
      <w:tr w:rsidR="00F569CC" w:rsidRPr="00540E03" w14:paraId="67CA8478" w14:textId="77777777" w:rsidTr="00F569CC">
        <w:tc>
          <w:tcPr>
            <w:tcW w:w="1633" w:type="dxa"/>
            <w:tcMar>
              <w:top w:w="57" w:type="dxa"/>
              <w:bottom w:w="57" w:type="dxa"/>
            </w:tcMar>
            <w:vAlign w:val="center"/>
          </w:tcPr>
          <w:p w14:paraId="77F835E1" w14:textId="77777777" w:rsidR="00F569CC" w:rsidRPr="00540E03" w:rsidRDefault="00F569CC" w:rsidP="00060404">
            <w:pPr>
              <w:autoSpaceDE w:val="0"/>
              <w:autoSpaceDN w:val="0"/>
              <w:adjustRightInd w:val="0"/>
              <w:jc w:val="both"/>
              <w:rPr>
                <w:rFonts w:ascii="Verdana" w:hAnsi="Verdana" w:cs="AkzidenzGroteskPro-Regular"/>
                <w:sz w:val="20"/>
                <w:szCs w:val="20"/>
              </w:rPr>
            </w:pPr>
            <w:r w:rsidRPr="00540E03">
              <w:rPr>
                <w:rFonts w:ascii="Verdana" w:hAnsi="Verdana" w:cs="AkzidenzGroteskPro-Regular"/>
                <w:sz w:val="20"/>
                <w:szCs w:val="20"/>
              </w:rPr>
              <w:t>Sleeving</w:t>
            </w:r>
          </w:p>
        </w:tc>
        <w:tc>
          <w:tcPr>
            <w:tcW w:w="7718" w:type="dxa"/>
            <w:tcMar>
              <w:top w:w="57" w:type="dxa"/>
              <w:bottom w:w="57" w:type="dxa"/>
            </w:tcMar>
          </w:tcPr>
          <w:p w14:paraId="08380023" w14:textId="20979518" w:rsidR="00F569CC" w:rsidRPr="00540E03" w:rsidRDefault="00F569CC" w:rsidP="00411BC3">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Licensed supplier provides commercial peer-to-peer services for participants (generator and consumer</w:t>
            </w:r>
            <w:r w:rsidR="00711FB5" w:rsidRPr="00540E03">
              <w:rPr>
                <w:rFonts w:ascii="Verdana" w:hAnsi="Verdana" w:cs="AkzidenzGroteskPro-Regular"/>
                <w:sz w:val="20"/>
                <w:szCs w:val="20"/>
              </w:rPr>
              <w:t>(s)</w:t>
            </w:r>
            <w:r w:rsidRPr="00540E03">
              <w:rPr>
                <w:rFonts w:ascii="Verdana" w:hAnsi="Verdana" w:cs="AkzidenzGroteskPro-Regular"/>
                <w:sz w:val="20"/>
                <w:szCs w:val="20"/>
              </w:rPr>
              <w:t xml:space="preserve">). </w:t>
            </w:r>
          </w:p>
          <w:p w14:paraId="6769FAE1" w14:textId="6535A773" w:rsidR="00F569CC" w:rsidRPr="00540E03" w:rsidRDefault="00F569CC" w:rsidP="006723D6">
            <w:pPr>
              <w:pStyle w:val="ListParagraph"/>
              <w:numPr>
                <w:ilvl w:val="0"/>
                <w:numId w:val="18"/>
              </w:numPr>
              <w:autoSpaceDE w:val="0"/>
              <w:autoSpaceDN w:val="0"/>
              <w:adjustRightInd w:val="0"/>
              <w:spacing w:after="80"/>
              <w:ind w:left="312" w:hanging="357"/>
              <w:contextualSpacing w:val="0"/>
              <w:jc w:val="both"/>
              <w:rPr>
                <w:rFonts w:ascii="Verdana" w:hAnsi="Verdana" w:cs="AkzidenzGroteskPro-Regular"/>
                <w:sz w:val="20"/>
                <w:szCs w:val="20"/>
              </w:rPr>
            </w:pPr>
            <w:r w:rsidRPr="00540E03">
              <w:rPr>
                <w:rFonts w:ascii="Verdana" w:hAnsi="Verdana" w:cs="AkzidenzGroteskPro-Regular"/>
                <w:sz w:val="20"/>
                <w:szCs w:val="20"/>
              </w:rPr>
              <w:t xml:space="preserve">Often used by </w:t>
            </w:r>
            <w:r w:rsidR="006723D6" w:rsidRPr="00540E03">
              <w:rPr>
                <w:rFonts w:ascii="Verdana" w:hAnsi="Verdana" w:cs="AkzidenzGroteskPro-Regular"/>
                <w:sz w:val="20"/>
                <w:szCs w:val="20"/>
              </w:rPr>
              <w:t>organisation</w:t>
            </w:r>
            <w:r w:rsidRPr="00540E03">
              <w:rPr>
                <w:rFonts w:ascii="Verdana" w:hAnsi="Verdana" w:cs="AkzidenzGroteskPro-Regular"/>
                <w:sz w:val="20"/>
                <w:szCs w:val="20"/>
              </w:rPr>
              <w:t xml:space="preserve"> with own-generation on one site seeking to supply load on another site across the public network. </w:t>
            </w:r>
          </w:p>
        </w:tc>
      </w:tr>
    </w:tbl>
    <w:p w14:paraId="5F48DDA9" w14:textId="2CEF1FCF" w:rsidR="00411BC3" w:rsidRPr="00540E03" w:rsidRDefault="00411BC3" w:rsidP="00411BC3">
      <w:pPr>
        <w:pStyle w:val="Heading2"/>
        <w:keepNext/>
        <w:keepLines/>
        <w:numPr>
          <w:ilvl w:val="1"/>
          <w:numId w:val="0"/>
        </w:numPr>
        <w:tabs>
          <w:tab w:val="clear" w:pos="2581"/>
        </w:tabs>
        <w:spacing w:before="360" w:after="120" w:line="276" w:lineRule="auto"/>
        <w:ind w:left="576" w:hanging="576"/>
        <w:jc w:val="both"/>
        <w:rPr>
          <w:color w:val="17365D" w:themeColor="text2" w:themeShade="BF"/>
          <w:sz w:val="20"/>
          <w:szCs w:val="20"/>
        </w:rPr>
      </w:pPr>
      <w:r w:rsidRPr="00540E03">
        <w:rPr>
          <w:color w:val="17365D" w:themeColor="text2" w:themeShade="BF"/>
          <w:sz w:val="20"/>
          <w:szCs w:val="20"/>
        </w:rPr>
        <w:t xml:space="preserve">Licensed </w:t>
      </w:r>
      <w:r w:rsidR="00811A09" w:rsidRPr="00540E03">
        <w:rPr>
          <w:color w:val="17365D" w:themeColor="text2" w:themeShade="BF"/>
          <w:sz w:val="20"/>
          <w:szCs w:val="20"/>
        </w:rPr>
        <w:t>s</w:t>
      </w:r>
      <w:r w:rsidRPr="00540E03">
        <w:rPr>
          <w:color w:val="17365D" w:themeColor="text2" w:themeShade="BF"/>
          <w:sz w:val="20"/>
          <w:szCs w:val="20"/>
        </w:rPr>
        <w:t>upply</w:t>
      </w:r>
    </w:p>
    <w:p w14:paraId="096C9615" w14:textId="34CBAEF0" w:rsidR="00411BC3" w:rsidRPr="00540E03" w:rsidRDefault="00411BC3" w:rsidP="00411BC3">
      <w:pPr>
        <w:pStyle w:val="ListParagraph"/>
        <w:numPr>
          <w:ilvl w:val="0"/>
          <w:numId w:val="23"/>
        </w:numPr>
        <w:ind w:left="357" w:hanging="357"/>
        <w:contextualSpacing w:val="0"/>
        <w:jc w:val="both"/>
        <w:rPr>
          <w:rFonts w:ascii="Verdana" w:hAnsi="Verdana"/>
          <w:sz w:val="20"/>
          <w:szCs w:val="20"/>
        </w:rPr>
      </w:pPr>
      <w:r w:rsidRPr="00540E03">
        <w:rPr>
          <w:rFonts w:ascii="Verdana" w:hAnsi="Verdana"/>
          <w:sz w:val="20"/>
          <w:szCs w:val="20"/>
        </w:rPr>
        <w:t>A</w:t>
      </w:r>
      <w:r w:rsidR="00E23772" w:rsidRPr="00540E03">
        <w:rPr>
          <w:rFonts w:ascii="Verdana" w:hAnsi="Verdana"/>
          <w:sz w:val="20"/>
          <w:szCs w:val="20"/>
        </w:rPr>
        <w:t>n electricity</w:t>
      </w:r>
      <w:r w:rsidRPr="00540E03">
        <w:rPr>
          <w:rFonts w:ascii="Verdana" w:hAnsi="Verdana"/>
          <w:sz w:val="20"/>
          <w:szCs w:val="20"/>
        </w:rPr>
        <w:t xml:space="preserve"> </w:t>
      </w:r>
      <w:r w:rsidR="004A1DD5" w:rsidRPr="00540E03">
        <w:rPr>
          <w:rFonts w:ascii="Verdana" w:hAnsi="Verdana"/>
          <w:sz w:val="20"/>
          <w:szCs w:val="20"/>
        </w:rPr>
        <w:t xml:space="preserve">supply </w:t>
      </w:r>
      <w:r w:rsidRPr="00540E03">
        <w:rPr>
          <w:rFonts w:ascii="Verdana" w:hAnsi="Verdana"/>
          <w:sz w:val="20"/>
          <w:szCs w:val="20"/>
        </w:rPr>
        <w:t>licence can be sought for non-domestic premises or both</w:t>
      </w:r>
      <w:r w:rsidR="004A1DD5" w:rsidRPr="00540E03">
        <w:rPr>
          <w:rFonts w:ascii="Verdana" w:hAnsi="Verdana"/>
          <w:sz w:val="20"/>
          <w:szCs w:val="20"/>
        </w:rPr>
        <w:t xml:space="preserve"> non-domestic and domestic premises</w:t>
      </w:r>
      <w:r w:rsidRPr="00540E03">
        <w:rPr>
          <w:rFonts w:ascii="Verdana" w:hAnsi="Verdana"/>
          <w:sz w:val="20"/>
          <w:szCs w:val="20"/>
        </w:rPr>
        <w:t xml:space="preserve">. The electricity supply licence is designed to ensure that licensees operate within the entire electricity market in ways </w:t>
      </w:r>
      <w:r w:rsidR="00710088" w:rsidRPr="00540E03">
        <w:rPr>
          <w:rFonts w:ascii="Verdana" w:hAnsi="Verdana"/>
          <w:sz w:val="20"/>
          <w:szCs w:val="20"/>
        </w:rPr>
        <w:t>that</w:t>
      </w:r>
      <w:r w:rsidRPr="00540E03">
        <w:rPr>
          <w:rFonts w:ascii="Verdana" w:hAnsi="Verdana"/>
          <w:sz w:val="20"/>
          <w:szCs w:val="20"/>
        </w:rPr>
        <w:t xml:space="preserve"> facilitate wholesale market trading, deliver real-time system balancing, enable retail competition and deliver consumer protection. </w:t>
      </w:r>
    </w:p>
    <w:p w14:paraId="25C65682" w14:textId="50CF356D" w:rsidR="00411BC3" w:rsidRPr="00540E03" w:rsidRDefault="00411BC3" w:rsidP="00411BC3">
      <w:pPr>
        <w:pStyle w:val="ListParagraph"/>
        <w:numPr>
          <w:ilvl w:val="0"/>
          <w:numId w:val="23"/>
        </w:numPr>
        <w:ind w:left="357" w:hanging="357"/>
        <w:contextualSpacing w:val="0"/>
        <w:jc w:val="both"/>
        <w:rPr>
          <w:rFonts w:ascii="Verdana" w:hAnsi="Verdana"/>
          <w:sz w:val="20"/>
          <w:szCs w:val="20"/>
        </w:rPr>
      </w:pPr>
      <w:r w:rsidRPr="00540E03">
        <w:rPr>
          <w:rFonts w:ascii="Verdana" w:hAnsi="Verdana"/>
          <w:sz w:val="20"/>
          <w:szCs w:val="20"/>
        </w:rPr>
        <w:t xml:space="preserve">Suppliers buy electricity </w:t>
      </w:r>
      <w:r w:rsidR="0009472C" w:rsidRPr="00540E03">
        <w:rPr>
          <w:rFonts w:ascii="Verdana" w:hAnsi="Verdana"/>
          <w:sz w:val="20"/>
          <w:szCs w:val="20"/>
        </w:rPr>
        <w:t xml:space="preserve">in the wholesale market </w:t>
      </w:r>
      <w:r w:rsidRPr="00540E03">
        <w:rPr>
          <w:rFonts w:ascii="Verdana" w:hAnsi="Verdana"/>
          <w:sz w:val="20"/>
          <w:szCs w:val="20"/>
        </w:rPr>
        <w:t xml:space="preserve">either through bilateral contracts with generators (power purchase agreements - PPAs), through </w:t>
      </w:r>
      <w:r w:rsidR="0009472C" w:rsidRPr="00540E03">
        <w:rPr>
          <w:rFonts w:ascii="Verdana" w:hAnsi="Verdana"/>
          <w:sz w:val="20"/>
          <w:szCs w:val="20"/>
        </w:rPr>
        <w:t>brokers</w:t>
      </w:r>
      <w:r w:rsidRPr="00540E03">
        <w:rPr>
          <w:rFonts w:ascii="Verdana" w:hAnsi="Verdana"/>
          <w:sz w:val="20"/>
          <w:szCs w:val="20"/>
        </w:rPr>
        <w:t>, over an energy exchange or within their own company</w:t>
      </w:r>
      <w:r w:rsidR="00711FB5" w:rsidRPr="00540E03">
        <w:rPr>
          <w:rFonts w:ascii="Verdana" w:hAnsi="Verdana"/>
          <w:sz w:val="20"/>
          <w:szCs w:val="20"/>
        </w:rPr>
        <w:t>,</w:t>
      </w:r>
      <w:r w:rsidRPr="00540E03">
        <w:rPr>
          <w:rFonts w:ascii="Verdana" w:hAnsi="Verdana"/>
          <w:sz w:val="20"/>
          <w:szCs w:val="20"/>
        </w:rPr>
        <w:t xml:space="preserve"> if they own generation assets.</w:t>
      </w:r>
      <w:r w:rsidR="00B04601" w:rsidRPr="00540E03">
        <w:rPr>
          <w:rFonts w:ascii="Verdana" w:hAnsi="Verdana"/>
          <w:sz w:val="20"/>
          <w:szCs w:val="20"/>
        </w:rPr>
        <w:t xml:space="preserve"> As with any market, wholesale electricity prices fluctuate, as does consumer demand. Therefore, a challenge for small-scale new suppliers is determining their hedging strategy against future price fluctuations. There are parties offering hedging services to such new entrants.</w:t>
      </w:r>
    </w:p>
    <w:p w14:paraId="6CC15CD3" w14:textId="716D01B9" w:rsidR="00CD3FA3" w:rsidRPr="00540E03" w:rsidRDefault="00CD3FA3" w:rsidP="00CD3FA3">
      <w:pPr>
        <w:pStyle w:val="ListParagraph"/>
        <w:numPr>
          <w:ilvl w:val="0"/>
          <w:numId w:val="23"/>
        </w:numPr>
        <w:jc w:val="both"/>
        <w:rPr>
          <w:rFonts w:ascii="Verdana" w:hAnsi="Verdana"/>
          <w:sz w:val="20"/>
          <w:szCs w:val="20"/>
        </w:rPr>
      </w:pPr>
      <w:r w:rsidRPr="00540E03">
        <w:rPr>
          <w:rFonts w:ascii="Verdana" w:hAnsi="Verdana"/>
          <w:sz w:val="20"/>
          <w:szCs w:val="20"/>
        </w:rPr>
        <w:t>The supply licence covers activities including (but not limited to) the sale of electricity to consumer</w:t>
      </w:r>
      <w:r w:rsidR="00540E03">
        <w:rPr>
          <w:rFonts w:ascii="Verdana" w:hAnsi="Verdana"/>
          <w:sz w:val="20"/>
          <w:szCs w:val="20"/>
        </w:rPr>
        <w:t>s</w:t>
      </w:r>
      <w:r w:rsidRPr="00540E03">
        <w:rPr>
          <w:rFonts w:ascii="Verdana" w:hAnsi="Verdana"/>
          <w:sz w:val="20"/>
          <w:szCs w:val="20"/>
        </w:rPr>
        <w:t xml:space="preserve"> and conditions attached to the licence include both operational and customer-facing requirements</w:t>
      </w:r>
      <w:r w:rsidR="00711FB5" w:rsidRPr="00540E03">
        <w:rPr>
          <w:rFonts w:ascii="Verdana" w:hAnsi="Verdana"/>
          <w:sz w:val="20"/>
          <w:szCs w:val="20"/>
        </w:rPr>
        <w:t>.</w:t>
      </w:r>
    </w:p>
    <w:p w14:paraId="7ECF90F2" w14:textId="41DCA673" w:rsidR="00411BC3" w:rsidRPr="00540E03" w:rsidRDefault="00411BC3" w:rsidP="00411BC3">
      <w:pPr>
        <w:pStyle w:val="Paragrapgh"/>
        <w:numPr>
          <w:ilvl w:val="0"/>
          <w:numId w:val="23"/>
        </w:numPr>
        <w:spacing w:before="0" w:after="200" w:line="276" w:lineRule="auto"/>
        <w:ind w:left="357" w:hanging="357"/>
        <w:jc w:val="both"/>
      </w:pPr>
      <w:r w:rsidRPr="00540E03">
        <w:t>The supply licence is not a static document</w:t>
      </w:r>
      <w:r w:rsidR="0009472C" w:rsidRPr="00540E03">
        <w:t xml:space="preserve"> and </w:t>
      </w:r>
      <w:r w:rsidR="004A1DD5" w:rsidRPr="00540E03">
        <w:t xml:space="preserve">is </w:t>
      </w:r>
      <w:r w:rsidR="0009472C" w:rsidRPr="00540E03">
        <w:t>subject to change</w:t>
      </w:r>
      <w:r w:rsidR="0009472C" w:rsidRPr="00540E03">
        <w:rPr>
          <w:rStyle w:val="FootnoteReference"/>
        </w:rPr>
        <w:footnoteReference w:id="8"/>
      </w:r>
      <w:r w:rsidR="00711FB5" w:rsidRPr="00540E03">
        <w:t>.</w:t>
      </w:r>
      <w:r w:rsidRPr="00540E03">
        <w:t xml:space="preserve"> </w:t>
      </w:r>
      <w:r w:rsidR="00071F4C" w:rsidRPr="00540E03">
        <w:t xml:space="preserve">For example, through our Future of Retail Market Regulation (FRR) </w:t>
      </w:r>
      <w:r w:rsidR="00667747" w:rsidRPr="00540E03">
        <w:t>work</w:t>
      </w:r>
      <w:r w:rsidR="00071F4C" w:rsidRPr="00540E03">
        <w:t xml:space="preserve"> we are reviewing the supply </w:t>
      </w:r>
      <w:r w:rsidR="00071F4C" w:rsidRPr="00540E03">
        <w:lastRenderedPageBreak/>
        <w:t xml:space="preserve">licence with a view </w:t>
      </w:r>
      <w:r w:rsidR="00667747" w:rsidRPr="00540E03">
        <w:t>to</w:t>
      </w:r>
      <w:r w:rsidR="00071F4C" w:rsidRPr="00540E03">
        <w:t xml:space="preserve"> moving towards </w:t>
      </w:r>
      <w:r w:rsidR="00667747" w:rsidRPr="00540E03">
        <w:t xml:space="preserve">more </w:t>
      </w:r>
      <w:r w:rsidR="00711FB5" w:rsidRPr="00540E03">
        <w:t>principles-</w:t>
      </w:r>
      <w:r w:rsidR="00071F4C" w:rsidRPr="00540E03">
        <w:t>based regulation</w:t>
      </w:r>
      <w:r w:rsidR="00F367A1" w:rsidRPr="00540E03">
        <w:rPr>
          <w:rStyle w:val="FootnoteReference"/>
        </w:rPr>
        <w:footnoteReference w:id="9"/>
      </w:r>
      <w:r w:rsidR="00F84446" w:rsidRPr="00540E03">
        <w:t>.</w:t>
      </w:r>
      <w:r w:rsidR="00327E44" w:rsidRPr="00540E03">
        <w:t xml:space="preserve"> </w:t>
      </w:r>
      <w:r w:rsidR="00711FB5" w:rsidRPr="00540E03">
        <w:t>O</w:t>
      </w:r>
      <w:r w:rsidR="00B1454B" w:rsidRPr="00540E03">
        <w:t>ur Forward Work Plan</w:t>
      </w:r>
      <w:r w:rsidR="00711FB5" w:rsidRPr="00540E03">
        <w:rPr>
          <w:rStyle w:val="FootnoteReference"/>
        </w:rPr>
        <w:footnoteReference w:id="10"/>
      </w:r>
      <w:r w:rsidR="00B1454B" w:rsidRPr="00540E03">
        <w:t xml:space="preserve"> </w:t>
      </w:r>
      <w:r w:rsidR="00711FB5" w:rsidRPr="00540E03">
        <w:t xml:space="preserve">for </w:t>
      </w:r>
      <w:r w:rsidR="00B1454B" w:rsidRPr="00540E03">
        <w:t xml:space="preserve">2017/2018 </w:t>
      </w:r>
      <w:r w:rsidR="00711FB5" w:rsidRPr="00540E03">
        <w:t>says</w:t>
      </w:r>
      <w:r w:rsidR="00B1454B" w:rsidRPr="00540E03">
        <w:t xml:space="preserve"> </w:t>
      </w:r>
      <w:r w:rsidR="00667747" w:rsidRPr="00540E03">
        <w:t>we will “</w:t>
      </w:r>
      <w:r w:rsidR="00B1454B" w:rsidRPr="00540E03">
        <w:t xml:space="preserve">be keeping under review the arrangements we have for licensing suppliers and will learn lessons from any supplier insolvencies over the period”. </w:t>
      </w:r>
    </w:p>
    <w:p w14:paraId="08268DCB" w14:textId="4BEE377E" w:rsidR="00411BC3" w:rsidRPr="00540E03" w:rsidRDefault="00411BC3" w:rsidP="00411BC3">
      <w:pPr>
        <w:pStyle w:val="NormalWeb"/>
        <w:numPr>
          <w:ilvl w:val="0"/>
          <w:numId w:val="23"/>
        </w:numPr>
        <w:shd w:val="clear" w:color="auto" w:fill="FFFFFF"/>
        <w:spacing w:after="200" w:line="276" w:lineRule="auto"/>
        <w:ind w:left="357" w:hanging="357"/>
        <w:jc w:val="both"/>
        <w:rPr>
          <w:rFonts w:ascii="Verdana" w:hAnsi="Verdana"/>
          <w:color w:val="000000"/>
          <w:sz w:val="20"/>
          <w:szCs w:val="20"/>
        </w:rPr>
      </w:pPr>
      <w:r w:rsidRPr="00540E03">
        <w:rPr>
          <w:rFonts w:ascii="Verdana" w:hAnsi="Verdana"/>
          <w:sz w:val="20"/>
          <w:szCs w:val="20"/>
        </w:rPr>
        <w:t xml:space="preserve">The licence also sets out the supplier’s obligations in relation to industry codes. </w:t>
      </w:r>
      <w:r w:rsidRPr="00540E03">
        <w:rPr>
          <w:rFonts w:ascii="Verdana" w:hAnsi="Verdana" w:cs="Arial"/>
          <w:color w:val="000000"/>
          <w:sz w:val="20"/>
          <w:szCs w:val="20"/>
        </w:rPr>
        <w:t xml:space="preserve">The codes underpin the electricity wholesale and retail markets. </w:t>
      </w:r>
      <w:r w:rsidR="00711FB5" w:rsidRPr="00540E03">
        <w:rPr>
          <w:rFonts w:ascii="Verdana" w:hAnsi="Verdana" w:cs="Arial"/>
          <w:color w:val="000000"/>
          <w:sz w:val="20"/>
          <w:szCs w:val="20"/>
        </w:rPr>
        <w:t>As shown below, l</w:t>
      </w:r>
      <w:r w:rsidRPr="00540E03">
        <w:rPr>
          <w:rFonts w:ascii="Verdana" w:hAnsi="Verdana" w:cs="Arial"/>
          <w:color w:val="000000"/>
          <w:sz w:val="20"/>
          <w:szCs w:val="20"/>
        </w:rPr>
        <w:t xml:space="preserve">icensees are required to </w:t>
      </w:r>
      <w:r w:rsidR="00711FB5" w:rsidRPr="00540E03">
        <w:rPr>
          <w:rFonts w:ascii="Verdana" w:hAnsi="Verdana" w:cs="Arial"/>
          <w:color w:val="000000"/>
          <w:sz w:val="20"/>
          <w:szCs w:val="20"/>
        </w:rPr>
        <w:t xml:space="preserve">either </w:t>
      </w:r>
      <w:r w:rsidRPr="00540E03">
        <w:rPr>
          <w:rFonts w:ascii="Verdana" w:hAnsi="Verdana" w:cs="Arial"/>
          <w:color w:val="000000"/>
          <w:sz w:val="20"/>
          <w:szCs w:val="20"/>
        </w:rPr>
        <w:t xml:space="preserve">become </w:t>
      </w:r>
      <w:r w:rsidR="00711FB5" w:rsidRPr="00540E03">
        <w:rPr>
          <w:rFonts w:ascii="Verdana" w:hAnsi="Verdana" w:cs="Arial"/>
          <w:color w:val="000000"/>
          <w:sz w:val="20"/>
          <w:szCs w:val="20"/>
        </w:rPr>
        <w:t xml:space="preserve">a </w:t>
      </w:r>
      <w:r w:rsidRPr="00540E03">
        <w:rPr>
          <w:rFonts w:ascii="Verdana" w:hAnsi="Verdana" w:cs="Arial"/>
          <w:color w:val="000000"/>
          <w:sz w:val="20"/>
          <w:szCs w:val="20"/>
        </w:rPr>
        <w:t xml:space="preserve">party to </w:t>
      </w:r>
      <w:r w:rsidR="00711FB5" w:rsidRPr="00540E03">
        <w:rPr>
          <w:rFonts w:ascii="Verdana" w:hAnsi="Verdana" w:cs="Arial"/>
          <w:color w:val="000000"/>
          <w:sz w:val="20"/>
          <w:szCs w:val="20"/>
        </w:rPr>
        <w:t xml:space="preserve">and comply with the codes, </w:t>
      </w:r>
      <w:r w:rsidRPr="00540E03">
        <w:rPr>
          <w:rFonts w:ascii="Verdana" w:hAnsi="Verdana" w:cs="Arial"/>
          <w:color w:val="000000"/>
          <w:sz w:val="20"/>
          <w:szCs w:val="20"/>
        </w:rPr>
        <w:t xml:space="preserve">or </w:t>
      </w:r>
      <w:r w:rsidR="00711FB5" w:rsidRPr="00540E03">
        <w:rPr>
          <w:rFonts w:ascii="Verdana" w:hAnsi="Verdana" w:cs="Arial"/>
          <w:color w:val="000000"/>
          <w:sz w:val="20"/>
          <w:szCs w:val="20"/>
        </w:rPr>
        <w:t xml:space="preserve">just </w:t>
      </w:r>
      <w:r w:rsidRPr="00540E03">
        <w:rPr>
          <w:rFonts w:ascii="Verdana" w:hAnsi="Verdana" w:cs="Arial"/>
          <w:color w:val="000000"/>
          <w:sz w:val="20"/>
          <w:szCs w:val="20"/>
        </w:rPr>
        <w:t xml:space="preserve">comply with the codes. </w:t>
      </w:r>
      <w:r w:rsidRPr="00540E03">
        <w:rPr>
          <w:rFonts w:ascii="Verdana" w:hAnsi="Verdana"/>
          <w:color w:val="000000"/>
          <w:sz w:val="20"/>
          <w:szCs w:val="20"/>
        </w:rPr>
        <w:t xml:space="preserve">Each code has its own </w:t>
      </w:r>
      <w:r w:rsidR="009307DC" w:rsidRPr="00540E03">
        <w:rPr>
          <w:rFonts w:ascii="Verdana" w:hAnsi="Verdana"/>
          <w:color w:val="000000"/>
          <w:sz w:val="20"/>
          <w:szCs w:val="20"/>
        </w:rPr>
        <w:t>code administrator</w:t>
      </w:r>
      <w:r w:rsidR="00540E03">
        <w:rPr>
          <w:rFonts w:ascii="Verdana" w:hAnsi="Verdana"/>
          <w:color w:val="000000"/>
          <w:sz w:val="20"/>
          <w:szCs w:val="20"/>
        </w:rPr>
        <w:t xml:space="preserve"> and may have </w:t>
      </w:r>
      <w:r w:rsidR="00741DCF">
        <w:rPr>
          <w:rFonts w:ascii="Verdana" w:hAnsi="Verdana"/>
          <w:color w:val="000000"/>
          <w:sz w:val="20"/>
          <w:szCs w:val="20"/>
        </w:rPr>
        <w:t>specific</w:t>
      </w:r>
      <w:r w:rsidR="00540E03">
        <w:rPr>
          <w:rFonts w:ascii="Verdana" w:hAnsi="Verdana"/>
          <w:color w:val="000000"/>
          <w:sz w:val="20"/>
          <w:szCs w:val="20"/>
        </w:rPr>
        <w:t xml:space="preserve"> market entry requirements:</w:t>
      </w:r>
      <w:r w:rsidRPr="00540E03">
        <w:rPr>
          <w:rFonts w:ascii="Verdana" w:hAnsi="Verdana"/>
          <w:color w:val="000000"/>
          <w:sz w:val="20"/>
          <w:szCs w:val="20"/>
        </w:rPr>
        <w:t xml:space="preserve"> </w:t>
      </w:r>
    </w:p>
    <w:tbl>
      <w:tblPr>
        <w:tblStyle w:val="TableGrid"/>
        <w:tblW w:w="0" w:type="auto"/>
        <w:tblCellMar>
          <w:top w:w="57" w:type="dxa"/>
          <w:bottom w:w="57" w:type="dxa"/>
        </w:tblCellMar>
        <w:tblLook w:val="04A0" w:firstRow="1" w:lastRow="0" w:firstColumn="1" w:lastColumn="0" w:noHBand="0" w:noVBand="1"/>
      </w:tblPr>
      <w:tblGrid>
        <w:gridCol w:w="3061"/>
        <w:gridCol w:w="6289"/>
      </w:tblGrid>
      <w:tr w:rsidR="00411BC3" w:rsidRPr="00540E03" w14:paraId="1E5FAA21" w14:textId="77777777" w:rsidTr="00AD66E2">
        <w:trPr>
          <w:tblHeader/>
        </w:trPr>
        <w:tc>
          <w:tcPr>
            <w:tcW w:w="3085" w:type="dxa"/>
            <w:shd w:val="clear" w:color="auto" w:fill="F2F2F2" w:themeFill="background1" w:themeFillShade="F2"/>
            <w:vAlign w:val="center"/>
          </w:tcPr>
          <w:p w14:paraId="4A1A55D3" w14:textId="6453FF39" w:rsidR="00411BC3" w:rsidRPr="00540E03" w:rsidRDefault="00411BC3" w:rsidP="00AD66E2">
            <w:pPr>
              <w:pStyle w:val="NormalWeb"/>
              <w:spacing w:after="0" w:line="276" w:lineRule="auto"/>
              <w:jc w:val="center"/>
              <w:rPr>
                <w:rFonts w:ascii="Verdana" w:hAnsi="Verdana" w:cs="Arial"/>
                <w:b/>
                <w:color w:val="17365D" w:themeColor="text2" w:themeShade="BF"/>
                <w:sz w:val="20"/>
                <w:szCs w:val="20"/>
              </w:rPr>
            </w:pPr>
            <w:r w:rsidRPr="00540E03">
              <w:rPr>
                <w:rFonts w:ascii="Verdana" w:hAnsi="Verdana" w:cs="Arial"/>
                <w:b/>
                <w:color w:val="17365D" w:themeColor="text2" w:themeShade="BF"/>
                <w:sz w:val="20"/>
                <w:szCs w:val="20"/>
              </w:rPr>
              <w:t xml:space="preserve">Codes (party </w:t>
            </w:r>
            <w:r w:rsidR="00AD66E2" w:rsidRPr="00540E03">
              <w:rPr>
                <w:rFonts w:ascii="Verdana" w:hAnsi="Verdana" w:cs="Arial"/>
                <w:b/>
                <w:color w:val="17365D" w:themeColor="text2" w:themeShade="BF"/>
                <w:sz w:val="20"/>
                <w:szCs w:val="20"/>
              </w:rPr>
              <w:t>&amp;</w:t>
            </w:r>
            <w:r w:rsidRPr="00540E03">
              <w:rPr>
                <w:rFonts w:ascii="Verdana" w:hAnsi="Verdana" w:cs="Arial"/>
                <w:b/>
                <w:color w:val="17365D" w:themeColor="text2" w:themeShade="BF"/>
                <w:sz w:val="20"/>
                <w:szCs w:val="20"/>
              </w:rPr>
              <w:t xml:space="preserve"> comply)</w:t>
            </w:r>
          </w:p>
        </w:tc>
        <w:tc>
          <w:tcPr>
            <w:tcW w:w="6379" w:type="dxa"/>
            <w:shd w:val="clear" w:color="auto" w:fill="F2F2F2" w:themeFill="background1" w:themeFillShade="F2"/>
            <w:vAlign w:val="center"/>
          </w:tcPr>
          <w:p w14:paraId="6F5B5884" w14:textId="77777777" w:rsidR="00411BC3" w:rsidRPr="00540E03" w:rsidRDefault="00411BC3" w:rsidP="00811A09">
            <w:pPr>
              <w:pStyle w:val="NormalWeb"/>
              <w:spacing w:after="0" w:line="276" w:lineRule="auto"/>
              <w:jc w:val="center"/>
              <w:rPr>
                <w:rFonts w:ascii="Verdana" w:hAnsi="Verdana" w:cs="Arial"/>
                <w:b/>
                <w:color w:val="17365D" w:themeColor="text2" w:themeShade="BF"/>
                <w:sz w:val="20"/>
                <w:szCs w:val="20"/>
              </w:rPr>
            </w:pPr>
            <w:r w:rsidRPr="00540E03">
              <w:rPr>
                <w:rFonts w:ascii="Verdana" w:hAnsi="Verdana" w:cs="Arial"/>
                <w:b/>
                <w:color w:val="17365D" w:themeColor="text2" w:themeShade="BF"/>
                <w:sz w:val="20"/>
                <w:szCs w:val="20"/>
              </w:rPr>
              <w:t>Description</w:t>
            </w:r>
          </w:p>
        </w:tc>
      </w:tr>
      <w:tr w:rsidR="00411BC3" w:rsidRPr="00540E03" w14:paraId="21C58AA9" w14:textId="77777777" w:rsidTr="00060404">
        <w:tc>
          <w:tcPr>
            <w:tcW w:w="3085" w:type="dxa"/>
            <w:vAlign w:val="center"/>
          </w:tcPr>
          <w:p w14:paraId="570E764C" w14:textId="1F5139AC" w:rsidR="00411BC3" w:rsidRPr="00540E03" w:rsidRDefault="00C641EF" w:rsidP="00811A09">
            <w:pPr>
              <w:numPr>
                <w:ilvl w:val="0"/>
                <w:numId w:val="19"/>
              </w:numPr>
              <w:shd w:val="clear" w:color="auto" w:fill="FFFFFF"/>
              <w:ind w:left="426"/>
              <w:rPr>
                <w:rFonts w:ascii="Verdana" w:hAnsi="Verdana"/>
                <w:color w:val="000000"/>
                <w:sz w:val="20"/>
                <w:szCs w:val="20"/>
              </w:rPr>
            </w:pPr>
            <w:hyperlink r:id="rId14" w:history="1">
              <w:r w:rsidR="00411BC3" w:rsidRPr="00540E03">
                <w:rPr>
                  <w:rStyle w:val="Hyperlink"/>
                  <w:rFonts w:ascii="Verdana" w:hAnsi="Verdana"/>
                  <w:sz w:val="20"/>
                  <w:szCs w:val="20"/>
                </w:rPr>
                <w:t xml:space="preserve">Balancing and Settlement Code (BSC) </w:t>
              </w:r>
            </w:hyperlink>
          </w:p>
        </w:tc>
        <w:tc>
          <w:tcPr>
            <w:tcW w:w="6379" w:type="dxa"/>
            <w:vAlign w:val="center"/>
          </w:tcPr>
          <w:p w14:paraId="60DD384B" w14:textId="20E155AE" w:rsidR="00411BC3" w:rsidRPr="00540E03" w:rsidRDefault="00411BC3" w:rsidP="00060404">
            <w:pPr>
              <w:pStyle w:val="NormalWeb"/>
              <w:spacing w:after="0"/>
              <w:jc w:val="both"/>
              <w:rPr>
                <w:rFonts w:ascii="Verdana" w:hAnsi="Verdana" w:cs="Arial"/>
                <w:color w:val="000000"/>
                <w:sz w:val="20"/>
                <w:szCs w:val="20"/>
              </w:rPr>
            </w:pPr>
            <w:r w:rsidRPr="00540E03">
              <w:rPr>
                <w:rFonts w:ascii="Verdana" w:hAnsi="Verdana"/>
                <w:color w:val="000000"/>
                <w:sz w:val="20"/>
                <w:szCs w:val="20"/>
              </w:rPr>
              <w:t>Govern</w:t>
            </w:r>
            <w:r w:rsidR="00AF0765" w:rsidRPr="00540E03">
              <w:rPr>
                <w:rFonts w:ascii="Verdana" w:hAnsi="Verdana"/>
                <w:color w:val="000000"/>
                <w:sz w:val="20"/>
                <w:szCs w:val="20"/>
              </w:rPr>
              <w:t>s the</w:t>
            </w:r>
            <w:r w:rsidRPr="00540E03">
              <w:rPr>
                <w:rFonts w:ascii="Verdana" w:hAnsi="Verdana"/>
                <w:color w:val="000000"/>
                <w:sz w:val="20"/>
                <w:szCs w:val="20"/>
              </w:rPr>
              <w:t xml:space="preserve"> arrangements for electricity balancing and settlement in Great Britain.</w:t>
            </w:r>
          </w:p>
        </w:tc>
      </w:tr>
      <w:tr w:rsidR="00411BC3" w:rsidRPr="00540E03" w14:paraId="12A6E1A7" w14:textId="77777777" w:rsidTr="00060404">
        <w:tc>
          <w:tcPr>
            <w:tcW w:w="3085" w:type="dxa"/>
            <w:vAlign w:val="center"/>
          </w:tcPr>
          <w:p w14:paraId="32654113" w14:textId="77777777" w:rsidR="00411BC3" w:rsidRPr="00540E03" w:rsidRDefault="00C641EF" w:rsidP="00811A09">
            <w:pPr>
              <w:numPr>
                <w:ilvl w:val="0"/>
                <w:numId w:val="19"/>
              </w:numPr>
              <w:shd w:val="clear" w:color="auto" w:fill="FFFFFF"/>
              <w:spacing w:before="100" w:beforeAutospacing="1"/>
              <w:ind w:left="426"/>
              <w:rPr>
                <w:rFonts w:ascii="Verdana" w:hAnsi="Verdana"/>
                <w:color w:val="000000"/>
                <w:sz w:val="20"/>
                <w:szCs w:val="20"/>
              </w:rPr>
            </w:pPr>
            <w:hyperlink r:id="rId15" w:history="1">
              <w:r w:rsidR="00411BC3" w:rsidRPr="00540E03">
                <w:rPr>
                  <w:rStyle w:val="Hyperlink"/>
                  <w:rFonts w:ascii="Verdana" w:hAnsi="Verdana"/>
                  <w:sz w:val="20"/>
                  <w:szCs w:val="20"/>
                </w:rPr>
                <w:t>Connection and Use of System Code (CUSC)</w:t>
              </w:r>
            </w:hyperlink>
          </w:p>
        </w:tc>
        <w:tc>
          <w:tcPr>
            <w:tcW w:w="6379" w:type="dxa"/>
            <w:vAlign w:val="center"/>
          </w:tcPr>
          <w:p w14:paraId="717E3AE9" w14:textId="6089125B" w:rsidR="00411BC3" w:rsidRPr="00540E03" w:rsidRDefault="00411BC3" w:rsidP="00060404">
            <w:pPr>
              <w:pStyle w:val="NormalWeb"/>
              <w:spacing w:after="0"/>
              <w:jc w:val="both"/>
              <w:rPr>
                <w:rFonts w:ascii="Verdana" w:hAnsi="Verdana" w:cs="Arial"/>
                <w:color w:val="000000"/>
                <w:sz w:val="20"/>
                <w:szCs w:val="20"/>
              </w:rPr>
            </w:pPr>
            <w:r w:rsidRPr="00540E03">
              <w:rPr>
                <w:rFonts w:ascii="Verdana" w:hAnsi="Verdana"/>
                <w:color w:val="000000"/>
                <w:sz w:val="20"/>
                <w:szCs w:val="20"/>
              </w:rPr>
              <w:t>Contractual framework</w:t>
            </w:r>
            <w:r w:rsidR="00AF0765" w:rsidRPr="00540E03">
              <w:rPr>
                <w:rFonts w:ascii="Verdana" w:hAnsi="Verdana"/>
                <w:color w:val="000000"/>
                <w:sz w:val="20"/>
                <w:szCs w:val="20"/>
              </w:rPr>
              <w:t xml:space="preserve"> and charging methodologies</w:t>
            </w:r>
            <w:r w:rsidRPr="00540E03">
              <w:rPr>
                <w:rFonts w:ascii="Verdana" w:hAnsi="Verdana"/>
                <w:color w:val="000000"/>
                <w:sz w:val="20"/>
                <w:szCs w:val="20"/>
              </w:rPr>
              <w:t xml:space="preserve"> for connection to and use of the national electricity transmission system.</w:t>
            </w:r>
          </w:p>
        </w:tc>
      </w:tr>
      <w:tr w:rsidR="00411BC3" w:rsidRPr="00540E03" w14:paraId="0E9EFA3D" w14:textId="77777777" w:rsidTr="00060404">
        <w:tc>
          <w:tcPr>
            <w:tcW w:w="3085" w:type="dxa"/>
            <w:vAlign w:val="center"/>
          </w:tcPr>
          <w:p w14:paraId="272B7173" w14:textId="77777777" w:rsidR="00411BC3" w:rsidRPr="00540E03" w:rsidRDefault="00C641EF" w:rsidP="00811A09">
            <w:pPr>
              <w:numPr>
                <w:ilvl w:val="0"/>
                <w:numId w:val="19"/>
              </w:numPr>
              <w:shd w:val="clear" w:color="auto" w:fill="FFFFFF"/>
              <w:spacing w:before="100" w:beforeAutospacing="1"/>
              <w:ind w:left="426"/>
              <w:rPr>
                <w:rFonts w:ascii="Verdana" w:hAnsi="Verdana"/>
                <w:color w:val="000000"/>
                <w:sz w:val="20"/>
                <w:szCs w:val="20"/>
              </w:rPr>
            </w:pPr>
            <w:hyperlink r:id="rId16" w:history="1">
              <w:r w:rsidR="00411BC3" w:rsidRPr="00540E03">
                <w:rPr>
                  <w:rStyle w:val="Hyperlink"/>
                  <w:rFonts w:ascii="Verdana" w:hAnsi="Verdana"/>
                  <w:sz w:val="20"/>
                  <w:szCs w:val="20"/>
                </w:rPr>
                <w:t>Distribution Connection and Use of System Agreement (DCUSA)</w:t>
              </w:r>
            </w:hyperlink>
          </w:p>
        </w:tc>
        <w:tc>
          <w:tcPr>
            <w:tcW w:w="6379" w:type="dxa"/>
            <w:vAlign w:val="center"/>
          </w:tcPr>
          <w:p w14:paraId="48AC21F1" w14:textId="77777777" w:rsidR="00411BC3" w:rsidRPr="00540E03" w:rsidRDefault="00411BC3" w:rsidP="00060404">
            <w:pPr>
              <w:pStyle w:val="NormalWeb"/>
              <w:spacing w:after="0"/>
              <w:jc w:val="both"/>
              <w:rPr>
                <w:rFonts w:ascii="Verdana" w:hAnsi="Verdana" w:cs="Arial"/>
                <w:color w:val="000000"/>
                <w:sz w:val="20"/>
                <w:szCs w:val="20"/>
              </w:rPr>
            </w:pPr>
            <w:r w:rsidRPr="00540E03">
              <w:rPr>
                <w:rFonts w:ascii="Verdana" w:hAnsi="Verdana"/>
                <w:color w:val="000000"/>
                <w:sz w:val="20"/>
                <w:szCs w:val="20"/>
              </w:rPr>
              <w:t>Arrangements and charging methodologies for connection to and use of the electricity distribution networks.</w:t>
            </w:r>
          </w:p>
        </w:tc>
      </w:tr>
      <w:tr w:rsidR="00411BC3" w:rsidRPr="00540E03" w14:paraId="6DE2915E" w14:textId="77777777" w:rsidTr="00060404">
        <w:tc>
          <w:tcPr>
            <w:tcW w:w="3085" w:type="dxa"/>
            <w:vAlign w:val="center"/>
          </w:tcPr>
          <w:p w14:paraId="03F2A7EB" w14:textId="77777777" w:rsidR="00411BC3" w:rsidRPr="00540E03" w:rsidRDefault="00C641EF" w:rsidP="00811A09">
            <w:pPr>
              <w:numPr>
                <w:ilvl w:val="0"/>
                <w:numId w:val="19"/>
              </w:numPr>
              <w:shd w:val="clear" w:color="auto" w:fill="FFFFFF"/>
              <w:spacing w:before="100" w:beforeAutospacing="1"/>
              <w:ind w:left="426"/>
              <w:rPr>
                <w:rFonts w:ascii="Verdana" w:hAnsi="Verdana"/>
                <w:color w:val="000000"/>
                <w:sz w:val="20"/>
                <w:szCs w:val="20"/>
              </w:rPr>
            </w:pPr>
            <w:hyperlink r:id="rId17" w:history="1">
              <w:r w:rsidR="00411BC3" w:rsidRPr="00540E03">
                <w:rPr>
                  <w:rStyle w:val="Hyperlink"/>
                  <w:rFonts w:ascii="Verdana" w:hAnsi="Verdana"/>
                  <w:sz w:val="20"/>
                  <w:szCs w:val="20"/>
                </w:rPr>
                <w:t>Master Registration Agreement (MRA)</w:t>
              </w:r>
            </w:hyperlink>
          </w:p>
        </w:tc>
        <w:tc>
          <w:tcPr>
            <w:tcW w:w="6379" w:type="dxa"/>
            <w:vAlign w:val="center"/>
          </w:tcPr>
          <w:p w14:paraId="0F2086DD" w14:textId="77777777" w:rsidR="00411BC3" w:rsidRPr="00540E03" w:rsidRDefault="00411BC3" w:rsidP="00060404">
            <w:pPr>
              <w:pStyle w:val="NormalWeb"/>
              <w:spacing w:after="0"/>
              <w:jc w:val="both"/>
              <w:rPr>
                <w:rFonts w:ascii="Verdana" w:hAnsi="Verdana" w:cs="Arial"/>
                <w:color w:val="000000"/>
                <w:sz w:val="20"/>
                <w:szCs w:val="20"/>
              </w:rPr>
            </w:pPr>
            <w:r w:rsidRPr="00540E03">
              <w:rPr>
                <w:rFonts w:ascii="Verdana" w:hAnsi="Verdana"/>
                <w:color w:val="000000"/>
                <w:sz w:val="20"/>
                <w:szCs w:val="20"/>
              </w:rPr>
              <w:t>Mechanisms to enable suppliers to transfer customers, including terms for the provision of Metering Point Administration Services Registrations.</w:t>
            </w:r>
          </w:p>
        </w:tc>
      </w:tr>
      <w:tr w:rsidR="00411BC3" w:rsidRPr="00540E03" w14:paraId="683391ED" w14:textId="77777777" w:rsidTr="00060404">
        <w:tc>
          <w:tcPr>
            <w:tcW w:w="3085" w:type="dxa"/>
            <w:vAlign w:val="center"/>
          </w:tcPr>
          <w:p w14:paraId="27EFAF1F" w14:textId="77777777" w:rsidR="00411BC3" w:rsidRPr="00540E03" w:rsidRDefault="00C641EF" w:rsidP="00811A09">
            <w:pPr>
              <w:numPr>
                <w:ilvl w:val="0"/>
                <w:numId w:val="19"/>
              </w:numPr>
              <w:shd w:val="clear" w:color="auto" w:fill="FFFFFF"/>
              <w:spacing w:before="100" w:beforeAutospacing="1"/>
              <w:ind w:left="426"/>
              <w:rPr>
                <w:rFonts w:ascii="Verdana" w:hAnsi="Verdana"/>
                <w:color w:val="000000"/>
                <w:sz w:val="20"/>
                <w:szCs w:val="20"/>
              </w:rPr>
            </w:pPr>
            <w:hyperlink r:id="rId18" w:history="1">
              <w:r w:rsidR="00411BC3" w:rsidRPr="00540E03">
                <w:rPr>
                  <w:rStyle w:val="Hyperlink"/>
                  <w:rFonts w:ascii="Verdana" w:hAnsi="Verdana"/>
                  <w:sz w:val="20"/>
                  <w:szCs w:val="20"/>
                </w:rPr>
                <w:t>Smart Energy Code (SEC)</w:t>
              </w:r>
            </w:hyperlink>
          </w:p>
        </w:tc>
        <w:tc>
          <w:tcPr>
            <w:tcW w:w="6379" w:type="dxa"/>
            <w:vAlign w:val="center"/>
          </w:tcPr>
          <w:p w14:paraId="311E085C" w14:textId="77777777" w:rsidR="00411BC3" w:rsidRPr="00540E03" w:rsidRDefault="00411BC3" w:rsidP="00060404">
            <w:pPr>
              <w:pStyle w:val="NormalWeb"/>
              <w:spacing w:after="0"/>
              <w:jc w:val="both"/>
              <w:rPr>
                <w:rFonts w:ascii="Verdana" w:hAnsi="Verdana" w:cs="Arial"/>
                <w:color w:val="000000"/>
                <w:sz w:val="20"/>
                <w:szCs w:val="20"/>
              </w:rPr>
            </w:pPr>
            <w:r w:rsidRPr="00540E03">
              <w:rPr>
                <w:rFonts w:ascii="Verdana" w:hAnsi="Verdana"/>
                <w:color w:val="000000"/>
                <w:sz w:val="20"/>
                <w:szCs w:val="20"/>
              </w:rPr>
              <w:t>Terms for the provision of the Data Communication Company’s services, and provisions to govern the management of smart metering.</w:t>
            </w:r>
          </w:p>
        </w:tc>
      </w:tr>
    </w:tbl>
    <w:p w14:paraId="1D722F81" w14:textId="77777777" w:rsidR="00411BC3" w:rsidRPr="00540E03" w:rsidRDefault="00411BC3" w:rsidP="00411BC3">
      <w:pPr>
        <w:spacing w:after="0"/>
        <w:jc w:val="both"/>
        <w:rPr>
          <w:rFonts w:ascii="Verdana" w:hAnsi="Verdana"/>
          <w:sz w:val="4"/>
          <w:szCs w:val="4"/>
        </w:rPr>
      </w:pPr>
    </w:p>
    <w:tbl>
      <w:tblPr>
        <w:tblStyle w:val="TableGrid"/>
        <w:tblW w:w="0" w:type="auto"/>
        <w:tblCellMar>
          <w:top w:w="57" w:type="dxa"/>
          <w:bottom w:w="57" w:type="dxa"/>
        </w:tblCellMar>
        <w:tblLook w:val="04A0" w:firstRow="1" w:lastRow="0" w:firstColumn="1" w:lastColumn="0" w:noHBand="0" w:noVBand="1"/>
      </w:tblPr>
      <w:tblGrid>
        <w:gridCol w:w="3060"/>
        <w:gridCol w:w="6290"/>
      </w:tblGrid>
      <w:tr w:rsidR="00411BC3" w:rsidRPr="00540E03" w14:paraId="0F3BD53E" w14:textId="77777777" w:rsidTr="00060404">
        <w:trPr>
          <w:tblHeader/>
        </w:trPr>
        <w:tc>
          <w:tcPr>
            <w:tcW w:w="3085" w:type="dxa"/>
            <w:shd w:val="clear" w:color="auto" w:fill="F2F2F2" w:themeFill="background1" w:themeFillShade="F2"/>
            <w:vAlign w:val="center"/>
          </w:tcPr>
          <w:p w14:paraId="40952BC0" w14:textId="77777777" w:rsidR="00411BC3" w:rsidRPr="00540E03" w:rsidRDefault="00411BC3" w:rsidP="00811A09">
            <w:pPr>
              <w:pStyle w:val="NormalWeb"/>
              <w:spacing w:after="0" w:line="276" w:lineRule="auto"/>
              <w:jc w:val="center"/>
              <w:rPr>
                <w:rFonts w:ascii="Verdana" w:hAnsi="Verdana" w:cs="Arial"/>
                <w:b/>
                <w:color w:val="17365D" w:themeColor="text2" w:themeShade="BF"/>
                <w:sz w:val="20"/>
                <w:szCs w:val="20"/>
              </w:rPr>
            </w:pPr>
            <w:r w:rsidRPr="00540E03">
              <w:rPr>
                <w:rFonts w:ascii="Verdana" w:hAnsi="Verdana" w:cs="Arial"/>
                <w:b/>
                <w:color w:val="17365D" w:themeColor="text2" w:themeShade="BF"/>
                <w:sz w:val="20"/>
                <w:szCs w:val="20"/>
              </w:rPr>
              <w:t>Codes (comply)</w:t>
            </w:r>
          </w:p>
        </w:tc>
        <w:tc>
          <w:tcPr>
            <w:tcW w:w="6379" w:type="dxa"/>
            <w:shd w:val="clear" w:color="auto" w:fill="F2F2F2" w:themeFill="background1" w:themeFillShade="F2"/>
            <w:vAlign w:val="center"/>
          </w:tcPr>
          <w:p w14:paraId="35BC2DF5" w14:textId="77777777" w:rsidR="00411BC3" w:rsidRPr="00540E03" w:rsidRDefault="00411BC3" w:rsidP="00811A09">
            <w:pPr>
              <w:pStyle w:val="NormalWeb"/>
              <w:spacing w:after="0" w:line="276" w:lineRule="auto"/>
              <w:jc w:val="center"/>
              <w:rPr>
                <w:rFonts w:ascii="Verdana" w:hAnsi="Verdana" w:cs="Arial"/>
                <w:b/>
                <w:color w:val="17365D" w:themeColor="text2" w:themeShade="BF"/>
                <w:sz w:val="20"/>
                <w:szCs w:val="20"/>
              </w:rPr>
            </w:pPr>
            <w:r w:rsidRPr="00540E03">
              <w:rPr>
                <w:rFonts w:ascii="Verdana" w:hAnsi="Verdana" w:cs="Arial"/>
                <w:b/>
                <w:color w:val="17365D" w:themeColor="text2" w:themeShade="BF"/>
                <w:sz w:val="20"/>
                <w:szCs w:val="20"/>
              </w:rPr>
              <w:t>Description</w:t>
            </w:r>
          </w:p>
        </w:tc>
      </w:tr>
      <w:tr w:rsidR="00411BC3" w:rsidRPr="00540E03" w14:paraId="4317650F" w14:textId="77777777" w:rsidTr="00060404">
        <w:tc>
          <w:tcPr>
            <w:tcW w:w="3085" w:type="dxa"/>
            <w:vAlign w:val="center"/>
          </w:tcPr>
          <w:p w14:paraId="057058B6" w14:textId="77777777" w:rsidR="00411BC3" w:rsidRPr="00540E03" w:rsidRDefault="00C641EF" w:rsidP="00811A09">
            <w:pPr>
              <w:numPr>
                <w:ilvl w:val="0"/>
                <w:numId w:val="19"/>
              </w:numPr>
              <w:shd w:val="clear" w:color="auto" w:fill="FFFFFF"/>
              <w:spacing w:before="100" w:beforeAutospacing="1"/>
              <w:ind w:left="426"/>
              <w:rPr>
                <w:rFonts w:ascii="Verdana" w:hAnsi="Verdana"/>
                <w:color w:val="000000"/>
                <w:sz w:val="20"/>
                <w:szCs w:val="20"/>
              </w:rPr>
            </w:pPr>
            <w:hyperlink r:id="rId19" w:history="1">
              <w:r w:rsidR="00411BC3" w:rsidRPr="00540E03">
                <w:rPr>
                  <w:rStyle w:val="Hyperlink"/>
                  <w:rFonts w:ascii="Verdana" w:hAnsi="Verdana"/>
                  <w:sz w:val="20"/>
                  <w:szCs w:val="20"/>
                </w:rPr>
                <w:t>Distribution Code</w:t>
              </w:r>
            </w:hyperlink>
          </w:p>
        </w:tc>
        <w:tc>
          <w:tcPr>
            <w:tcW w:w="6379" w:type="dxa"/>
            <w:vAlign w:val="center"/>
          </w:tcPr>
          <w:p w14:paraId="4207DF89" w14:textId="77777777" w:rsidR="00411BC3" w:rsidRPr="00540E03" w:rsidRDefault="00411BC3" w:rsidP="00060404">
            <w:pPr>
              <w:shd w:val="clear" w:color="auto" w:fill="FFFFFF"/>
              <w:jc w:val="both"/>
              <w:rPr>
                <w:rFonts w:ascii="Verdana" w:hAnsi="Verdana" w:cs="Arial"/>
                <w:color w:val="000000"/>
                <w:sz w:val="20"/>
                <w:szCs w:val="20"/>
              </w:rPr>
            </w:pPr>
            <w:r w:rsidRPr="00540E03">
              <w:rPr>
                <w:rFonts w:ascii="Verdana" w:eastAsia="Times New Roman" w:hAnsi="Verdana" w:cs="Times New Roman"/>
                <w:color w:val="000000"/>
                <w:sz w:val="20"/>
                <w:szCs w:val="20"/>
                <w:lang w:eastAsia="en-GB"/>
              </w:rPr>
              <w:t>Technical aspects of the connection and use of distribution networks, including relationship between a distribution licensee and users of its system (for planning / operational purposes, in normal and emergency circumstances).</w:t>
            </w:r>
          </w:p>
        </w:tc>
      </w:tr>
      <w:tr w:rsidR="00411BC3" w:rsidRPr="00540E03" w14:paraId="3C99F3F0" w14:textId="77777777" w:rsidTr="00060404">
        <w:tc>
          <w:tcPr>
            <w:tcW w:w="3085" w:type="dxa"/>
            <w:vAlign w:val="center"/>
          </w:tcPr>
          <w:p w14:paraId="738CC591" w14:textId="77777777" w:rsidR="00411BC3" w:rsidRPr="00540E03" w:rsidRDefault="00C641EF" w:rsidP="00811A09">
            <w:pPr>
              <w:numPr>
                <w:ilvl w:val="0"/>
                <w:numId w:val="19"/>
              </w:numPr>
              <w:shd w:val="clear" w:color="auto" w:fill="FFFFFF"/>
              <w:spacing w:before="100" w:beforeAutospacing="1"/>
              <w:ind w:left="426"/>
              <w:rPr>
                <w:rFonts w:ascii="Verdana" w:hAnsi="Verdana"/>
                <w:color w:val="000000"/>
                <w:sz w:val="20"/>
                <w:szCs w:val="20"/>
              </w:rPr>
            </w:pPr>
            <w:hyperlink r:id="rId20" w:history="1">
              <w:r w:rsidR="00411BC3" w:rsidRPr="00540E03">
                <w:rPr>
                  <w:rStyle w:val="Hyperlink"/>
                  <w:rFonts w:ascii="Verdana" w:hAnsi="Verdana"/>
                  <w:sz w:val="20"/>
                  <w:szCs w:val="20"/>
                </w:rPr>
                <w:t>Grid Code</w:t>
              </w:r>
            </w:hyperlink>
          </w:p>
        </w:tc>
        <w:tc>
          <w:tcPr>
            <w:tcW w:w="6379" w:type="dxa"/>
            <w:vAlign w:val="center"/>
          </w:tcPr>
          <w:p w14:paraId="7A8432B3" w14:textId="77777777" w:rsidR="00411BC3" w:rsidRPr="00540E03" w:rsidRDefault="00411BC3" w:rsidP="00060404">
            <w:pPr>
              <w:pStyle w:val="NormalWeb"/>
              <w:spacing w:after="0"/>
              <w:jc w:val="both"/>
              <w:rPr>
                <w:rFonts w:ascii="Verdana" w:hAnsi="Verdana" w:cs="Arial"/>
                <w:color w:val="000000"/>
                <w:sz w:val="20"/>
                <w:szCs w:val="20"/>
              </w:rPr>
            </w:pPr>
            <w:r w:rsidRPr="00540E03">
              <w:rPr>
                <w:rFonts w:ascii="Verdana" w:hAnsi="Verdana"/>
                <w:color w:val="000000"/>
                <w:sz w:val="20"/>
                <w:szCs w:val="20"/>
              </w:rPr>
              <w:t>Covers all material technical aspects relating to connections to, operation and use of the national electricity transmission system.</w:t>
            </w:r>
          </w:p>
        </w:tc>
      </w:tr>
    </w:tbl>
    <w:p w14:paraId="79302237" w14:textId="77777777" w:rsidR="00411BC3" w:rsidRPr="00540E03" w:rsidRDefault="00411BC3" w:rsidP="00411BC3">
      <w:pPr>
        <w:pStyle w:val="Heading2"/>
        <w:keepNext/>
        <w:keepLines/>
        <w:numPr>
          <w:ilvl w:val="1"/>
          <w:numId w:val="0"/>
        </w:numPr>
        <w:tabs>
          <w:tab w:val="clear" w:pos="2581"/>
        </w:tabs>
        <w:spacing w:before="360" w:after="120" w:line="276" w:lineRule="auto"/>
        <w:ind w:left="576" w:hanging="576"/>
        <w:jc w:val="both"/>
        <w:rPr>
          <w:color w:val="17365D" w:themeColor="text2" w:themeShade="BF"/>
          <w:sz w:val="20"/>
          <w:szCs w:val="20"/>
        </w:rPr>
      </w:pPr>
      <w:r w:rsidRPr="00540E03">
        <w:rPr>
          <w:color w:val="17365D" w:themeColor="text2" w:themeShade="BF"/>
          <w:sz w:val="20"/>
          <w:szCs w:val="20"/>
        </w:rPr>
        <w:lastRenderedPageBreak/>
        <w:t>Licence Lite</w:t>
      </w:r>
    </w:p>
    <w:p w14:paraId="469D84A0" w14:textId="446830F0" w:rsidR="00411BC3" w:rsidRPr="00540E03" w:rsidRDefault="00411BC3" w:rsidP="00411BC3">
      <w:pPr>
        <w:pStyle w:val="Default"/>
        <w:numPr>
          <w:ilvl w:val="0"/>
          <w:numId w:val="23"/>
        </w:numPr>
        <w:spacing w:after="200" w:line="276" w:lineRule="auto"/>
        <w:jc w:val="both"/>
        <w:rPr>
          <w:sz w:val="20"/>
          <w:szCs w:val="20"/>
        </w:rPr>
      </w:pPr>
      <w:r w:rsidRPr="00540E03">
        <w:rPr>
          <w:sz w:val="20"/>
          <w:szCs w:val="20"/>
        </w:rPr>
        <w:t>Licence Lite</w:t>
      </w:r>
      <w:r w:rsidRPr="00540E03">
        <w:rPr>
          <w:rStyle w:val="FootnoteReference"/>
        </w:rPr>
        <w:footnoteReference w:id="11"/>
      </w:r>
      <w:r w:rsidRPr="00540E03">
        <w:rPr>
          <w:sz w:val="20"/>
          <w:szCs w:val="20"/>
        </w:rPr>
        <w:t xml:space="preserve"> is an option available to electricity suppliers. It was </w:t>
      </w:r>
      <w:r w:rsidR="00BB2AA3" w:rsidRPr="00540E03">
        <w:rPr>
          <w:sz w:val="20"/>
          <w:szCs w:val="20"/>
        </w:rPr>
        <w:t xml:space="preserve">originally </w:t>
      </w:r>
      <w:r w:rsidRPr="00540E03">
        <w:rPr>
          <w:sz w:val="20"/>
          <w:szCs w:val="20"/>
        </w:rPr>
        <w:t>developed for independent generators seeking to enter the electricity supply market. It was designed to help new (often smaller parties) meet the high-cost and high-competency elements of the supply licence</w:t>
      </w:r>
      <w:r w:rsidR="00BB2AA3" w:rsidRPr="00540E03">
        <w:rPr>
          <w:sz w:val="20"/>
          <w:szCs w:val="20"/>
        </w:rPr>
        <w:t>. The r</w:t>
      </w:r>
      <w:r w:rsidRPr="00540E03">
        <w:rPr>
          <w:sz w:val="20"/>
          <w:szCs w:val="20"/>
        </w:rPr>
        <w:t xml:space="preserve">egulatory costs incurred from complying with the industry codes are not </w:t>
      </w:r>
      <w:r w:rsidR="00710088" w:rsidRPr="00540E03">
        <w:rPr>
          <w:sz w:val="20"/>
          <w:szCs w:val="20"/>
        </w:rPr>
        <w:t>scalable;</w:t>
      </w:r>
      <w:r w:rsidRPr="00540E03">
        <w:rPr>
          <w:sz w:val="20"/>
          <w:szCs w:val="20"/>
        </w:rPr>
        <w:t xml:space="preserve"> often require significant up-front investment and ongoing resourcing which, for small entrants, adds major overheads.  </w:t>
      </w:r>
    </w:p>
    <w:p w14:paraId="29592176" w14:textId="77777777" w:rsidR="00AD66E2" w:rsidRPr="00540E03" w:rsidRDefault="00411BC3" w:rsidP="00EB215A">
      <w:pPr>
        <w:pStyle w:val="ListParagraph"/>
        <w:numPr>
          <w:ilvl w:val="0"/>
          <w:numId w:val="23"/>
        </w:numPr>
        <w:jc w:val="both"/>
        <w:rPr>
          <w:rFonts w:ascii="Verdana" w:hAnsi="Verdana"/>
          <w:sz w:val="20"/>
          <w:szCs w:val="20"/>
        </w:rPr>
      </w:pPr>
      <w:r w:rsidRPr="00540E03">
        <w:rPr>
          <w:rFonts w:ascii="Verdana" w:hAnsi="Verdana"/>
          <w:sz w:val="20"/>
          <w:szCs w:val="20"/>
        </w:rPr>
        <w:t xml:space="preserve">Licence Lite allows a licensed </w:t>
      </w:r>
      <w:r w:rsidR="00AF0765" w:rsidRPr="00540E03">
        <w:rPr>
          <w:rFonts w:ascii="Verdana" w:hAnsi="Verdana"/>
          <w:sz w:val="20"/>
          <w:szCs w:val="20"/>
        </w:rPr>
        <w:t xml:space="preserve">electricity </w:t>
      </w:r>
      <w:r w:rsidRPr="00540E03">
        <w:rPr>
          <w:rFonts w:ascii="Verdana" w:hAnsi="Verdana"/>
          <w:sz w:val="20"/>
          <w:szCs w:val="20"/>
        </w:rPr>
        <w:t xml:space="preserve">supplier to enter into an agreement with another third party licensed supplier (TPLS) to take care of complying with some of the more costly and technically challenging elements of the supply licence. </w:t>
      </w:r>
    </w:p>
    <w:p w14:paraId="792DB389" w14:textId="77777777" w:rsidR="00AD66E2" w:rsidRPr="00540E03" w:rsidRDefault="00AD66E2" w:rsidP="00AD66E2">
      <w:pPr>
        <w:pStyle w:val="ListParagraph"/>
        <w:ind w:left="360"/>
        <w:jc w:val="both"/>
        <w:rPr>
          <w:rFonts w:ascii="Verdana" w:hAnsi="Verdana"/>
          <w:sz w:val="20"/>
          <w:szCs w:val="20"/>
        </w:rPr>
      </w:pPr>
    </w:p>
    <w:p w14:paraId="00EBF0E3" w14:textId="3875DA70" w:rsidR="00EB215A" w:rsidRPr="00540E03" w:rsidRDefault="00411BC3" w:rsidP="00EB215A">
      <w:pPr>
        <w:pStyle w:val="ListParagraph"/>
        <w:numPr>
          <w:ilvl w:val="0"/>
          <w:numId w:val="23"/>
        </w:numPr>
        <w:jc w:val="both"/>
        <w:rPr>
          <w:rFonts w:ascii="Verdana" w:hAnsi="Verdana"/>
          <w:sz w:val="20"/>
          <w:szCs w:val="20"/>
        </w:rPr>
      </w:pPr>
      <w:r w:rsidRPr="00540E03">
        <w:rPr>
          <w:rFonts w:ascii="Verdana" w:hAnsi="Verdana"/>
          <w:sz w:val="20"/>
          <w:szCs w:val="20"/>
        </w:rPr>
        <w:t xml:space="preserve">An aspiring Licence Lite supplier (LLS) would apply for an electricity supply licence along with a request for a Licence Lite direction. The direction relieves the LLS </w:t>
      </w:r>
      <w:r w:rsidR="00BB2AA3" w:rsidRPr="00540E03">
        <w:rPr>
          <w:rFonts w:ascii="Verdana" w:hAnsi="Verdana"/>
          <w:sz w:val="20"/>
          <w:szCs w:val="20"/>
        </w:rPr>
        <w:t>of</w:t>
      </w:r>
      <w:r w:rsidRPr="00540E03">
        <w:rPr>
          <w:rFonts w:ascii="Verdana" w:hAnsi="Verdana"/>
          <w:sz w:val="20"/>
          <w:szCs w:val="20"/>
        </w:rPr>
        <w:t xml:space="preserve"> the obligation to be a party to the industry codes set out at SLC11.2</w:t>
      </w:r>
      <w:r w:rsidR="00EB215A" w:rsidRPr="00540E03">
        <w:rPr>
          <w:rFonts w:ascii="Verdana" w:hAnsi="Verdana"/>
          <w:sz w:val="20"/>
          <w:szCs w:val="20"/>
        </w:rPr>
        <w:t xml:space="preserve"> </w:t>
      </w:r>
      <w:r w:rsidRPr="00540E03">
        <w:rPr>
          <w:rFonts w:ascii="Verdana" w:hAnsi="Verdana"/>
          <w:sz w:val="20"/>
          <w:szCs w:val="20"/>
        </w:rPr>
        <w:t>of the supply licence</w:t>
      </w:r>
      <w:r w:rsidR="00EB215A" w:rsidRPr="00540E03">
        <w:rPr>
          <w:rFonts w:ascii="Verdana" w:hAnsi="Verdana"/>
          <w:sz w:val="20"/>
          <w:szCs w:val="20"/>
        </w:rPr>
        <w:t xml:space="preserve"> (</w:t>
      </w:r>
      <w:r w:rsidR="005079D8" w:rsidRPr="00540E03">
        <w:rPr>
          <w:rFonts w:ascii="Verdana" w:hAnsi="Verdana"/>
          <w:sz w:val="20"/>
          <w:szCs w:val="20"/>
        </w:rPr>
        <w:t xml:space="preserve">as </w:t>
      </w:r>
      <w:r w:rsidR="00EB215A" w:rsidRPr="00540E03">
        <w:rPr>
          <w:rFonts w:ascii="Verdana" w:hAnsi="Verdana"/>
          <w:sz w:val="20"/>
          <w:szCs w:val="20"/>
        </w:rPr>
        <w:t>listed</w:t>
      </w:r>
      <w:r w:rsidR="005079D8" w:rsidRPr="00540E03">
        <w:rPr>
          <w:rFonts w:ascii="Verdana" w:hAnsi="Verdana"/>
          <w:sz w:val="20"/>
          <w:szCs w:val="20"/>
        </w:rPr>
        <w:t xml:space="preserve"> below</w:t>
      </w:r>
      <w:r w:rsidR="00EB215A" w:rsidRPr="00540E03">
        <w:rPr>
          <w:rFonts w:ascii="Verdana" w:hAnsi="Verdana"/>
          <w:sz w:val="20"/>
          <w:szCs w:val="20"/>
        </w:rPr>
        <w:t>)</w:t>
      </w:r>
      <w:r w:rsidRPr="00540E03">
        <w:rPr>
          <w:rFonts w:ascii="Verdana" w:hAnsi="Verdana"/>
          <w:sz w:val="20"/>
          <w:szCs w:val="20"/>
        </w:rPr>
        <w:t xml:space="preserve">. The LLS </w:t>
      </w:r>
      <w:r w:rsidR="00FB396E" w:rsidRPr="00540E03">
        <w:rPr>
          <w:rFonts w:ascii="Verdana" w:hAnsi="Verdana"/>
          <w:sz w:val="20"/>
          <w:szCs w:val="20"/>
        </w:rPr>
        <w:t>is</w:t>
      </w:r>
      <w:r w:rsidRPr="00540E03">
        <w:rPr>
          <w:rFonts w:ascii="Verdana" w:hAnsi="Verdana"/>
          <w:sz w:val="20"/>
          <w:szCs w:val="20"/>
        </w:rPr>
        <w:t xml:space="preserve"> required to comply with all other licence conditions</w:t>
      </w:r>
      <w:r w:rsidR="00FB396E" w:rsidRPr="00540E03">
        <w:rPr>
          <w:rFonts w:ascii="Verdana" w:hAnsi="Verdana"/>
          <w:sz w:val="20"/>
          <w:szCs w:val="20"/>
        </w:rPr>
        <w:t xml:space="preserve"> and obligations</w:t>
      </w:r>
      <w:r w:rsidRPr="00540E03">
        <w:rPr>
          <w:rFonts w:ascii="Verdana" w:hAnsi="Verdana"/>
          <w:sz w:val="20"/>
          <w:szCs w:val="20"/>
        </w:rPr>
        <w:t>.</w:t>
      </w:r>
    </w:p>
    <w:p w14:paraId="36D1836C" w14:textId="77777777" w:rsidR="00EB215A" w:rsidRPr="00540E03" w:rsidRDefault="00EB215A" w:rsidP="00EB215A">
      <w:pPr>
        <w:pStyle w:val="ListParagraph"/>
        <w:ind w:left="360"/>
        <w:jc w:val="both"/>
        <w:rPr>
          <w:rFonts w:ascii="Verdana" w:hAnsi="Verdana"/>
          <w:sz w:val="20"/>
          <w:szCs w:val="20"/>
        </w:rPr>
      </w:pPr>
    </w:p>
    <w:p w14:paraId="2048710E" w14:textId="2D59BAA1" w:rsidR="005079D8" w:rsidRPr="00540E03" w:rsidRDefault="005079D8" w:rsidP="00EB215A">
      <w:pPr>
        <w:pStyle w:val="ListParagraph"/>
        <w:numPr>
          <w:ilvl w:val="0"/>
          <w:numId w:val="23"/>
        </w:numPr>
        <w:jc w:val="both"/>
        <w:rPr>
          <w:rFonts w:ascii="Verdana" w:hAnsi="Verdana"/>
          <w:sz w:val="20"/>
          <w:szCs w:val="20"/>
        </w:rPr>
      </w:pPr>
      <w:r w:rsidRPr="00540E03">
        <w:rPr>
          <w:rFonts w:ascii="Verdana" w:hAnsi="Verdana"/>
          <w:sz w:val="20"/>
          <w:szCs w:val="20"/>
        </w:rPr>
        <w:t>The SLC11.2 codes are</w:t>
      </w:r>
      <w:r w:rsidR="00FB396E" w:rsidRPr="00540E03">
        <w:rPr>
          <w:rFonts w:ascii="Verdana" w:hAnsi="Verdana"/>
          <w:sz w:val="20"/>
          <w:szCs w:val="20"/>
        </w:rPr>
        <w:t xml:space="preserve"> detailed below. Links to the codes and their administrators can be found in the table at paragraph 13</w:t>
      </w:r>
      <w:r w:rsidRPr="00540E03">
        <w:rPr>
          <w:rFonts w:ascii="Verdana" w:hAnsi="Verdana"/>
          <w:sz w:val="20"/>
          <w:szCs w:val="20"/>
        </w:rPr>
        <w:t>:</w:t>
      </w:r>
    </w:p>
    <w:p w14:paraId="6CEC250D" w14:textId="64788E63" w:rsidR="00302998" w:rsidRPr="00540E03" w:rsidRDefault="00302998" w:rsidP="00302998">
      <w:pPr>
        <w:pStyle w:val="ListParagraph"/>
        <w:rPr>
          <w:rFonts w:ascii="Verdana" w:hAnsi="Verdana"/>
          <w:sz w:val="8"/>
          <w:szCs w:val="8"/>
        </w:rPr>
      </w:pPr>
    </w:p>
    <w:p w14:paraId="2A2E2232" w14:textId="77777777" w:rsidR="00EB215A" w:rsidRPr="00540E03" w:rsidRDefault="00EB215A" w:rsidP="00302998">
      <w:pPr>
        <w:pStyle w:val="ListParagraph"/>
        <w:numPr>
          <w:ilvl w:val="0"/>
          <w:numId w:val="33"/>
        </w:numPr>
        <w:spacing w:before="240" w:after="120"/>
        <w:ind w:left="714" w:hanging="357"/>
        <w:contextualSpacing w:val="0"/>
        <w:jc w:val="both"/>
        <w:rPr>
          <w:rFonts w:ascii="Verdana" w:hAnsi="Verdana"/>
          <w:sz w:val="20"/>
          <w:szCs w:val="20"/>
        </w:rPr>
      </w:pPr>
      <w:r w:rsidRPr="00540E03">
        <w:rPr>
          <w:rFonts w:ascii="Verdana" w:hAnsi="Verdana"/>
          <w:sz w:val="20"/>
          <w:szCs w:val="20"/>
        </w:rPr>
        <w:t>Master Registration Agreement (MRA).</w:t>
      </w:r>
    </w:p>
    <w:p w14:paraId="37295C36" w14:textId="48767D32" w:rsidR="00EB215A" w:rsidRPr="00540E03" w:rsidRDefault="00EB215A" w:rsidP="00EB215A">
      <w:pPr>
        <w:pStyle w:val="ListParagraph"/>
        <w:numPr>
          <w:ilvl w:val="0"/>
          <w:numId w:val="33"/>
        </w:numPr>
        <w:spacing w:after="120"/>
        <w:ind w:left="714" w:hanging="357"/>
        <w:contextualSpacing w:val="0"/>
        <w:jc w:val="both"/>
        <w:rPr>
          <w:rFonts w:ascii="Verdana" w:hAnsi="Verdana"/>
          <w:sz w:val="20"/>
          <w:szCs w:val="20"/>
        </w:rPr>
      </w:pPr>
      <w:r w:rsidRPr="00540E03">
        <w:rPr>
          <w:rFonts w:ascii="Verdana" w:hAnsi="Verdana"/>
          <w:sz w:val="20"/>
          <w:szCs w:val="20"/>
        </w:rPr>
        <w:t>Distribution Connection and Use of System Agreement (DCUSA).</w:t>
      </w:r>
    </w:p>
    <w:p w14:paraId="23E608FC" w14:textId="77777777" w:rsidR="00EB215A" w:rsidRPr="00540E03" w:rsidRDefault="00EB215A" w:rsidP="00EB215A">
      <w:pPr>
        <w:pStyle w:val="ListParagraph"/>
        <w:numPr>
          <w:ilvl w:val="0"/>
          <w:numId w:val="33"/>
        </w:numPr>
        <w:spacing w:after="120"/>
        <w:ind w:left="714" w:hanging="357"/>
        <w:contextualSpacing w:val="0"/>
        <w:jc w:val="both"/>
        <w:rPr>
          <w:rFonts w:ascii="Verdana" w:hAnsi="Verdana"/>
          <w:sz w:val="20"/>
          <w:szCs w:val="20"/>
        </w:rPr>
      </w:pPr>
      <w:r w:rsidRPr="00540E03">
        <w:rPr>
          <w:rFonts w:ascii="Verdana" w:hAnsi="Verdana"/>
          <w:sz w:val="20"/>
          <w:szCs w:val="20"/>
        </w:rPr>
        <w:t>Connection and Use of System Code (CUSC).</w:t>
      </w:r>
    </w:p>
    <w:p w14:paraId="23F5D6A7" w14:textId="762BE749" w:rsidR="00411BC3" w:rsidRPr="00540E03" w:rsidRDefault="00EB215A" w:rsidP="00EB215A">
      <w:pPr>
        <w:pStyle w:val="ListParagraph"/>
        <w:numPr>
          <w:ilvl w:val="0"/>
          <w:numId w:val="33"/>
        </w:numPr>
        <w:spacing w:after="120"/>
        <w:ind w:left="714" w:hanging="357"/>
        <w:contextualSpacing w:val="0"/>
        <w:jc w:val="both"/>
        <w:rPr>
          <w:rFonts w:ascii="Verdana" w:hAnsi="Verdana"/>
          <w:sz w:val="20"/>
          <w:szCs w:val="20"/>
        </w:rPr>
      </w:pPr>
      <w:r w:rsidRPr="00540E03">
        <w:rPr>
          <w:rFonts w:ascii="Verdana" w:hAnsi="Verdana"/>
          <w:sz w:val="20"/>
          <w:szCs w:val="20"/>
        </w:rPr>
        <w:t>Balancing and Settlement Code (BSC).</w:t>
      </w:r>
    </w:p>
    <w:p w14:paraId="2938870E" w14:textId="7D1C8A85" w:rsidR="00411BC3" w:rsidRPr="00540E03" w:rsidRDefault="00411BC3" w:rsidP="00EB215A">
      <w:pPr>
        <w:pStyle w:val="Default"/>
        <w:numPr>
          <w:ilvl w:val="0"/>
          <w:numId w:val="23"/>
        </w:numPr>
        <w:spacing w:before="200" w:after="200" w:line="276" w:lineRule="auto"/>
        <w:jc w:val="both"/>
        <w:rPr>
          <w:sz w:val="20"/>
          <w:szCs w:val="20"/>
        </w:rPr>
      </w:pPr>
      <w:r w:rsidRPr="00540E03">
        <w:rPr>
          <w:sz w:val="20"/>
          <w:szCs w:val="20"/>
        </w:rPr>
        <w:t xml:space="preserve">To secure a direction, the LLS would need to have a robust commercial agreement (known as a Supplier Services Agreement – SSA) with a TPLS to deliver their responsibilities under SLC11.2. The Licence Lite Guidance sets out what the SSA must </w:t>
      </w:r>
      <w:r w:rsidR="00EE1AA0" w:rsidRPr="00540E03">
        <w:rPr>
          <w:sz w:val="20"/>
          <w:szCs w:val="20"/>
        </w:rPr>
        <w:t>contain</w:t>
      </w:r>
      <w:r w:rsidRPr="00540E03">
        <w:rPr>
          <w:sz w:val="20"/>
          <w:szCs w:val="20"/>
        </w:rPr>
        <w:t xml:space="preserve">. The type of requirements it must cover include: </w:t>
      </w:r>
    </w:p>
    <w:p w14:paraId="78A1FB60" w14:textId="77777777" w:rsidR="00411BC3" w:rsidRPr="00540E03" w:rsidRDefault="00411BC3" w:rsidP="00411BC3">
      <w:pPr>
        <w:pStyle w:val="ListParagraph"/>
        <w:numPr>
          <w:ilvl w:val="0"/>
          <w:numId w:val="20"/>
        </w:numPr>
        <w:spacing w:after="120"/>
        <w:ind w:left="714" w:hanging="357"/>
        <w:contextualSpacing w:val="0"/>
        <w:jc w:val="both"/>
        <w:rPr>
          <w:rFonts w:ascii="Verdana" w:hAnsi="Verdana"/>
          <w:sz w:val="20"/>
          <w:szCs w:val="20"/>
        </w:rPr>
      </w:pPr>
      <w:r w:rsidRPr="00540E03">
        <w:rPr>
          <w:rFonts w:ascii="Verdana" w:hAnsi="Verdana"/>
          <w:sz w:val="20"/>
          <w:szCs w:val="20"/>
        </w:rPr>
        <w:t>Legal basis of the relationship between the suppliers.</w:t>
      </w:r>
    </w:p>
    <w:p w14:paraId="7935832A" w14:textId="77777777" w:rsidR="00411BC3" w:rsidRPr="00540E03" w:rsidRDefault="00411BC3" w:rsidP="00411BC3">
      <w:pPr>
        <w:pStyle w:val="ListParagraph"/>
        <w:numPr>
          <w:ilvl w:val="0"/>
          <w:numId w:val="20"/>
        </w:numPr>
        <w:spacing w:after="120"/>
        <w:ind w:left="714" w:hanging="357"/>
        <w:contextualSpacing w:val="0"/>
        <w:jc w:val="both"/>
        <w:rPr>
          <w:rFonts w:ascii="Verdana" w:hAnsi="Verdana"/>
          <w:sz w:val="20"/>
          <w:szCs w:val="20"/>
        </w:rPr>
      </w:pPr>
      <w:r w:rsidRPr="00540E03">
        <w:rPr>
          <w:rFonts w:ascii="Verdana" w:hAnsi="Verdana"/>
          <w:sz w:val="20"/>
          <w:szCs w:val="20"/>
        </w:rPr>
        <w:t>Duration of the agreement.</w:t>
      </w:r>
    </w:p>
    <w:p w14:paraId="14F5D4AD" w14:textId="77777777" w:rsidR="00411BC3" w:rsidRPr="00540E03" w:rsidRDefault="00411BC3" w:rsidP="00411BC3">
      <w:pPr>
        <w:pStyle w:val="ListParagraph"/>
        <w:numPr>
          <w:ilvl w:val="0"/>
          <w:numId w:val="20"/>
        </w:numPr>
        <w:spacing w:after="120"/>
        <w:ind w:left="714" w:hanging="357"/>
        <w:contextualSpacing w:val="0"/>
        <w:jc w:val="both"/>
        <w:rPr>
          <w:rFonts w:ascii="Verdana" w:hAnsi="Verdana"/>
          <w:sz w:val="20"/>
          <w:szCs w:val="20"/>
        </w:rPr>
      </w:pPr>
      <w:r w:rsidRPr="00540E03">
        <w:rPr>
          <w:rFonts w:ascii="Verdana" w:hAnsi="Verdana"/>
          <w:sz w:val="20"/>
          <w:szCs w:val="20"/>
        </w:rPr>
        <w:t>Service specification.</w:t>
      </w:r>
    </w:p>
    <w:p w14:paraId="35ECB269" w14:textId="77777777" w:rsidR="00411BC3" w:rsidRPr="00540E03" w:rsidRDefault="00411BC3" w:rsidP="00411BC3">
      <w:pPr>
        <w:pStyle w:val="ListParagraph"/>
        <w:numPr>
          <w:ilvl w:val="0"/>
          <w:numId w:val="20"/>
        </w:numPr>
        <w:spacing w:after="120"/>
        <w:ind w:left="714" w:hanging="357"/>
        <w:contextualSpacing w:val="0"/>
        <w:jc w:val="both"/>
        <w:rPr>
          <w:rFonts w:ascii="Verdana" w:hAnsi="Verdana"/>
          <w:sz w:val="20"/>
          <w:szCs w:val="20"/>
        </w:rPr>
      </w:pPr>
      <w:r w:rsidRPr="00540E03">
        <w:rPr>
          <w:rFonts w:ascii="Verdana" w:hAnsi="Verdana"/>
          <w:sz w:val="20"/>
          <w:szCs w:val="20"/>
        </w:rPr>
        <w:t>Responsibilities and obligations of both the LLS and TPLS.</w:t>
      </w:r>
    </w:p>
    <w:p w14:paraId="54853D83" w14:textId="77777777" w:rsidR="00411BC3" w:rsidRPr="00540E03" w:rsidRDefault="00411BC3" w:rsidP="00411BC3">
      <w:pPr>
        <w:pStyle w:val="ListParagraph"/>
        <w:numPr>
          <w:ilvl w:val="0"/>
          <w:numId w:val="20"/>
        </w:numPr>
        <w:spacing w:after="120"/>
        <w:ind w:left="714" w:hanging="357"/>
        <w:contextualSpacing w:val="0"/>
        <w:jc w:val="both"/>
        <w:rPr>
          <w:rFonts w:ascii="Verdana" w:hAnsi="Verdana"/>
          <w:sz w:val="20"/>
          <w:szCs w:val="20"/>
        </w:rPr>
      </w:pPr>
      <w:r w:rsidRPr="00540E03">
        <w:rPr>
          <w:rFonts w:ascii="Verdana" w:hAnsi="Verdana"/>
          <w:sz w:val="20"/>
          <w:szCs w:val="20"/>
        </w:rPr>
        <w:lastRenderedPageBreak/>
        <w:t xml:space="preserve">Arrangements to identify the LLS’ supply points / volumes in industry systems. </w:t>
      </w:r>
    </w:p>
    <w:p w14:paraId="16959C7D" w14:textId="77777777" w:rsidR="00411BC3" w:rsidRPr="00540E03" w:rsidRDefault="00411BC3" w:rsidP="00411BC3">
      <w:pPr>
        <w:pStyle w:val="ListParagraph"/>
        <w:numPr>
          <w:ilvl w:val="0"/>
          <w:numId w:val="20"/>
        </w:numPr>
        <w:spacing w:after="120"/>
        <w:ind w:left="714" w:hanging="357"/>
        <w:contextualSpacing w:val="0"/>
        <w:jc w:val="both"/>
        <w:rPr>
          <w:rFonts w:ascii="Verdana" w:hAnsi="Verdana"/>
          <w:sz w:val="20"/>
          <w:szCs w:val="20"/>
        </w:rPr>
      </w:pPr>
      <w:r w:rsidRPr="00540E03">
        <w:rPr>
          <w:rFonts w:ascii="Verdana" w:hAnsi="Verdana"/>
          <w:sz w:val="20"/>
          <w:szCs w:val="20"/>
        </w:rPr>
        <w:t xml:space="preserve">Information exchange and data protection arrangements. </w:t>
      </w:r>
    </w:p>
    <w:p w14:paraId="04A12F58" w14:textId="77777777" w:rsidR="00411BC3" w:rsidRPr="00540E03" w:rsidRDefault="00411BC3" w:rsidP="00411BC3">
      <w:pPr>
        <w:pStyle w:val="ListParagraph"/>
        <w:numPr>
          <w:ilvl w:val="0"/>
          <w:numId w:val="20"/>
        </w:numPr>
        <w:spacing w:after="240"/>
        <w:ind w:left="714" w:hanging="357"/>
        <w:contextualSpacing w:val="0"/>
        <w:jc w:val="both"/>
        <w:rPr>
          <w:rFonts w:ascii="Verdana" w:hAnsi="Verdana"/>
          <w:sz w:val="20"/>
          <w:szCs w:val="20"/>
        </w:rPr>
      </w:pPr>
      <w:r w:rsidRPr="00540E03">
        <w:rPr>
          <w:rFonts w:ascii="Verdana" w:hAnsi="Verdana"/>
          <w:sz w:val="20"/>
          <w:szCs w:val="20"/>
        </w:rPr>
        <w:t>Payment arrangements and dispute resolution.</w:t>
      </w:r>
    </w:p>
    <w:p w14:paraId="00A02C42" w14:textId="75FFEAE1" w:rsidR="00411BC3" w:rsidRPr="00540E03" w:rsidRDefault="00411BC3" w:rsidP="00411BC3">
      <w:pPr>
        <w:pStyle w:val="Heading2"/>
        <w:keepNext/>
        <w:keepLines/>
        <w:numPr>
          <w:ilvl w:val="1"/>
          <w:numId w:val="0"/>
        </w:numPr>
        <w:tabs>
          <w:tab w:val="clear" w:pos="2581"/>
        </w:tabs>
        <w:spacing w:before="360" w:after="120" w:line="276" w:lineRule="auto"/>
        <w:ind w:left="576" w:hanging="576"/>
        <w:jc w:val="both"/>
        <w:rPr>
          <w:color w:val="17365D" w:themeColor="text2" w:themeShade="BF"/>
          <w:sz w:val="20"/>
          <w:szCs w:val="20"/>
        </w:rPr>
      </w:pPr>
      <w:r w:rsidRPr="00540E03">
        <w:rPr>
          <w:color w:val="17365D" w:themeColor="text2" w:themeShade="BF"/>
          <w:sz w:val="20"/>
          <w:szCs w:val="20"/>
        </w:rPr>
        <w:t xml:space="preserve">Exempt </w:t>
      </w:r>
      <w:r w:rsidR="00BB2AA3" w:rsidRPr="00540E03">
        <w:rPr>
          <w:color w:val="17365D" w:themeColor="text2" w:themeShade="BF"/>
          <w:sz w:val="20"/>
          <w:szCs w:val="20"/>
        </w:rPr>
        <w:t>e</w:t>
      </w:r>
      <w:r w:rsidRPr="00540E03">
        <w:rPr>
          <w:color w:val="17365D" w:themeColor="text2" w:themeShade="BF"/>
          <w:sz w:val="20"/>
          <w:szCs w:val="20"/>
        </w:rPr>
        <w:t xml:space="preserve">lectricity </w:t>
      </w:r>
      <w:r w:rsidR="00BB2AA3" w:rsidRPr="00540E03">
        <w:rPr>
          <w:color w:val="17365D" w:themeColor="text2" w:themeShade="BF"/>
          <w:sz w:val="20"/>
          <w:szCs w:val="20"/>
        </w:rPr>
        <w:t>s</w:t>
      </w:r>
      <w:r w:rsidRPr="00540E03">
        <w:rPr>
          <w:color w:val="17365D" w:themeColor="text2" w:themeShade="BF"/>
          <w:sz w:val="20"/>
          <w:szCs w:val="20"/>
        </w:rPr>
        <w:t>upply (no licence)</w:t>
      </w:r>
    </w:p>
    <w:p w14:paraId="1BCEA164" w14:textId="6DC18EA8" w:rsidR="00411BC3" w:rsidRPr="00540E03" w:rsidRDefault="00411BC3" w:rsidP="00411BC3">
      <w:pPr>
        <w:pStyle w:val="ListParagraph"/>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 xml:space="preserve">The Electricity Act 1989 allows electricity companies, who meet certain criteria, to be exempt from having an electricity generation, transmission, distribution or supply licence. These arrangements are </w:t>
      </w:r>
      <w:r w:rsidR="00710088" w:rsidRPr="00540E03">
        <w:rPr>
          <w:rFonts w:ascii="Verdana" w:hAnsi="Verdana"/>
          <w:sz w:val="20"/>
          <w:szCs w:val="20"/>
        </w:rPr>
        <w:t>set out</w:t>
      </w:r>
      <w:r w:rsidRPr="00540E03">
        <w:rPr>
          <w:rFonts w:ascii="Verdana" w:hAnsi="Verdana"/>
          <w:sz w:val="20"/>
          <w:szCs w:val="20"/>
        </w:rPr>
        <w:t xml:space="preserve"> in the Electricity (Class Exemptions from the Requirement for a Licence) Order 2001. A summary of </w:t>
      </w:r>
      <w:r w:rsidR="00BB2AA3" w:rsidRPr="00540E03">
        <w:rPr>
          <w:rFonts w:ascii="Verdana" w:hAnsi="Verdana"/>
          <w:sz w:val="20"/>
          <w:szCs w:val="20"/>
        </w:rPr>
        <w:t xml:space="preserve">these </w:t>
      </w:r>
      <w:r w:rsidRPr="00540E03">
        <w:rPr>
          <w:rFonts w:ascii="Verdana" w:hAnsi="Verdana"/>
          <w:sz w:val="20"/>
          <w:szCs w:val="20"/>
        </w:rPr>
        <w:t xml:space="preserve">arrangements and responses to frequently asked questions was published in 2013 </w:t>
      </w:r>
      <w:r w:rsidR="00FB396E" w:rsidRPr="00540E03">
        <w:rPr>
          <w:rFonts w:ascii="Verdana" w:hAnsi="Verdana"/>
          <w:sz w:val="20"/>
          <w:szCs w:val="20"/>
        </w:rPr>
        <w:t xml:space="preserve">(updated June 2017) </w:t>
      </w:r>
      <w:r w:rsidRPr="00540E03">
        <w:rPr>
          <w:rFonts w:ascii="Verdana" w:hAnsi="Verdana"/>
          <w:sz w:val="20"/>
          <w:szCs w:val="20"/>
        </w:rPr>
        <w:t>by the then Department for Energy and Climate Change</w:t>
      </w:r>
      <w:r w:rsidRPr="00540E03">
        <w:rPr>
          <w:rStyle w:val="FootnoteReference"/>
        </w:rPr>
        <w:footnoteReference w:id="12"/>
      </w:r>
      <w:r w:rsidRPr="00540E03">
        <w:rPr>
          <w:rFonts w:ascii="Verdana" w:hAnsi="Verdana"/>
          <w:sz w:val="20"/>
          <w:szCs w:val="20"/>
        </w:rPr>
        <w:t xml:space="preserve"> (now the Department for Business, Enterprise and Industrial Strategy – BEIS). </w:t>
      </w:r>
    </w:p>
    <w:p w14:paraId="611242C2" w14:textId="77777777" w:rsidR="00411BC3" w:rsidRPr="00540E03" w:rsidRDefault="00411BC3" w:rsidP="00411BC3">
      <w:pPr>
        <w:autoSpaceDE w:val="0"/>
        <w:autoSpaceDN w:val="0"/>
        <w:adjustRightInd w:val="0"/>
        <w:spacing w:after="0"/>
        <w:jc w:val="both"/>
        <w:rPr>
          <w:rFonts w:ascii="Verdana" w:hAnsi="Verdana"/>
          <w:sz w:val="20"/>
          <w:szCs w:val="20"/>
        </w:rPr>
      </w:pPr>
    </w:p>
    <w:p w14:paraId="1497F21F" w14:textId="76EF7CAE" w:rsidR="00411BC3" w:rsidRPr="00540E03" w:rsidRDefault="00411BC3" w:rsidP="00411BC3">
      <w:pPr>
        <w:pStyle w:val="ListParagraph"/>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 xml:space="preserve">In terms of supply, Schedule 4 of the Order sets out specific circumstances in which a party can undertake supply without having to apply for a licence: these are the four ‘classes’ of exempt supply. If an organisation is satisfied that it meets the requirements it can supply electricity – approval </w:t>
      </w:r>
      <w:r w:rsidR="009307DC" w:rsidRPr="00540E03">
        <w:rPr>
          <w:rFonts w:ascii="Verdana" w:hAnsi="Verdana"/>
          <w:sz w:val="20"/>
          <w:szCs w:val="20"/>
        </w:rPr>
        <w:t>is not</w:t>
      </w:r>
      <w:r w:rsidRPr="00540E03">
        <w:rPr>
          <w:rFonts w:ascii="Verdana" w:hAnsi="Verdana"/>
          <w:sz w:val="20"/>
          <w:szCs w:val="20"/>
        </w:rPr>
        <w:t xml:space="preserve"> sought from Ofgem or </w:t>
      </w:r>
      <w:r w:rsidR="009307DC" w:rsidRPr="00540E03">
        <w:rPr>
          <w:rFonts w:ascii="Verdana" w:hAnsi="Verdana"/>
          <w:sz w:val="20"/>
          <w:szCs w:val="20"/>
        </w:rPr>
        <w:t>BEIS</w:t>
      </w:r>
      <w:r w:rsidRPr="00540E03">
        <w:rPr>
          <w:rFonts w:ascii="Verdana" w:hAnsi="Verdana"/>
          <w:sz w:val="20"/>
          <w:szCs w:val="20"/>
        </w:rPr>
        <w:t>. An overview of the four classes is provided below</w:t>
      </w:r>
      <w:r w:rsidR="009307DC" w:rsidRPr="00540E03">
        <w:rPr>
          <w:rFonts w:ascii="Verdana" w:hAnsi="Verdana"/>
          <w:sz w:val="20"/>
          <w:szCs w:val="20"/>
        </w:rPr>
        <w:t>. Interested parties should consult the Order directly</w:t>
      </w:r>
      <w:r w:rsidR="009307DC" w:rsidRPr="00764F23">
        <w:rPr>
          <w:rStyle w:val="FootnoteReference"/>
        </w:rPr>
        <w:footnoteReference w:id="13"/>
      </w:r>
      <w:r w:rsidR="00797F9E" w:rsidRPr="00764F23">
        <w:rPr>
          <w:rFonts w:ascii="Verdana" w:hAnsi="Verdana"/>
          <w:sz w:val="20"/>
          <w:szCs w:val="20"/>
          <w:vertAlign w:val="superscript"/>
        </w:rPr>
        <w:t>.</w:t>
      </w:r>
      <w:r w:rsidR="009307DC" w:rsidRPr="00540E03">
        <w:rPr>
          <w:rFonts w:ascii="Verdana" w:hAnsi="Verdana"/>
          <w:sz w:val="20"/>
          <w:szCs w:val="20"/>
        </w:rPr>
        <w:t xml:space="preserve"> </w:t>
      </w:r>
    </w:p>
    <w:p w14:paraId="24303EC5" w14:textId="77777777" w:rsidR="00411BC3" w:rsidRPr="00540E03" w:rsidRDefault="00411BC3" w:rsidP="00411BC3">
      <w:pPr>
        <w:autoSpaceDE w:val="0"/>
        <w:autoSpaceDN w:val="0"/>
        <w:adjustRightInd w:val="0"/>
        <w:spacing w:after="0"/>
        <w:jc w:val="both"/>
        <w:rPr>
          <w:rFonts w:ascii="Verdana" w:hAnsi="Verdana"/>
          <w:sz w:val="20"/>
          <w:szCs w:val="20"/>
        </w:rPr>
      </w:pPr>
    </w:p>
    <w:p w14:paraId="69E4C52F" w14:textId="67A8D944" w:rsidR="00411BC3" w:rsidRPr="00540E03" w:rsidRDefault="00411BC3" w:rsidP="00411BC3">
      <w:pPr>
        <w:pStyle w:val="ListParagraph"/>
        <w:numPr>
          <w:ilvl w:val="0"/>
          <w:numId w:val="17"/>
        </w:numPr>
        <w:autoSpaceDE w:val="0"/>
        <w:autoSpaceDN w:val="0"/>
        <w:adjustRightInd w:val="0"/>
        <w:spacing w:after="160"/>
        <w:ind w:left="714" w:hanging="357"/>
        <w:contextualSpacing w:val="0"/>
        <w:jc w:val="both"/>
        <w:rPr>
          <w:rFonts w:ascii="Verdana" w:hAnsi="Verdana"/>
          <w:sz w:val="20"/>
          <w:szCs w:val="20"/>
        </w:rPr>
      </w:pPr>
      <w:r w:rsidRPr="00540E03">
        <w:rPr>
          <w:rFonts w:ascii="Verdana" w:hAnsi="Verdana"/>
          <w:b/>
          <w:color w:val="17365D" w:themeColor="text2" w:themeShade="BF"/>
          <w:sz w:val="20"/>
          <w:szCs w:val="20"/>
        </w:rPr>
        <w:t>Class A (small suppliers)</w:t>
      </w:r>
      <w:r w:rsidRPr="00540E03">
        <w:rPr>
          <w:rFonts w:ascii="Verdana" w:hAnsi="Verdana"/>
          <w:color w:val="17365D" w:themeColor="text2" w:themeShade="BF"/>
          <w:sz w:val="20"/>
          <w:szCs w:val="20"/>
        </w:rPr>
        <w:t xml:space="preserve">: </w:t>
      </w:r>
      <w:r w:rsidRPr="00540E03">
        <w:rPr>
          <w:rFonts w:ascii="Verdana" w:hAnsi="Verdana"/>
          <w:sz w:val="20"/>
          <w:szCs w:val="20"/>
        </w:rPr>
        <w:t xml:space="preserve">allows for the supply of up to 5MW of self-generated electricity (but no more than 2.5MW to domestic premises). </w:t>
      </w:r>
    </w:p>
    <w:p w14:paraId="086D9011" w14:textId="7C4C732D" w:rsidR="00411BC3" w:rsidRPr="00540E03" w:rsidRDefault="00411BC3" w:rsidP="00411BC3">
      <w:pPr>
        <w:pStyle w:val="ListParagraph"/>
        <w:numPr>
          <w:ilvl w:val="0"/>
          <w:numId w:val="17"/>
        </w:numPr>
        <w:autoSpaceDE w:val="0"/>
        <w:autoSpaceDN w:val="0"/>
        <w:adjustRightInd w:val="0"/>
        <w:spacing w:after="160"/>
        <w:ind w:left="714" w:hanging="357"/>
        <w:contextualSpacing w:val="0"/>
        <w:jc w:val="both"/>
        <w:rPr>
          <w:rFonts w:ascii="Verdana" w:hAnsi="Verdana"/>
          <w:sz w:val="20"/>
          <w:szCs w:val="20"/>
        </w:rPr>
      </w:pPr>
      <w:r w:rsidRPr="00540E03">
        <w:rPr>
          <w:rFonts w:ascii="Verdana" w:hAnsi="Verdana"/>
          <w:b/>
          <w:color w:val="17365D" w:themeColor="text2" w:themeShade="BF"/>
          <w:sz w:val="20"/>
          <w:szCs w:val="20"/>
        </w:rPr>
        <w:t>Class B (resale):</w:t>
      </w:r>
      <w:r w:rsidRPr="00540E03">
        <w:rPr>
          <w:rFonts w:ascii="Verdana" w:hAnsi="Verdana"/>
          <w:color w:val="17365D" w:themeColor="text2" w:themeShade="BF"/>
          <w:sz w:val="20"/>
          <w:szCs w:val="20"/>
        </w:rPr>
        <w:t xml:space="preserve"> </w:t>
      </w:r>
      <w:r w:rsidRPr="00540E03">
        <w:rPr>
          <w:rFonts w:ascii="Verdana" w:hAnsi="Verdana"/>
          <w:sz w:val="20"/>
          <w:szCs w:val="20"/>
        </w:rPr>
        <w:t xml:space="preserve">resale of electricity supplied (by exempt or licensed supplier) </w:t>
      </w:r>
      <w:r w:rsidR="00D45AE0" w:rsidRPr="00540E03">
        <w:rPr>
          <w:rFonts w:ascii="Verdana" w:hAnsi="Verdana"/>
          <w:sz w:val="20"/>
          <w:szCs w:val="20"/>
        </w:rPr>
        <w:t>to premises</w:t>
      </w:r>
      <w:r w:rsidRPr="00540E03">
        <w:rPr>
          <w:rFonts w:ascii="Verdana" w:hAnsi="Verdana"/>
          <w:sz w:val="20"/>
          <w:szCs w:val="20"/>
        </w:rPr>
        <w:t xml:space="preserve"> (such as a landlord to </w:t>
      </w:r>
      <w:r w:rsidR="00D823C9" w:rsidRPr="00540E03">
        <w:rPr>
          <w:rFonts w:ascii="Verdana" w:hAnsi="Verdana"/>
          <w:sz w:val="20"/>
          <w:szCs w:val="20"/>
        </w:rPr>
        <w:t xml:space="preserve">its </w:t>
      </w:r>
      <w:r w:rsidRPr="00540E03">
        <w:rPr>
          <w:rFonts w:ascii="Verdana" w:hAnsi="Verdana"/>
          <w:sz w:val="20"/>
          <w:szCs w:val="20"/>
        </w:rPr>
        <w:t>tenants). The maximum price at which electricity may be resold is the same price as that paid for it by the reseller, including any standing charge</w:t>
      </w:r>
      <w:r w:rsidRPr="00540E03">
        <w:rPr>
          <w:rStyle w:val="FootnoteReference"/>
        </w:rPr>
        <w:footnoteReference w:id="14"/>
      </w:r>
      <w:r w:rsidRPr="00540E03">
        <w:rPr>
          <w:rFonts w:ascii="Verdana" w:hAnsi="Verdana"/>
          <w:sz w:val="20"/>
          <w:szCs w:val="20"/>
        </w:rPr>
        <w:t>.</w:t>
      </w:r>
    </w:p>
    <w:p w14:paraId="6E3C968B" w14:textId="52AF11A6" w:rsidR="00411BC3" w:rsidRPr="00540E03" w:rsidRDefault="00411BC3" w:rsidP="00411BC3">
      <w:pPr>
        <w:pStyle w:val="ListParagraph"/>
        <w:numPr>
          <w:ilvl w:val="0"/>
          <w:numId w:val="17"/>
        </w:numPr>
        <w:autoSpaceDE w:val="0"/>
        <w:autoSpaceDN w:val="0"/>
        <w:adjustRightInd w:val="0"/>
        <w:spacing w:after="160"/>
        <w:ind w:left="714" w:hanging="357"/>
        <w:contextualSpacing w:val="0"/>
        <w:jc w:val="both"/>
        <w:rPr>
          <w:rFonts w:ascii="Verdana" w:hAnsi="Verdana"/>
          <w:sz w:val="20"/>
          <w:szCs w:val="20"/>
        </w:rPr>
      </w:pPr>
      <w:r w:rsidRPr="00540E03">
        <w:rPr>
          <w:rFonts w:ascii="Verdana" w:hAnsi="Verdana"/>
          <w:b/>
          <w:color w:val="17365D" w:themeColor="text2" w:themeShade="BF"/>
          <w:sz w:val="20"/>
          <w:szCs w:val="20"/>
        </w:rPr>
        <w:t>Class C (on-site supply)</w:t>
      </w:r>
      <w:r w:rsidRPr="00540E03">
        <w:rPr>
          <w:rFonts w:ascii="Verdana" w:hAnsi="Verdana"/>
          <w:color w:val="17365D" w:themeColor="text2" w:themeShade="BF"/>
          <w:sz w:val="20"/>
          <w:szCs w:val="20"/>
        </w:rPr>
        <w:t xml:space="preserve">: </w:t>
      </w:r>
      <w:r w:rsidRPr="00540E03">
        <w:rPr>
          <w:rFonts w:ascii="Verdana" w:hAnsi="Verdana"/>
          <w:sz w:val="20"/>
          <w:szCs w:val="20"/>
        </w:rPr>
        <w:t xml:space="preserve">allows the </w:t>
      </w:r>
      <w:r w:rsidRPr="00540E03">
        <w:rPr>
          <w:rFonts w:ascii="Verdana" w:hAnsi="Verdana"/>
          <w:bCs/>
          <w:sz w:val="20"/>
          <w:szCs w:val="20"/>
        </w:rPr>
        <w:t>supply</w:t>
      </w:r>
      <w:r w:rsidRPr="00540E03">
        <w:rPr>
          <w:rFonts w:ascii="Verdana" w:hAnsi="Verdana"/>
          <w:b/>
          <w:bCs/>
          <w:sz w:val="20"/>
          <w:szCs w:val="20"/>
        </w:rPr>
        <w:t xml:space="preserve"> </w:t>
      </w:r>
      <w:r w:rsidRPr="00540E03">
        <w:rPr>
          <w:rFonts w:ascii="Verdana" w:hAnsi="Verdana"/>
          <w:sz w:val="20"/>
          <w:szCs w:val="20"/>
        </w:rPr>
        <w:t>of self-generated electricity (either exclusively or in combination with power procured from a licensed supplier) to consumers that</w:t>
      </w:r>
      <w:r w:rsidR="00D823C9" w:rsidRPr="00540E03">
        <w:rPr>
          <w:rFonts w:ascii="Verdana" w:hAnsi="Verdana"/>
          <w:sz w:val="20"/>
          <w:szCs w:val="20"/>
        </w:rPr>
        <w:t xml:space="preserve"> are ‘on-site’ according to the </w:t>
      </w:r>
      <w:r w:rsidR="00A37B5C" w:rsidRPr="00540E03">
        <w:rPr>
          <w:rFonts w:ascii="Verdana" w:hAnsi="Verdana"/>
          <w:sz w:val="20"/>
          <w:szCs w:val="20"/>
        </w:rPr>
        <w:t>definitions</w:t>
      </w:r>
      <w:r w:rsidR="00D823C9" w:rsidRPr="00540E03">
        <w:rPr>
          <w:rFonts w:ascii="Verdana" w:hAnsi="Verdana"/>
          <w:sz w:val="20"/>
          <w:szCs w:val="20"/>
        </w:rPr>
        <w:t xml:space="preserve"> in the Order</w:t>
      </w:r>
      <w:r w:rsidRPr="00540E03">
        <w:rPr>
          <w:rFonts w:ascii="Verdana" w:hAnsi="Verdana"/>
          <w:sz w:val="20"/>
          <w:szCs w:val="20"/>
        </w:rPr>
        <w:t xml:space="preserve">. </w:t>
      </w:r>
    </w:p>
    <w:p w14:paraId="25683F72" w14:textId="6AF4370D" w:rsidR="00411BC3" w:rsidRPr="00540E03" w:rsidRDefault="00411BC3" w:rsidP="00411BC3">
      <w:pPr>
        <w:pStyle w:val="ListParagraph"/>
        <w:numPr>
          <w:ilvl w:val="0"/>
          <w:numId w:val="17"/>
        </w:numPr>
        <w:autoSpaceDE w:val="0"/>
        <w:autoSpaceDN w:val="0"/>
        <w:adjustRightInd w:val="0"/>
        <w:spacing w:after="240"/>
        <w:ind w:left="714" w:hanging="357"/>
        <w:contextualSpacing w:val="0"/>
        <w:jc w:val="both"/>
        <w:rPr>
          <w:rFonts w:ascii="Verdana" w:hAnsi="Verdana"/>
          <w:sz w:val="20"/>
          <w:szCs w:val="20"/>
        </w:rPr>
      </w:pPr>
      <w:r w:rsidRPr="00540E03">
        <w:rPr>
          <w:rFonts w:ascii="Verdana" w:hAnsi="Verdana"/>
          <w:b/>
          <w:color w:val="17365D" w:themeColor="text2" w:themeShade="BF"/>
          <w:sz w:val="20"/>
          <w:szCs w:val="20"/>
        </w:rPr>
        <w:lastRenderedPageBreak/>
        <w:t>Class D</w:t>
      </w:r>
      <w:r w:rsidRPr="00540E03">
        <w:rPr>
          <w:rFonts w:ascii="Verdana" w:hAnsi="Verdana"/>
          <w:color w:val="17365D" w:themeColor="text2" w:themeShade="BF"/>
          <w:sz w:val="20"/>
          <w:szCs w:val="20"/>
        </w:rPr>
        <w:t xml:space="preserve"> (</w:t>
      </w:r>
      <w:r w:rsidRPr="00540E03">
        <w:rPr>
          <w:rFonts w:ascii="Verdana" w:hAnsi="Verdana"/>
          <w:b/>
          <w:color w:val="17365D" w:themeColor="text2" w:themeShade="BF"/>
          <w:sz w:val="20"/>
          <w:szCs w:val="20"/>
        </w:rPr>
        <w:t>offshore supply)</w:t>
      </w:r>
      <w:r w:rsidRPr="00540E03">
        <w:rPr>
          <w:rFonts w:ascii="Verdana" w:hAnsi="Verdana"/>
          <w:color w:val="17365D" w:themeColor="text2" w:themeShade="BF"/>
          <w:sz w:val="20"/>
          <w:szCs w:val="20"/>
        </w:rPr>
        <w:t xml:space="preserve">: </w:t>
      </w:r>
      <w:r w:rsidR="00D45AE0" w:rsidRPr="00540E03">
        <w:rPr>
          <w:rFonts w:ascii="Verdana" w:hAnsi="Verdana"/>
          <w:sz w:val="20"/>
          <w:szCs w:val="20"/>
        </w:rPr>
        <w:t>offshore-generated</w:t>
      </w:r>
      <w:r w:rsidRPr="00540E03">
        <w:rPr>
          <w:rFonts w:ascii="Verdana" w:hAnsi="Verdana"/>
          <w:sz w:val="20"/>
          <w:szCs w:val="20"/>
        </w:rPr>
        <w:t xml:space="preserve"> power supplied to offshore premises.</w:t>
      </w:r>
    </w:p>
    <w:p w14:paraId="38CEC3CF" w14:textId="3F35485A" w:rsidR="00C33F99" w:rsidRPr="00540E03" w:rsidRDefault="00B17E92" w:rsidP="00B17E92">
      <w:pPr>
        <w:pStyle w:val="ListParagraph"/>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A party may qualify for exemption by falling within more than one Class. Our view is that, for instance, Class B allows for the provision of some on-site supply (class C) up to a limit of 10% of the total electricity supplied.</w:t>
      </w:r>
      <w:r w:rsidR="00C33F99" w:rsidRPr="00540E03">
        <w:rPr>
          <w:rFonts w:ascii="Verdana" w:hAnsi="Verdana"/>
          <w:sz w:val="20"/>
          <w:szCs w:val="20"/>
        </w:rPr>
        <w:t xml:space="preserve"> </w:t>
      </w:r>
    </w:p>
    <w:p w14:paraId="08A48718" w14:textId="77777777" w:rsidR="00C33F99" w:rsidRPr="00540E03" w:rsidRDefault="00C33F99" w:rsidP="00C33F99">
      <w:pPr>
        <w:pStyle w:val="ListParagraph"/>
        <w:autoSpaceDE w:val="0"/>
        <w:autoSpaceDN w:val="0"/>
        <w:adjustRightInd w:val="0"/>
        <w:spacing w:after="0"/>
        <w:ind w:left="360"/>
        <w:jc w:val="both"/>
        <w:rPr>
          <w:rFonts w:ascii="Verdana" w:hAnsi="Verdana"/>
          <w:sz w:val="20"/>
          <w:szCs w:val="20"/>
        </w:rPr>
      </w:pPr>
    </w:p>
    <w:p w14:paraId="2B56B016" w14:textId="10C00B2A" w:rsidR="00411BC3" w:rsidRPr="00540E03" w:rsidRDefault="00C33F99" w:rsidP="00411BC3">
      <w:pPr>
        <w:pStyle w:val="ListParagraph"/>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The Secretary of State may also consider applications for exemption for individual generation, distribution or supply activities that do not fall under class exemption. This is known as ‘individual exemption’, although BEIS guidance says that the “Department considers that in most cases it is not appropriate to grant exemption from the requirements of supply or distribution licence. This is because it is rarely considered appropriate for these activities not to be subject to the full terms of licensing regime”</w:t>
      </w:r>
      <w:r w:rsidRPr="00540E03">
        <w:rPr>
          <w:rStyle w:val="FootnoteReference"/>
        </w:rPr>
        <w:footnoteReference w:id="15"/>
      </w:r>
      <w:r w:rsidRPr="00540E03">
        <w:rPr>
          <w:rFonts w:ascii="Verdana" w:hAnsi="Verdana"/>
          <w:sz w:val="20"/>
          <w:szCs w:val="20"/>
        </w:rPr>
        <w:t xml:space="preserve">. </w:t>
      </w:r>
    </w:p>
    <w:p w14:paraId="37AE1442" w14:textId="77777777" w:rsidR="00411BC3" w:rsidRPr="00540E03" w:rsidRDefault="00411BC3" w:rsidP="00411BC3">
      <w:pPr>
        <w:autoSpaceDE w:val="0"/>
        <w:autoSpaceDN w:val="0"/>
        <w:adjustRightInd w:val="0"/>
        <w:spacing w:after="0"/>
        <w:jc w:val="both"/>
        <w:rPr>
          <w:rFonts w:ascii="Verdana" w:hAnsi="Verdana"/>
          <w:sz w:val="20"/>
          <w:szCs w:val="20"/>
        </w:rPr>
      </w:pPr>
    </w:p>
    <w:p w14:paraId="6FCD205A" w14:textId="2734A1C9" w:rsidR="00C33F99" w:rsidRPr="00540E03" w:rsidRDefault="00EC16EE" w:rsidP="00411BC3">
      <w:pPr>
        <w:pStyle w:val="ListParagraph"/>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P</w:t>
      </w:r>
      <w:r w:rsidR="00411BC3" w:rsidRPr="00540E03">
        <w:rPr>
          <w:rFonts w:ascii="Verdana" w:hAnsi="Verdana"/>
          <w:sz w:val="20"/>
          <w:szCs w:val="20"/>
        </w:rPr>
        <w:t xml:space="preserve">rotection measures for customers served by exempt suppliers are provided for </w:t>
      </w:r>
      <w:r w:rsidR="00D45AE0" w:rsidRPr="00540E03">
        <w:rPr>
          <w:rFonts w:ascii="Verdana" w:hAnsi="Verdana"/>
          <w:sz w:val="20"/>
          <w:szCs w:val="20"/>
        </w:rPr>
        <w:t>in legislation</w:t>
      </w:r>
      <w:r w:rsidR="00411BC3" w:rsidRPr="00540E03">
        <w:rPr>
          <w:rStyle w:val="FootnoteReference"/>
        </w:rPr>
        <w:footnoteReference w:id="16"/>
      </w:r>
      <w:r w:rsidR="00411BC3" w:rsidRPr="00540E03">
        <w:rPr>
          <w:rFonts w:ascii="Verdana" w:hAnsi="Verdana"/>
          <w:sz w:val="20"/>
          <w:szCs w:val="20"/>
        </w:rPr>
        <w:t xml:space="preserve">. The legislation sets out the duties of exempt suppliers in matters such as change of supplier </w:t>
      </w:r>
      <w:r w:rsidR="008204DE" w:rsidRPr="00540E03">
        <w:rPr>
          <w:rFonts w:ascii="Verdana" w:hAnsi="Verdana"/>
          <w:sz w:val="20"/>
          <w:szCs w:val="20"/>
        </w:rPr>
        <w:t xml:space="preserve">/ switching </w:t>
      </w:r>
      <w:r w:rsidR="00D45AE0" w:rsidRPr="00540E03">
        <w:rPr>
          <w:rFonts w:ascii="Verdana" w:hAnsi="Verdana"/>
          <w:sz w:val="20"/>
          <w:szCs w:val="20"/>
        </w:rPr>
        <w:t>arrangements,</w:t>
      </w:r>
      <w:r w:rsidR="00411BC3" w:rsidRPr="00540E03">
        <w:rPr>
          <w:rFonts w:ascii="Verdana" w:hAnsi="Verdana"/>
          <w:sz w:val="20"/>
          <w:szCs w:val="20"/>
        </w:rPr>
        <w:t xml:space="preserve"> customer contracts, customer information and dispute determination. </w:t>
      </w:r>
    </w:p>
    <w:p w14:paraId="55F69456" w14:textId="77777777" w:rsidR="00C33F99" w:rsidRPr="00540E03" w:rsidRDefault="00C33F99" w:rsidP="00C33F99">
      <w:pPr>
        <w:pStyle w:val="ListParagraph"/>
        <w:rPr>
          <w:rFonts w:ascii="Verdana" w:hAnsi="Verdana"/>
          <w:sz w:val="20"/>
          <w:szCs w:val="20"/>
        </w:rPr>
      </w:pPr>
    </w:p>
    <w:p w14:paraId="2C4C00C5" w14:textId="5D940246" w:rsidR="00411BC3" w:rsidRPr="00540E03" w:rsidRDefault="00411BC3" w:rsidP="00411BC3">
      <w:pPr>
        <w:pStyle w:val="ListParagraph"/>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 xml:space="preserve">While an exempt supplier is not subject to the same consumer protection obligations </w:t>
      </w:r>
      <w:r w:rsidR="00C33F99" w:rsidRPr="00540E03">
        <w:rPr>
          <w:rFonts w:ascii="Verdana" w:hAnsi="Verdana"/>
          <w:sz w:val="20"/>
          <w:szCs w:val="20"/>
        </w:rPr>
        <w:t>required</w:t>
      </w:r>
      <w:r w:rsidRPr="00540E03">
        <w:rPr>
          <w:rFonts w:ascii="Verdana" w:hAnsi="Verdana"/>
          <w:sz w:val="20"/>
          <w:szCs w:val="20"/>
        </w:rPr>
        <w:t xml:space="preserve"> through the licens</w:t>
      </w:r>
      <w:r w:rsidR="00AF0765" w:rsidRPr="00540E03">
        <w:rPr>
          <w:rFonts w:ascii="Verdana" w:hAnsi="Verdana"/>
          <w:sz w:val="20"/>
          <w:szCs w:val="20"/>
        </w:rPr>
        <w:t>ing</w:t>
      </w:r>
      <w:r w:rsidRPr="00540E03">
        <w:rPr>
          <w:rFonts w:ascii="Verdana" w:hAnsi="Verdana"/>
          <w:sz w:val="20"/>
          <w:szCs w:val="20"/>
        </w:rPr>
        <w:t xml:space="preserve"> framework, an exempt supplier is subject to </w:t>
      </w:r>
      <w:r w:rsidR="00646C87" w:rsidRPr="00540E03">
        <w:rPr>
          <w:rFonts w:ascii="Verdana" w:hAnsi="Verdana"/>
          <w:sz w:val="20"/>
          <w:szCs w:val="20"/>
        </w:rPr>
        <w:t xml:space="preserve">protection </w:t>
      </w:r>
      <w:r w:rsidRPr="00540E03">
        <w:rPr>
          <w:rFonts w:ascii="Verdana" w:hAnsi="Verdana"/>
          <w:sz w:val="20"/>
          <w:szCs w:val="20"/>
        </w:rPr>
        <w:t xml:space="preserve">provisions provided for through general consumer </w:t>
      </w:r>
      <w:r w:rsidRPr="00540E03">
        <w:rPr>
          <w:rFonts w:ascii="Verdana" w:hAnsi="Verdana" w:cs="Arial"/>
          <w:color w:val="000000"/>
          <w:sz w:val="20"/>
          <w:szCs w:val="20"/>
        </w:rPr>
        <w:t>protection law. Much of the relevant consumer law is intended to ensure that services are provided with reasonable care and skill, that information provided is accurate and not false or misleading</w:t>
      </w:r>
      <w:r w:rsidR="00EC16EE" w:rsidRPr="00540E03">
        <w:rPr>
          <w:rFonts w:ascii="Verdana" w:hAnsi="Verdana" w:cs="Arial"/>
          <w:color w:val="000000"/>
          <w:sz w:val="20"/>
          <w:szCs w:val="20"/>
        </w:rPr>
        <w:t>,</w:t>
      </w:r>
      <w:r w:rsidRPr="00540E03">
        <w:rPr>
          <w:rFonts w:ascii="Verdana" w:hAnsi="Verdana" w:cs="Arial"/>
          <w:color w:val="000000"/>
          <w:sz w:val="20"/>
          <w:szCs w:val="20"/>
        </w:rPr>
        <w:t xml:space="preserve"> and that organisations act fairly towards consumers.</w:t>
      </w:r>
      <w:r w:rsidR="00C33F99" w:rsidRPr="00540E03">
        <w:rPr>
          <w:rFonts w:ascii="Verdana" w:hAnsi="Verdana" w:cs="Arial"/>
          <w:color w:val="000000"/>
          <w:sz w:val="20"/>
          <w:szCs w:val="20"/>
        </w:rPr>
        <w:t xml:space="preserve"> </w:t>
      </w:r>
      <w:r w:rsidR="006B6476" w:rsidRPr="00540E03">
        <w:rPr>
          <w:rFonts w:ascii="Verdana" w:hAnsi="Verdana" w:cs="Arial"/>
          <w:color w:val="000000"/>
          <w:sz w:val="20"/>
          <w:szCs w:val="20"/>
        </w:rPr>
        <w:t>The government-b</w:t>
      </w:r>
      <w:r w:rsidR="00646C87" w:rsidRPr="00540E03">
        <w:rPr>
          <w:rFonts w:ascii="Verdana" w:hAnsi="Verdana" w:cs="Arial"/>
          <w:color w:val="000000"/>
          <w:sz w:val="20"/>
          <w:szCs w:val="20"/>
        </w:rPr>
        <w:t>acked Business Companion website</w:t>
      </w:r>
      <w:r w:rsidR="006B6476" w:rsidRPr="00540E03">
        <w:rPr>
          <w:rStyle w:val="FootnoteReference"/>
        </w:rPr>
        <w:footnoteReference w:id="17"/>
      </w:r>
      <w:r w:rsidR="006B6476" w:rsidRPr="00540E03">
        <w:rPr>
          <w:rFonts w:ascii="Verdana" w:hAnsi="Verdana" w:cs="Arial"/>
          <w:color w:val="000000"/>
          <w:sz w:val="20"/>
          <w:szCs w:val="20"/>
        </w:rPr>
        <w:t xml:space="preserve"> has been created to help businesses understand what consumer law considerations might apply to their </w:t>
      </w:r>
      <w:r w:rsidR="001F6E14" w:rsidRPr="00540E03">
        <w:rPr>
          <w:rFonts w:ascii="Verdana" w:hAnsi="Verdana" w:cs="Arial"/>
          <w:color w:val="000000"/>
          <w:sz w:val="20"/>
          <w:szCs w:val="20"/>
        </w:rPr>
        <w:t>activities</w:t>
      </w:r>
      <w:r w:rsidR="006B6476" w:rsidRPr="00540E03">
        <w:rPr>
          <w:rFonts w:ascii="Verdana" w:hAnsi="Verdana" w:cs="Arial"/>
          <w:color w:val="000000"/>
          <w:sz w:val="20"/>
          <w:szCs w:val="20"/>
        </w:rPr>
        <w:t xml:space="preserve">. </w:t>
      </w:r>
    </w:p>
    <w:p w14:paraId="7AC64268" w14:textId="77777777" w:rsidR="00411BC3" w:rsidRPr="00540E03" w:rsidRDefault="00411BC3" w:rsidP="00411BC3">
      <w:pPr>
        <w:autoSpaceDE w:val="0"/>
        <w:autoSpaceDN w:val="0"/>
        <w:adjustRightInd w:val="0"/>
        <w:spacing w:after="0"/>
        <w:jc w:val="both"/>
        <w:rPr>
          <w:rFonts w:ascii="Verdana" w:hAnsi="Verdana"/>
          <w:sz w:val="20"/>
          <w:szCs w:val="20"/>
        </w:rPr>
      </w:pPr>
    </w:p>
    <w:p w14:paraId="22EE7C81" w14:textId="65B5484D" w:rsidR="00411BC3" w:rsidRPr="00540E03" w:rsidRDefault="00411BC3" w:rsidP="00411BC3">
      <w:pPr>
        <w:pStyle w:val="ListParagraph"/>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 xml:space="preserve">Where an exempt supplier’s activities take place over, or connect to the public network, it is effectively part of an interconnected GB-wide electricity system. Its activities </w:t>
      </w:r>
      <w:r w:rsidR="00764945" w:rsidRPr="00540E03">
        <w:rPr>
          <w:rFonts w:ascii="Verdana" w:hAnsi="Verdana"/>
          <w:sz w:val="20"/>
          <w:szCs w:val="20"/>
        </w:rPr>
        <w:t>may</w:t>
      </w:r>
      <w:r w:rsidRPr="00540E03">
        <w:rPr>
          <w:rFonts w:ascii="Verdana" w:hAnsi="Verdana"/>
          <w:sz w:val="20"/>
          <w:szCs w:val="20"/>
        </w:rPr>
        <w:t xml:space="preserve">, therefore, affect network flows and actions required to keep the system in balance. This means that the exempt supplier </w:t>
      </w:r>
      <w:r w:rsidR="00764F23">
        <w:rPr>
          <w:rFonts w:ascii="Verdana" w:hAnsi="Verdana"/>
          <w:sz w:val="20"/>
          <w:szCs w:val="20"/>
        </w:rPr>
        <w:t>may</w:t>
      </w:r>
      <w:r w:rsidR="00764945" w:rsidRPr="00540E03">
        <w:rPr>
          <w:rFonts w:ascii="Verdana" w:hAnsi="Verdana"/>
          <w:sz w:val="20"/>
          <w:szCs w:val="20"/>
        </w:rPr>
        <w:t xml:space="preserve"> need to</w:t>
      </w:r>
      <w:r w:rsidRPr="00540E03">
        <w:rPr>
          <w:rFonts w:ascii="Verdana" w:hAnsi="Verdana"/>
          <w:sz w:val="20"/>
          <w:szCs w:val="20"/>
        </w:rPr>
        <w:t xml:space="preserve"> have in place suitable arrangements with </w:t>
      </w:r>
      <w:r w:rsidRPr="00540E03">
        <w:rPr>
          <w:rFonts w:ascii="Verdana" w:hAnsi="Verdana"/>
          <w:sz w:val="20"/>
          <w:szCs w:val="20"/>
        </w:rPr>
        <w:lastRenderedPageBreak/>
        <w:t xml:space="preserve">industry partners so that its activities </w:t>
      </w:r>
      <w:r w:rsidR="006B6476" w:rsidRPr="00540E03">
        <w:rPr>
          <w:rFonts w:ascii="Verdana" w:hAnsi="Verdana"/>
          <w:sz w:val="20"/>
          <w:szCs w:val="20"/>
        </w:rPr>
        <w:t>meet</w:t>
      </w:r>
      <w:r w:rsidRPr="00540E03">
        <w:rPr>
          <w:rFonts w:ascii="Verdana" w:hAnsi="Verdana"/>
          <w:sz w:val="20"/>
          <w:szCs w:val="20"/>
        </w:rPr>
        <w:t xml:space="preserve"> established standards and the appropriate charges can be levied.  </w:t>
      </w:r>
    </w:p>
    <w:p w14:paraId="322B29EB" w14:textId="77777777" w:rsidR="00411BC3" w:rsidRPr="00540E03" w:rsidRDefault="00411BC3" w:rsidP="00411BC3">
      <w:pPr>
        <w:autoSpaceDE w:val="0"/>
        <w:autoSpaceDN w:val="0"/>
        <w:adjustRightInd w:val="0"/>
        <w:spacing w:after="0"/>
        <w:jc w:val="both"/>
        <w:rPr>
          <w:rFonts w:ascii="Verdana" w:hAnsi="Verdana"/>
          <w:sz w:val="20"/>
          <w:szCs w:val="20"/>
        </w:rPr>
      </w:pPr>
    </w:p>
    <w:p w14:paraId="3CF3FA08" w14:textId="050F40F2" w:rsidR="00411BC3" w:rsidRPr="00540E03" w:rsidRDefault="00211FBF" w:rsidP="00411BC3">
      <w:pPr>
        <w:pStyle w:val="ListParagraph"/>
        <w:numPr>
          <w:ilvl w:val="0"/>
          <w:numId w:val="23"/>
        </w:numPr>
        <w:autoSpaceDE w:val="0"/>
        <w:autoSpaceDN w:val="0"/>
        <w:adjustRightInd w:val="0"/>
        <w:spacing w:after="0"/>
        <w:jc w:val="both"/>
        <w:rPr>
          <w:rFonts w:ascii="Verdana" w:hAnsi="Verdana"/>
          <w:sz w:val="20"/>
          <w:szCs w:val="20"/>
        </w:rPr>
      </w:pPr>
      <w:r w:rsidRPr="00540E03">
        <w:rPr>
          <w:rFonts w:ascii="Verdana" w:hAnsi="Verdana"/>
          <w:sz w:val="20"/>
          <w:szCs w:val="20"/>
        </w:rPr>
        <w:t>In these circumstances, t</w:t>
      </w:r>
      <w:r w:rsidR="00411BC3" w:rsidRPr="00540E03">
        <w:rPr>
          <w:rFonts w:ascii="Verdana" w:hAnsi="Verdana"/>
          <w:sz w:val="20"/>
          <w:szCs w:val="20"/>
        </w:rPr>
        <w:t xml:space="preserve">he exempt supplier </w:t>
      </w:r>
      <w:r w:rsidR="00764945" w:rsidRPr="00540E03">
        <w:rPr>
          <w:rFonts w:ascii="Verdana" w:hAnsi="Verdana"/>
          <w:sz w:val="20"/>
          <w:szCs w:val="20"/>
        </w:rPr>
        <w:t xml:space="preserve">would need to </w:t>
      </w:r>
      <w:r w:rsidR="00411BC3" w:rsidRPr="00540E03">
        <w:rPr>
          <w:rFonts w:ascii="Verdana" w:hAnsi="Verdana"/>
          <w:sz w:val="20"/>
          <w:szCs w:val="20"/>
        </w:rPr>
        <w:t xml:space="preserve">have an agreement with a licensed energy supplier to carry out these duties on their behalf. This is similar to the supplier partnership in a Licence Lite model but in this </w:t>
      </w:r>
      <w:r w:rsidR="00D45AE0" w:rsidRPr="00540E03">
        <w:rPr>
          <w:rFonts w:ascii="Verdana" w:hAnsi="Verdana"/>
          <w:sz w:val="20"/>
          <w:szCs w:val="20"/>
        </w:rPr>
        <w:t>case,</w:t>
      </w:r>
      <w:r w:rsidR="00411BC3" w:rsidRPr="00540E03">
        <w:rPr>
          <w:rFonts w:ascii="Verdana" w:hAnsi="Verdana"/>
          <w:sz w:val="20"/>
          <w:szCs w:val="20"/>
        </w:rPr>
        <w:t xml:space="preserve"> one of the suppliers holds a licence, the other doesn’t</w:t>
      </w:r>
      <w:r w:rsidR="00646C87" w:rsidRPr="00540E03">
        <w:rPr>
          <w:rFonts w:ascii="Verdana" w:hAnsi="Verdana"/>
          <w:sz w:val="20"/>
          <w:szCs w:val="20"/>
        </w:rPr>
        <w:t xml:space="preserve"> (with Licence Lite, both suppliers are licensed)</w:t>
      </w:r>
      <w:r w:rsidR="00411BC3" w:rsidRPr="00540E03">
        <w:rPr>
          <w:rFonts w:ascii="Verdana" w:hAnsi="Verdana"/>
          <w:sz w:val="20"/>
          <w:szCs w:val="20"/>
        </w:rPr>
        <w:t>. The commercial agreement (often called an Exe</w:t>
      </w:r>
      <w:r w:rsidR="00646C87" w:rsidRPr="00540E03">
        <w:rPr>
          <w:rFonts w:ascii="Verdana" w:hAnsi="Verdana"/>
          <w:sz w:val="20"/>
          <w:szCs w:val="20"/>
        </w:rPr>
        <w:t>mpt Supply Services Agreement) c</w:t>
      </w:r>
      <w:r w:rsidR="00411BC3" w:rsidRPr="00540E03">
        <w:rPr>
          <w:rFonts w:ascii="Verdana" w:hAnsi="Verdana"/>
          <w:sz w:val="20"/>
          <w:szCs w:val="20"/>
        </w:rPr>
        <w:t>ould include the following types of services to be provided by the licensed supplier:</w:t>
      </w:r>
    </w:p>
    <w:p w14:paraId="76CBE0B1" w14:textId="77777777" w:rsidR="00411BC3" w:rsidRPr="00540E03" w:rsidRDefault="00411BC3" w:rsidP="00411BC3">
      <w:pPr>
        <w:autoSpaceDE w:val="0"/>
        <w:autoSpaceDN w:val="0"/>
        <w:adjustRightInd w:val="0"/>
        <w:spacing w:after="0"/>
        <w:jc w:val="both"/>
        <w:rPr>
          <w:rFonts w:ascii="Verdana" w:hAnsi="Verdana"/>
          <w:sz w:val="20"/>
          <w:szCs w:val="20"/>
        </w:rPr>
      </w:pPr>
    </w:p>
    <w:p w14:paraId="0677D3B3" w14:textId="1772D7BE" w:rsidR="00411BC3" w:rsidRPr="00540E03" w:rsidRDefault="00411BC3" w:rsidP="00411BC3">
      <w:pPr>
        <w:pStyle w:val="ListParagraph"/>
        <w:numPr>
          <w:ilvl w:val="0"/>
          <w:numId w:val="16"/>
        </w:numPr>
        <w:autoSpaceDE w:val="0"/>
        <w:autoSpaceDN w:val="0"/>
        <w:adjustRightInd w:val="0"/>
        <w:spacing w:after="160"/>
        <w:ind w:left="714" w:hanging="357"/>
        <w:contextualSpacing w:val="0"/>
        <w:jc w:val="both"/>
        <w:rPr>
          <w:rFonts w:ascii="Verdana" w:hAnsi="Verdana"/>
          <w:sz w:val="20"/>
          <w:szCs w:val="20"/>
        </w:rPr>
      </w:pPr>
      <w:r w:rsidRPr="00540E03">
        <w:rPr>
          <w:rFonts w:ascii="Verdana" w:hAnsi="Verdana"/>
          <w:b/>
          <w:color w:val="17365D" w:themeColor="text2" w:themeShade="BF"/>
          <w:sz w:val="20"/>
          <w:szCs w:val="20"/>
        </w:rPr>
        <w:t>Network use</w:t>
      </w:r>
      <w:r w:rsidRPr="00540E03">
        <w:rPr>
          <w:rFonts w:ascii="Verdana" w:hAnsi="Verdana"/>
          <w:sz w:val="20"/>
          <w:szCs w:val="20"/>
        </w:rPr>
        <w:t xml:space="preserve">: </w:t>
      </w:r>
      <w:r w:rsidR="006B6476" w:rsidRPr="00540E03">
        <w:rPr>
          <w:rFonts w:ascii="Verdana" w:hAnsi="Verdana"/>
          <w:sz w:val="20"/>
          <w:szCs w:val="20"/>
        </w:rPr>
        <w:t xml:space="preserve">making an agreement with the DNO for </w:t>
      </w:r>
      <w:r w:rsidRPr="00540E03">
        <w:rPr>
          <w:rFonts w:ascii="Verdana" w:hAnsi="Verdana"/>
          <w:sz w:val="20"/>
          <w:szCs w:val="20"/>
        </w:rPr>
        <w:t xml:space="preserve">passing on the costs of using the public network. </w:t>
      </w:r>
    </w:p>
    <w:p w14:paraId="3E0134FF" w14:textId="2AF708A6" w:rsidR="00411BC3" w:rsidRPr="00540E03" w:rsidRDefault="00411BC3" w:rsidP="00411BC3">
      <w:pPr>
        <w:pStyle w:val="ListParagraph"/>
        <w:numPr>
          <w:ilvl w:val="0"/>
          <w:numId w:val="16"/>
        </w:numPr>
        <w:autoSpaceDE w:val="0"/>
        <w:autoSpaceDN w:val="0"/>
        <w:adjustRightInd w:val="0"/>
        <w:spacing w:after="160"/>
        <w:ind w:left="714" w:hanging="357"/>
        <w:contextualSpacing w:val="0"/>
        <w:jc w:val="both"/>
        <w:rPr>
          <w:rFonts w:ascii="Verdana" w:hAnsi="Verdana"/>
          <w:sz w:val="20"/>
          <w:szCs w:val="20"/>
        </w:rPr>
      </w:pPr>
      <w:r w:rsidRPr="00540E03">
        <w:rPr>
          <w:rFonts w:ascii="Verdana" w:hAnsi="Verdana"/>
          <w:b/>
          <w:color w:val="17365D" w:themeColor="text2" w:themeShade="BF"/>
          <w:sz w:val="20"/>
          <w:szCs w:val="20"/>
        </w:rPr>
        <w:t>Network connection</w:t>
      </w:r>
      <w:r w:rsidRPr="00540E03">
        <w:rPr>
          <w:rFonts w:ascii="Verdana" w:hAnsi="Verdana"/>
          <w:sz w:val="20"/>
          <w:szCs w:val="20"/>
        </w:rPr>
        <w:t xml:space="preserve">: affirmation to the DNO of an </w:t>
      </w:r>
      <w:r w:rsidR="00EC16EE" w:rsidRPr="00540E03">
        <w:rPr>
          <w:rFonts w:ascii="Verdana" w:hAnsi="Verdana"/>
          <w:sz w:val="20"/>
          <w:szCs w:val="20"/>
        </w:rPr>
        <w:t>‘</w:t>
      </w:r>
      <w:r w:rsidRPr="00540E03">
        <w:rPr>
          <w:rFonts w:ascii="Verdana" w:hAnsi="Verdana"/>
          <w:sz w:val="20"/>
          <w:szCs w:val="20"/>
        </w:rPr>
        <w:t>agency relationship</w:t>
      </w:r>
      <w:r w:rsidR="00EC16EE" w:rsidRPr="00540E03">
        <w:rPr>
          <w:rFonts w:ascii="Verdana" w:hAnsi="Verdana"/>
          <w:sz w:val="20"/>
          <w:szCs w:val="20"/>
        </w:rPr>
        <w:t>’</w:t>
      </w:r>
      <w:r w:rsidRPr="00540E03">
        <w:rPr>
          <w:rFonts w:ascii="Verdana" w:hAnsi="Verdana"/>
          <w:sz w:val="20"/>
          <w:szCs w:val="20"/>
        </w:rPr>
        <w:t xml:space="preserve"> between the exempt and licensed suppliers for purposes of the Nationa</w:t>
      </w:r>
      <w:r w:rsidR="00EC16EE" w:rsidRPr="00540E03">
        <w:rPr>
          <w:rFonts w:ascii="Verdana" w:hAnsi="Verdana"/>
          <w:sz w:val="20"/>
          <w:szCs w:val="20"/>
        </w:rPr>
        <w:t>l Terms of Connection agreement</w:t>
      </w:r>
      <w:r w:rsidRPr="00540E03">
        <w:rPr>
          <w:rFonts w:ascii="Verdana" w:hAnsi="Verdana"/>
          <w:sz w:val="20"/>
          <w:szCs w:val="20"/>
        </w:rPr>
        <w:t>.</w:t>
      </w:r>
    </w:p>
    <w:p w14:paraId="4F5AF29A" w14:textId="77777777" w:rsidR="00411BC3" w:rsidRPr="00540E03" w:rsidRDefault="00411BC3" w:rsidP="00411BC3">
      <w:pPr>
        <w:pStyle w:val="ListParagraph"/>
        <w:numPr>
          <w:ilvl w:val="0"/>
          <w:numId w:val="16"/>
        </w:numPr>
        <w:autoSpaceDE w:val="0"/>
        <w:autoSpaceDN w:val="0"/>
        <w:adjustRightInd w:val="0"/>
        <w:spacing w:after="160"/>
        <w:ind w:left="714" w:hanging="357"/>
        <w:contextualSpacing w:val="0"/>
        <w:jc w:val="both"/>
        <w:rPr>
          <w:rFonts w:ascii="Verdana" w:hAnsi="Verdana"/>
          <w:sz w:val="20"/>
          <w:szCs w:val="20"/>
        </w:rPr>
      </w:pPr>
      <w:r w:rsidRPr="00540E03">
        <w:rPr>
          <w:rFonts w:ascii="Verdana" w:hAnsi="Verdana"/>
          <w:b/>
          <w:color w:val="17365D" w:themeColor="text2" w:themeShade="BF"/>
          <w:sz w:val="20"/>
          <w:szCs w:val="20"/>
        </w:rPr>
        <w:t>Metering</w:t>
      </w:r>
      <w:r w:rsidRPr="00540E03">
        <w:rPr>
          <w:rFonts w:ascii="Verdana" w:hAnsi="Verdana"/>
          <w:sz w:val="20"/>
          <w:szCs w:val="20"/>
        </w:rPr>
        <w:t>: appointment of meter service provider / registrar and provision of data retrieval, data processing and data aggregation services.</w:t>
      </w:r>
    </w:p>
    <w:p w14:paraId="6F19E139" w14:textId="77777777" w:rsidR="00411BC3" w:rsidRPr="00540E03" w:rsidRDefault="00411BC3" w:rsidP="00411BC3">
      <w:pPr>
        <w:pStyle w:val="ListParagraph"/>
        <w:numPr>
          <w:ilvl w:val="0"/>
          <w:numId w:val="16"/>
        </w:numPr>
        <w:autoSpaceDE w:val="0"/>
        <w:autoSpaceDN w:val="0"/>
        <w:adjustRightInd w:val="0"/>
        <w:spacing w:after="160"/>
        <w:ind w:left="714" w:hanging="357"/>
        <w:contextualSpacing w:val="0"/>
        <w:jc w:val="both"/>
        <w:rPr>
          <w:rFonts w:ascii="Verdana" w:hAnsi="Verdana"/>
          <w:sz w:val="20"/>
          <w:szCs w:val="20"/>
        </w:rPr>
      </w:pPr>
      <w:r w:rsidRPr="00540E03">
        <w:rPr>
          <w:rFonts w:ascii="Verdana" w:hAnsi="Verdana"/>
          <w:b/>
          <w:color w:val="17365D" w:themeColor="text2" w:themeShade="BF"/>
          <w:sz w:val="20"/>
          <w:szCs w:val="20"/>
        </w:rPr>
        <w:t>Balancing services</w:t>
      </w:r>
      <w:r w:rsidRPr="00540E03">
        <w:rPr>
          <w:rFonts w:ascii="Verdana" w:hAnsi="Verdana"/>
          <w:sz w:val="20"/>
          <w:szCs w:val="20"/>
        </w:rPr>
        <w:t>: procuring extra power to make good any shortfall the exempt supplier cannot meet: ‘top-up’ (the supply / sale of electricity on a continuing or regular basis) and ‘back-up / stand-by’ (the supply / sale of electricity on a periodic or intermittent basis). And, ‘spill’ arrangements to sell-on any excess generation not used by the exempt supplier’s customers.</w:t>
      </w:r>
    </w:p>
    <w:p w14:paraId="4EE23B65" w14:textId="68BE64F1" w:rsidR="00411BC3" w:rsidRPr="00540E03" w:rsidRDefault="00411BC3" w:rsidP="00411BC3">
      <w:pPr>
        <w:pStyle w:val="Heading2"/>
        <w:keepNext/>
        <w:keepLines/>
        <w:numPr>
          <w:ilvl w:val="1"/>
          <w:numId w:val="0"/>
        </w:numPr>
        <w:tabs>
          <w:tab w:val="clear" w:pos="2581"/>
        </w:tabs>
        <w:spacing w:before="360" w:after="120" w:line="276" w:lineRule="auto"/>
        <w:ind w:left="576" w:hanging="576"/>
        <w:jc w:val="both"/>
        <w:rPr>
          <w:color w:val="17365D" w:themeColor="text2" w:themeShade="BF"/>
          <w:sz w:val="20"/>
          <w:szCs w:val="20"/>
        </w:rPr>
      </w:pPr>
      <w:r w:rsidRPr="00540E03">
        <w:rPr>
          <w:color w:val="17365D" w:themeColor="text2" w:themeShade="BF"/>
          <w:sz w:val="20"/>
          <w:szCs w:val="20"/>
        </w:rPr>
        <w:t xml:space="preserve">White </w:t>
      </w:r>
      <w:r w:rsidR="00EC16EE" w:rsidRPr="00540E03">
        <w:rPr>
          <w:color w:val="17365D" w:themeColor="text2" w:themeShade="BF"/>
          <w:sz w:val="20"/>
          <w:szCs w:val="20"/>
        </w:rPr>
        <w:t>l</w:t>
      </w:r>
      <w:r w:rsidRPr="00540E03">
        <w:rPr>
          <w:color w:val="17365D" w:themeColor="text2" w:themeShade="BF"/>
          <w:sz w:val="20"/>
          <w:szCs w:val="20"/>
        </w:rPr>
        <w:t>abels</w:t>
      </w:r>
    </w:p>
    <w:p w14:paraId="02E6EA4E" w14:textId="7DB63E68" w:rsidR="00646C87" w:rsidRPr="00540E03" w:rsidRDefault="00411BC3" w:rsidP="00411BC3">
      <w:pPr>
        <w:pStyle w:val="ListParagraph"/>
        <w:numPr>
          <w:ilvl w:val="0"/>
          <w:numId w:val="23"/>
        </w:numPr>
        <w:spacing w:after="0"/>
        <w:jc w:val="both"/>
        <w:rPr>
          <w:rFonts w:ascii="Verdana" w:hAnsi="Verdana"/>
          <w:sz w:val="20"/>
          <w:szCs w:val="20"/>
        </w:rPr>
      </w:pPr>
      <w:r w:rsidRPr="00540E03">
        <w:rPr>
          <w:rFonts w:ascii="Verdana" w:hAnsi="Verdana"/>
          <w:color w:val="000000"/>
          <w:sz w:val="20"/>
          <w:szCs w:val="20"/>
        </w:rPr>
        <w:t xml:space="preserve">A white label is an organisation that partners with a licensed supplier to offer electricity </w:t>
      </w:r>
      <w:r w:rsidR="00296524" w:rsidRPr="00540E03">
        <w:rPr>
          <w:rFonts w:ascii="Verdana" w:hAnsi="Verdana"/>
          <w:color w:val="000000"/>
          <w:sz w:val="20"/>
          <w:szCs w:val="20"/>
        </w:rPr>
        <w:t>(and</w:t>
      </w:r>
      <w:r w:rsidR="00764945" w:rsidRPr="00540E03">
        <w:rPr>
          <w:rFonts w:ascii="Verdana" w:hAnsi="Verdana"/>
          <w:color w:val="000000"/>
          <w:sz w:val="20"/>
          <w:szCs w:val="20"/>
        </w:rPr>
        <w:t xml:space="preserve"> </w:t>
      </w:r>
      <w:r w:rsidR="00296524" w:rsidRPr="00540E03">
        <w:rPr>
          <w:rFonts w:ascii="Verdana" w:hAnsi="Verdana"/>
          <w:color w:val="000000"/>
          <w:sz w:val="20"/>
          <w:szCs w:val="20"/>
        </w:rPr>
        <w:t>/</w:t>
      </w:r>
      <w:r w:rsidR="00764945" w:rsidRPr="00540E03">
        <w:rPr>
          <w:rFonts w:ascii="Verdana" w:hAnsi="Verdana"/>
          <w:color w:val="000000"/>
          <w:sz w:val="20"/>
          <w:szCs w:val="20"/>
        </w:rPr>
        <w:t xml:space="preserve"> </w:t>
      </w:r>
      <w:r w:rsidR="00296524" w:rsidRPr="00540E03">
        <w:rPr>
          <w:rFonts w:ascii="Verdana" w:hAnsi="Verdana"/>
          <w:color w:val="000000"/>
          <w:sz w:val="20"/>
          <w:szCs w:val="20"/>
        </w:rPr>
        <w:t xml:space="preserve">or gas) </w:t>
      </w:r>
      <w:r w:rsidRPr="00540E03">
        <w:rPr>
          <w:rFonts w:ascii="Verdana" w:hAnsi="Verdana"/>
          <w:color w:val="000000"/>
          <w:sz w:val="20"/>
          <w:szCs w:val="20"/>
        </w:rPr>
        <w:t xml:space="preserve">using its own brand. The white label </w:t>
      </w:r>
      <w:r w:rsidR="00646C87" w:rsidRPr="00540E03">
        <w:rPr>
          <w:rFonts w:ascii="Verdana" w:hAnsi="Verdana"/>
          <w:color w:val="000000"/>
          <w:sz w:val="20"/>
          <w:szCs w:val="20"/>
        </w:rPr>
        <w:t>is, therefore,</w:t>
      </w:r>
      <w:r w:rsidRPr="00540E03">
        <w:rPr>
          <w:rFonts w:ascii="Verdana" w:hAnsi="Verdana"/>
          <w:color w:val="000000"/>
          <w:sz w:val="20"/>
          <w:szCs w:val="20"/>
        </w:rPr>
        <w:t xml:space="preserve"> both a separate organisation </w:t>
      </w:r>
      <w:r w:rsidR="00846DF2" w:rsidRPr="00540E03">
        <w:rPr>
          <w:rFonts w:ascii="Verdana" w:hAnsi="Verdana"/>
          <w:color w:val="000000"/>
          <w:sz w:val="20"/>
          <w:szCs w:val="20"/>
        </w:rPr>
        <w:t xml:space="preserve">(to </w:t>
      </w:r>
      <w:r w:rsidR="009C130C" w:rsidRPr="00540E03">
        <w:rPr>
          <w:rFonts w:ascii="Verdana" w:hAnsi="Verdana"/>
          <w:color w:val="000000"/>
          <w:sz w:val="20"/>
          <w:szCs w:val="20"/>
        </w:rPr>
        <w:t>the</w:t>
      </w:r>
      <w:r w:rsidR="00846DF2" w:rsidRPr="00540E03">
        <w:rPr>
          <w:rFonts w:ascii="Verdana" w:hAnsi="Verdana"/>
          <w:color w:val="000000"/>
          <w:sz w:val="20"/>
          <w:szCs w:val="20"/>
        </w:rPr>
        <w:t xml:space="preserve"> energy supplier) </w:t>
      </w:r>
      <w:r w:rsidRPr="00540E03">
        <w:rPr>
          <w:rFonts w:ascii="Verdana" w:hAnsi="Verdana"/>
          <w:color w:val="000000"/>
          <w:sz w:val="20"/>
          <w:szCs w:val="20"/>
        </w:rPr>
        <w:t xml:space="preserve">and the branded energy supply. </w:t>
      </w:r>
    </w:p>
    <w:p w14:paraId="03983E43" w14:textId="77777777" w:rsidR="00646C87" w:rsidRPr="00540E03" w:rsidRDefault="00646C87" w:rsidP="00646C87">
      <w:pPr>
        <w:pStyle w:val="ListParagraph"/>
        <w:spacing w:after="0"/>
        <w:ind w:left="360"/>
        <w:jc w:val="both"/>
        <w:rPr>
          <w:rFonts w:ascii="Verdana" w:hAnsi="Verdana"/>
          <w:sz w:val="20"/>
          <w:szCs w:val="20"/>
        </w:rPr>
      </w:pPr>
    </w:p>
    <w:p w14:paraId="428B6619" w14:textId="482715E8" w:rsidR="00646C87" w:rsidRPr="00540E03" w:rsidRDefault="00646C87" w:rsidP="00411BC3">
      <w:pPr>
        <w:pStyle w:val="ListParagraph"/>
        <w:numPr>
          <w:ilvl w:val="0"/>
          <w:numId w:val="23"/>
        </w:numPr>
        <w:spacing w:after="0"/>
        <w:jc w:val="both"/>
        <w:rPr>
          <w:rFonts w:ascii="Verdana" w:hAnsi="Verdana"/>
          <w:sz w:val="20"/>
          <w:szCs w:val="20"/>
        </w:rPr>
      </w:pPr>
      <w:r w:rsidRPr="00540E03">
        <w:rPr>
          <w:rFonts w:ascii="Verdana" w:hAnsi="Verdana"/>
          <w:sz w:val="20"/>
          <w:szCs w:val="20"/>
        </w:rPr>
        <w:t>The white label is not</w:t>
      </w:r>
      <w:r w:rsidR="00846DF2" w:rsidRPr="00540E03">
        <w:rPr>
          <w:rFonts w:ascii="Verdana" w:hAnsi="Verdana"/>
          <w:sz w:val="20"/>
          <w:szCs w:val="20"/>
        </w:rPr>
        <w:t xml:space="preserve"> </w:t>
      </w:r>
      <w:r w:rsidRPr="00540E03">
        <w:rPr>
          <w:rFonts w:ascii="Verdana" w:hAnsi="Verdana"/>
          <w:sz w:val="20"/>
          <w:szCs w:val="20"/>
        </w:rPr>
        <w:t>a supplier and does not need to apply for a licence</w:t>
      </w:r>
      <w:r w:rsidR="00846DF2" w:rsidRPr="00540E03">
        <w:rPr>
          <w:rFonts w:ascii="Verdana" w:hAnsi="Verdana"/>
          <w:sz w:val="20"/>
          <w:szCs w:val="20"/>
        </w:rPr>
        <w:t xml:space="preserve"> or </w:t>
      </w:r>
      <w:r w:rsidRPr="00540E03">
        <w:rPr>
          <w:rFonts w:ascii="Verdana" w:hAnsi="Verdana"/>
          <w:sz w:val="20"/>
          <w:szCs w:val="20"/>
        </w:rPr>
        <w:t xml:space="preserve">become </w:t>
      </w:r>
      <w:r w:rsidR="00846DF2" w:rsidRPr="00540E03">
        <w:rPr>
          <w:rFonts w:ascii="Verdana" w:hAnsi="Verdana"/>
          <w:sz w:val="20"/>
          <w:szCs w:val="20"/>
        </w:rPr>
        <w:t xml:space="preserve">a </w:t>
      </w:r>
      <w:r w:rsidRPr="00540E03">
        <w:rPr>
          <w:rFonts w:ascii="Verdana" w:hAnsi="Verdana"/>
          <w:sz w:val="20"/>
          <w:szCs w:val="20"/>
        </w:rPr>
        <w:t xml:space="preserve">party to or comply with the industry codes. </w:t>
      </w:r>
      <w:r w:rsidR="003F775B" w:rsidRPr="00540E03">
        <w:rPr>
          <w:rFonts w:ascii="Verdana" w:hAnsi="Verdana"/>
          <w:sz w:val="20"/>
          <w:szCs w:val="20"/>
        </w:rPr>
        <w:t>T</w:t>
      </w:r>
      <w:r w:rsidRPr="00540E03">
        <w:rPr>
          <w:rFonts w:ascii="Verdana" w:hAnsi="Verdana" w:cs="AkzidenzGroteskPro-Regular"/>
          <w:sz w:val="20"/>
          <w:szCs w:val="20"/>
        </w:rPr>
        <w:t xml:space="preserve">he white label </w:t>
      </w:r>
      <w:r w:rsidR="003F775B" w:rsidRPr="00540E03">
        <w:rPr>
          <w:rFonts w:ascii="Verdana" w:hAnsi="Verdana" w:cs="AkzidenzGroteskPro-Regular"/>
          <w:sz w:val="20"/>
          <w:szCs w:val="20"/>
        </w:rPr>
        <w:t>effectively</w:t>
      </w:r>
      <w:r w:rsidR="00846DF2" w:rsidRPr="00540E03">
        <w:rPr>
          <w:rFonts w:ascii="Verdana" w:hAnsi="Verdana" w:cs="AkzidenzGroteskPro-Regular"/>
          <w:sz w:val="20"/>
          <w:szCs w:val="20"/>
        </w:rPr>
        <w:t xml:space="preserve"> act</w:t>
      </w:r>
      <w:r w:rsidR="003F775B" w:rsidRPr="00540E03">
        <w:rPr>
          <w:rFonts w:ascii="Verdana" w:hAnsi="Verdana" w:cs="AkzidenzGroteskPro-Regular"/>
          <w:sz w:val="20"/>
          <w:szCs w:val="20"/>
        </w:rPr>
        <w:t>s</w:t>
      </w:r>
      <w:r w:rsidR="00846DF2" w:rsidRPr="00540E03">
        <w:rPr>
          <w:rFonts w:ascii="Verdana" w:hAnsi="Verdana" w:cs="AkzidenzGroteskPro-Regular"/>
          <w:sz w:val="20"/>
          <w:szCs w:val="20"/>
        </w:rPr>
        <w:t xml:space="preserve"> as an </w:t>
      </w:r>
      <w:r w:rsidRPr="00540E03">
        <w:rPr>
          <w:rFonts w:ascii="Verdana" w:hAnsi="Verdana" w:cs="AkzidenzGroteskPro-Regular"/>
          <w:sz w:val="20"/>
          <w:szCs w:val="20"/>
        </w:rPr>
        <w:t>agent (and therefore under the control of) a licensed supplier.</w:t>
      </w:r>
      <w:r w:rsidR="00846DF2" w:rsidRPr="00540E03">
        <w:rPr>
          <w:rFonts w:ascii="Verdana" w:hAnsi="Verdana" w:cs="AkzidenzGroteskPro-Regular"/>
          <w:sz w:val="20"/>
          <w:szCs w:val="20"/>
        </w:rPr>
        <w:t xml:space="preserve"> </w:t>
      </w:r>
      <w:r w:rsidRPr="00540E03">
        <w:rPr>
          <w:rFonts w:ascii="Verdana" w:hAnsi="Verdana"/>
          <w:sz w:val="20"/>
          <w:szCs w:val="20"/>
        </w:rPr>
        <w:t xml:space="preserve">The white label’s activities operate within the parameters of the licence and industry arrangements of its licensed partner supplier. </w:t>
      </w:r>
      <w:r w:rsidRPr="00764F23">
        <w:rPr>
          <w:rFonts w:ascii="Verdana" w:hAnsi="Verdana"/>
          <w:sz w:val="20"/>
          <w:szCs w:val="20"/>
        </w:rPr>
        <w:t>The licensed supplier is ultimately responsible for ensuring that the white label’s activities comply with its supply licence</w:t>
      </w:r>
      <w:r w:rsidRPr="00540E03">
        <w:rPr>
          <w:rFonts w:ascii="Verdana" w:hAnsi="Verdana"/>
          <w:sz w:val="20"/>
          <w:szCs w:val="20"/>
        </w:rPr>
        <w:t>.</w:t>
      </w:r>
    </w:p>
    <w:p w14:paraId="32693FBE" w14:textId="0B01E98F" w:rsidR="00646C87" w:rsidRPr="00540E03" w:rsidRDefault="00646C87" w:rsidP="00646C87">
      <w:pPr>
        <w:spacing w:after="0"/>
        <w:jc w:val="both"/>
        <w:rPr>
          <w:rFonts w:ascii="Verdana" w:hAnsi="Verdana"/>
          <w:sz w:val="20"/>
          <w:szCs w:val="20"/>
        </w:rPr>
      </w:pPr>
    </w:p>
    <w:p w14:paraId="580D7CEA" w14:textId="3B00AE92" w:rsidR="00411BC3" w:rsidRPr="00540E03" w:rsidRDefault="00646C87" w:rsidP="00646C87">
      <w:pPr>
        <w:pStyle w:val="ListParagraph"/>
        <w:numPr>
          <w:ilvl w:val="0"/>
          <w:numId w:val="23"/>
        </w:numPr>
        <w:spacing w:after="0"/>
        <w:jc w:val="both"/>
        <w:rPr>
          <w:rFonts w:ascii="Verdana" w:hAnsi="Verdana"/>
          <w:sz w:val="20"/>
          <w:szCs w:val="20"/>
        </w:rPr>
      </w:pPr>
      <w:r w:rsidRPr="00540E03">
        <w:rPr>
          <w:rFonts w:ascii="Verdana" w:hAnsi="Verdana"/>
          <w:sz w:val="20"/>
          <w:szCs w:val="20"/>
        </w:rPr>
        <w:lastRenderedPageBreak/>
        <w:t xml:space="preserve">Arrangements vary, with some white labels delivering consumer-facing activities (such as billing and communications), while for </w:t>
      </w:r>
      <w:r w:rsidR="00710088" w:rsidRPr="00540E03">
        <w:rPr>
          <w:rFonts w:ascii="Verdana" w:hAnsi="Verdana"/>
          <w:sz w:val="20"/>
          <w:szCs w:val="20"/>
        </w:rPr>
        <w:t>others,</w:t>
      </w:r>
      <w:r w:rsidRPr="00540E03">
        <w:rPr>
          <w:rFonts w:ascii="Verdana" w:hAnsi="Verdana"/>
          <w:sz w:val="20"/>
          <w:szCs w:val="20"/>
        </w:rPr>
        <w:t xml:space="preserve"> these services are wholly provided by the partner supplier. </w:t>
      </w:r>
      <w:r w:rsidR="00846DF2" w:rsidRPr="00540E03">
        <w:rPr>
          <w:rFonts w:ascii="Verdana" w:hAnsi="Verdana"/>
          <w:sz w:val="20"/>
          <w:szCs w:val="20"/>
        </w:rPr>
        <w:t>Irrespective of the consumers’ relationship with the white label provider</w:t>
      </w:r>
      <w:r w:rsidR="00710088" w:rsidRPr="00540E03">
        <w:rPr>
          <w:rFonts w:ascii="Verdana" w:hAnsi="Verdana"/>
          <w:sz w:val="20"/>
          <w:szCs w:val="20"/>
        </w:rPr>
        <w:t>, the</w:t>
      </w:r>
      <w:r w:rsidR="00411BC3" w:rsidRPr="00540E03">
        <w:rPr>
          <w:rFonts w:ascii="Verdana" w:hAnsi="Verdana"/>
          <w:sz w:val="20"/>
          <w:szCs w:val="20"/>
        </w:rPr>
        <w:t xml:space="preserve"> legal relationship between the customer and the licensed energy supplier remain</w:t>
      </w:r>
      <w:r w:rsidR="00846DF2" w:rsidRPr="00540E03">
        <w:rPr>
          <w:rFonts w:ascii="Verdana" w:hAnsi="Verdana"/>
          <w:sz w:val="20"/>
          <w:szCs w:val="20"/>
        </w:rPr>
        <w:t>s</w:t>
      </w:r>
      <w:r w:rsidR="00411BC3" w:rsidRPr="00540E03">
        <w:rPr>
          <w:rFonts w:ascii="Verdana" w:hAnsi="Verdana"/>
          <w:sz w:val="20"/>
          <w:szCs w:val="20"/>
        </w:rPr>
        <w:t xml:space="preserve"> unchanged</w:t>
      </w:r>
      <w:r w:rsidR="00846DF2" w:rsidRPr="00540E03">
        <w:rPr>
          <w:rFonts w:ascii="Verdana" w:hAnsi="Verdana"/>
          <w:sz w:val="20"/>
          <w:szCs w:val="20"/>
        </w:rPr>
        <w:t>. I</w:t>
      </w:r>
      <w:r w:rsidR="00BD0845" w:rsidRPr="00540E03">
        <w:rPr>
          <w:rFonts w:ascii="Verdana" w:hAnsi="Verdana"/>
          <w:sz w:val="20"/>
          <w:szCs w:val="20"/>
        </w:rPr>
        <w:t>t must be obvious to customers</w:t>
      </w:r>
      <w:r w:rsidR="00AB38D8" w:rsidRPr="00540E03">
        <w:rPr>
          <w:rFonts w:ascii="Verdana" w:hAnsi="Verdana"/>
          <w:sz w:val="20"/>
          <w:szCs w:val="20"/>
        </w:rPr>
        <w:t>, from early in the sales process,</w:t>
      </w:r>
      <w:r w:rsidR="00BD0845" w:rsidRPr="00540E03">
        <w:rPr>
          <w:rFonts w:ascii="Verdana" w:hAnsi="Verdana"/>
          <w:sz w:val="20"/>
          <w:szCs w:val="20"/>
        </w:rPr>
        <w:t xml:space="preserve"> that it would be the licensed supplier who would actually be supplying electricity</w:t>
      </w:r>
      <w:r w:rsidR="00BD0845" w:rsidRPr="00540E03">
        <w:rPr>
          <w:rStyle w:val="FootnoteReference"/>
        </w:rPr>
        <w:footnoteReference w:id="18"/>
      </w:r>
      <w:r w:rsidR="00797F9E" w:rsidRPr="00540E03">
        <w:rPr>
          <w:rFonts w:ascii="Verdana" w:hAnsi="Verdana"/>
          <w:sz w:val="20"/>
          <w:szCs w:val="20"/>
        </w:rPr>
        <w:t>.</w:t>
      </w:r>
      <w:r w:rsidRPr="00540E03">
        <w:rPr>
          <w:rFonts w:ascii="Verdana" w:hAnsi="Verdana"/>
          <w:sz w:val="20"/>
          <w:szCs w:val="20"/>
        </w:rPr>
        <w:t xml:space="preserve"> </w:t>
      </w:r>
    </w:p>
    <w:p w14:paraId="1B394097" w14:textId="2BF5E0A1" w:rsidR="00935544" w:rsidRPr="00540E03" w:rsidRDefault="00935544" w:rsidP="00935544">
      <w:pPr>
        <w:pStyle w:val="Heading2"/>
        <w:keepNext/>
        <w:keepLines/>
        <w:numPr>
          <w:ilvl w:val="1"/>
          <w:numId w:val="0"/>
        </w:numPr>
        <w:tabs>
          <w:tab w:val="clear" w:pos="2581"/>
        </w:tabs>
        <w:spacing w:before="360" w:after="120" w:line="276" w:lineRule="auto"/>
        <w:jc w:val="both"/>
        <w:rPr>
          <w:color w:val="17365D" w:themeColor="text2" w:themeShade="BF"/>
          <w:sz w:val="20"/>
          <w:szCs w:val="20"/>
        </w:rPr>
      </w:pPr>
      <w:r w:rsidRPr="00540E03">
        <w:rPr>
          <w:color w:val="17365D" w:themeColor="text2" w:themeShade="BF"/>
          <w:sz w:val="20"/>
          <w:szCs w:val="20"/>
        </w:rPr>
        <w:t xml:space="preserve">Sleeving </w:t>
      </w:r>
    </w:p>
    <w:p w14:paraId="0A0BD10E" w14:textId="58969661" w:rsidR="00935544" w:rsidRPr="00540E03" w:rsidRDefault="00935544" w:rsidP="00764945">
      <w:pPr>
        <w:pStyle w:val="ListParagraph"/>
        <w:numPr>
          <w:ilvl w:val="0"/>
          <w:numId w:val="23"/>
        </w:numPr>
        <w:jc w:val="both"/>
        <w:rPr>
          <w:rFonts w:ascii="Verdana" w:hAnsi="Verdana"/>
          <w:sz w:val="20"/>
          <w:szCs w:val="20"/>
        </w:rPr>
      </w:pPr>
      <w:r w:rsidRPr="00540E03">
        <w:rPr>
          <w:rFonts w:ascii="Verdana" w:hAnsi="Verdana"/>
          <w:sz w:val="20"/>
          <w:szCs w:val="20"/>
        </w:rPr>
        <w:t xml:space="preserve">Sleeving is another form of commercial </w:t>
      </w:r>
      <w:r w:rsidR="003F775B" w:rsidRPr="00540E03">
        <w:rPr>
          <w:rFonts w:ascii="Verdana" w:hAnsi="Verdana"/>
          <w:sz w:val="20"/>
          <w:szCs w:val="20"/>
        </w:rPr>
        <w:t>service</w:t>
      </w:r>
      <w:r w:rsidRPr="00540E03">
        <w:rPr>
          <w:rFonts w:ascii="Verdana" w:hAnsi="Verdana"/>
          <w:sz w:val="20"/>
          <w:szCs w:val="20"/>
        </w:rPr>
        <w:t xml:space="preserve"> offered by some suppliers. It has commonly been used by entities (corporates, public authorities, industrial and commercial facilities) with on-site generation who want to use the public distribution network to supply another of their sites, or another consumer</w:t>
      </w:r>
      <w:r w:rsidR="003F775B" w:rsidRPr="00540E03">
        <w:rPr>
          <w:rFonts w:ascii="Verdana" w:hAnsi="Verdana"/>
          <w:sz w:val="20"/>
          <w:szCs w:val="20"/>
        </w:rPr>
        <w:t>(s)</w:t>
      </w:r>
      <w:r w:rsidRPr="00540E03">
        <w:rPr>
          <w:rFonts w:ascii="Verdana" w:hAnsi="Verdana"/>
          <w:sz w:val="20"/>
          <w:szCs w:val="20"/>
        </w:rPr>
        <w:t xml:space="preserve"> (sometimes this is called peer-to-peer).</w:t>
      </w:r>
    </w:p>
    <w:p w14:paraId="63B7FE6B" w14:textId="7C13435A" w:rsidR="00935544" w:rsidRPr="00540E03" w:rsidRDefault="00935544" w:rsidP="00935544">
      <w:pPr>
        <w:pStyle w:val="ListParagraph"/>
        <w:ind w:left="360"/>
        <w:jc w:val="both"/>
        <w:rPr>
          <w:rFonts w:ascii="Verdana" w:hAnsi="Verdana"/>
          <w:sz w:val="20"/>
          <w:szCs w:val="20"/>
        </w:rPr>
      </w:pPr>
      <w:r w:rsidRPr="00540E03">
        <w:rPr>
          <w:rFonts w:ascii="Verdana" w:hAnsi="Verdana"/>
          <w:sz w:val="20"/>
          <w:szCs w:val="20"/>
        </w:rPr>
        <w:t xml:space="preserve"> </w:t>
      </w:r>
    </w:p>
    <w:p w14:paraId="48154105" w14:textId="77777777" w:rsidR="003F775B" w:rsidRPr="00540E03" w:rsidRDefault="00935544" w:rsidP="00764945">
      <w:pPr>
        <w:pStyle w:val="ListParagraph"/>
        <w:numPr>
          <w:ilvl w:val="0"/>
          <w:numId w:val="23"/>
        </w:numPr>
        <w:jc w:val="both"/>
        <w:rPr>
          <w:rFonts w:ascii="Verdana" w:hAnsi="Verdana"/>
          <w:sz w:val="20"/>
          <w:szCs w:val="20"/>
        </w:rPr>
      </w:pPr>
      <w:r w:rsidRPr="00540E03">
        <w:rPr>
          <w:rFonts w:ascii="Verdana" w:hAnsi="Verdana"/>
          <w:sz w:val="20"/>
          <w:szCs w:val="20"/>
        </w:rPr>
        <w:t xml:space="preserve">The generator and the customer (they can be the same entity) agree terms and then secure the services of a licensed electricity supplier to transport their power over the public network. As well as a fee to transport the power, suppliers </w:t>
      </w:r>
      <w:r w:rsidR="00F367A1" w:rsidRPr="00540E03">
        <w:rPr>
          <w:rFonts w:ascii="Verdana" w:hAnsi="Verdana"/>
          <w:sz w:val="20"/>
          <w:szCs w:val="20"/>
        </w:rPr>
        <w:t xml:space="preserve">can </w:t>
      </w:r>
      <w:r w:rsidRPr="00540E03">
        <w:rPr>
          <w:rFonts w:ascii="Verdana" w:hAnsi="Verdana"/>
          <w:sz w:val="20"/>
          <w:szCs w:val="20"/>
        </w:rPr>
        <w:t xml:space="preserve">also offer other industry services such as providing top-up and back-up / stand-by power if the generator is short (facilities may be off-line), or selling ‘spill’ if the generator produces more power than their customer needs. </w:t>
      </w:r>
    </w:p>
    <w:p w14:paraId="7F920EE3" w14:textId="77777777" w:rsidR="003F775B" w:rsidRPr="00540E03" w:rsidRDefault="003F775B" w:rsidP="003F775B">
      <w:pPr>
        <w:pStyle w:val="ListParagraph"/>
        <w:rPr>
          <w:rFonts w:ascii="Verdana" w:hAnsi="Verdana"/>
          <w:sz w:val="20"/>
          <w:szCs w:val="20"/>
        </w:rPr>
      </w:pPr>
    </w:p>
    <w:p w14:paraId="1BEA77EA" w14:textId="134E7F51" w:rsidR="00935544" w:rsidRPr="00540E03" w:rsidRDefault="00935544" w:rsidP="00764945">
      <w:pPr>
        <w:pStyle w:val="ListParagraph"/>
        <w:numPr>
          <w:ilvl w:val="0"/>
          <w:numId w:val="23"/>
        </w:numPr>
        <w:jc w:val="both"/>
        <w:rPr>
          <w:rFonts w:ascii="Verdana" w:hAnsi="Verdana"/>
          <w:sz w:val="20"/>
          <w:szCs w:val="20"/>
        </w:rPr>
      </w:pPr>
      <w:r w:rsidRPr="00540E03">
        <w:rPr>
          <w:rFonts w:ascii="Verdana" w:hAnsi="Verdana"/>
          <w:sz w:val="20"/>
          <w:szCs w:val="20"/>
        </w:rPr>
        <w:t>As with the white label model, the peer-to-peer relationship operates within the parameters of the licence and ind</w:t>
      </w:r>
      <w:r w:rsidR="00797F9E" w:rsidRPr="00540E03">
        <w:rPr>
          <w:rFonts w:ascii="Verdana" w:hAnsi="Verdana"/>
          <w:sz w:val="20"/>
          <w:szCs w:val="20"/>
        </w:rPr>
        <w:t xml:space="preserve">ustry arrangements of </w:t>
      </w:r>
      <w:r w:rsidR="003F775B" w:rsidRPr="00540E03">
        <w:rPr>
          <w:rFonts w:ascii="Verdana" w:hAnsi="Verdana"/>
          <w:sz w:val="20"/>
          <w:szCs w:val="20"/>
        </w:rPr>
        <w:t>the</w:t>
      </w:r>
      <w:r w:rsidR="00797F9E" w:rsidRPr="00540E03">
        <w:rPr>
          <w:rFonts w:ascii="Verdana" w:hAnsi="Verdana"/>
          <w:sz w:val="20"/>
          <w:szCs w:val="20"/>
        </w:rPr>
        <w:t xml:space="preserve"> licens</w:t>
      </w:r>
      <w:r w:rsidRPr="00540E03">
        <w:rPr>
          <w:rFonts w:ascii="Verdana" w:hAnsi="Verdana"/>
          <w:sz w:val="20"/>
          <w:szCs w:val="20"/>
        </w:rPr>
        <w:t>ed partner supplier.</w:t>
      </w:r>
      <w:r w:rsidRPr="00540E03" w:rsidDel="00372735">
        <w:rPr>
          <w:rFonts w:ascii="Verdana" w:hAnsi="Verdana"/>
          <w:sz w:val="20"/>
          <w:szCs w:val="20"/>
        </w:rPr>
        <w:t xml:space="preserve"> </w:t>
      </w:r>
    </w:p>
    <w:p w14:paraId="12AB75FE" w14:textId="3DB3A4FC" w:rsidR="00017ABB" w:rsidRPr="00540E03" w:rsidRDefault="00017ABB" w:rsidP="00017ABB">
      <w:pPr>
        <w:spacing w:after="0"/>
        <w:jc w:val="both"/>
        <w:rPr>
          <w:rFonts w:ascii="Verdana" w:hAnsi="Verdana"/>
          <w:sz w:val="20"/>
          <w:szCs w:val="20"/>
        </w:rPr>
      </w:pPr>
    </w:p>
    <w:p w14:paraId="2FCD3E6D" w14:textId="77777777" w:rsidR="00017ABB" w:rsidRPr="00540E03" w:rsidRDefault="00017ABB" w:rsidP="00017ABB">
      <w:pPr>
        <w:spacing w:after="0"/>
        <w:jc w:val="both"/>
        <w:rPr>
          <w:rFonts w:ascii="Verdana" w:hAnsi="Verdana"/>
          <w:sz w:val="20"/>
          <w:szCs w:val="20"/>
        </w:rPr>
      </w:pPr>
    </w:p>
    <w:sectPr w:rsidR="00017ABB" w:rsidRPr="00540E03" w:rsidSect="0063600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15EB" w14:textId="77777777" w:rsidR="00646C87" w:rsidRDefault="00646C87" w:rsidP="006338BB">
      <w:pPr>
        <w:spacing w:after="0" w:line="240" w:lineRule="auto"/>
      </w:pPr>
      <w:r>
        <w:separator/>
      </w:r>
    </w:p>
  </w:endnote>
  <w:endnote w:type="continuationSeparator" w:id="0">
    <w:p w14:paraId="5491FE49" w14:textId="77777777" w:rsidR="00646C87" w:rsidRDefault="00646C87" w:rsidP="0063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D699" w14:textId="77777777" w:rsidR="008E3CEC" w:rsidRDefault="008E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77E0" w14:textId="63516C9C" w:rsidR="00646C87" w:rsidRPr="00EE1AA0" w:rsidRDefault="00646C87" w:rsidP="00CF25F7">
    <w:pPr>
      <w:pStyle w:val="Footer"/>
      <w:jc w:val="center"/>
      <w:rPr>
        <w:rFonts w:ascii="Verdana" w:hAnsi="Verdana"/>
        <w:color w:val="E36C0A" w:themeColor="accent6" w:themeShade="BF"/>
        <w:sz w:val="16"/>
        <w:szCs w:val="16"/>
      </w:rPr>
    </w:pPr>
    <w:r w:rsidRPr="00EE1AA0">
      <w:rPr>
        <w:rFonts w:ascii="Verdana" w:hAnsi="Verdana"/>
        <w:color w:val="E36C0A" w:themeColor="accent6" w:themeShade="BF"/>
        <w:sz w:val="16"/>
        <w:szCs w:val="16"/>
      </w:rPr>
      <w:t>Innovation Link</w:t>
    </w:r>
    <w:r w:rsidRPr="00EE1AA0">
      <w:rPr>
        <w:rFonts w:ascii="Verdana" w:hAnsi="Verdana"/>
        <w:color w:val="E36C0A" w:themeColor="accent6" w:themeShade="BF"/>
        <w:sz w:val="16"/>
        <w:szCs w:val="16"/>
      </w:rPr>
      <w:ptab w:relativeTo="margin" w:alignment="center" w:leader="none"/>
    </w:r>
    <w:r w:rsidR="00F75DF2">
      <w:rPr>
        <w:rFonts w:ascii="Verdana" w:hAnsi="Verdana"/>
        <w:color w:val="E36C0A" w:themeColor="accent6" w:themeShade="BF"/>
        <w:sz w:val="16"/>
        <w:szCs w:val="16"/>
      </w:rPr>
      <w:t>27 October</w:t>
    </w:r>
    <w:r>
      <w:rPr>
        <w:rFonts w:ascii="Verdana" w:hAnsi="Verdana"/>
        <w:color w:val="E36C0A" w:themeColor="accent6" w:themeShade="BF"/>
        <w:sz w:val="16"/>
        <w:szCs w:val="16"/>
      </w:rPr>
      <w:t xml:space="preserve"> 2017</w:t>
    </w:r>
    <w:r w:rsidRPr="00EE1AA0">
      <w:rPr>
        <w:rFonts w:ascii="Verdana" w:hAnsi="Verdana"/>
        <w:color w:val="E36C0A" w:themeColor="accent6" w:themeShade="BF"/>
        <w:sz w:val="16"/>
        <w:szCs w:val="16"/>
      </w:rPr>
      <w:ptab w:relativeTo="margin" w:alignment="right" w:leader="none"/>
    </w:r>
    <w:r w:rsidRPr="00EE1AA0">
      <w:rPr>
        <w:rFonts w:ascii="Verdana" w:hAnsi="Verdana"/>
        <w:color w:val="E36C0A" w:themeColor="accent6" w:themeShade="BF"/>
        <w:sz w:val="16"/>
        <w:szCs w:val="16"/>
      </w:rPr>
      <w:t xml:space="preserve">Page </w:t>
    </w:r>
    <w:r w:rsidRPr="00EE1AA0">
      <w:rPr>
        <w:rFonts w:ascii="Verdana" w:hAnsi="Verdana"/>
        <w:color w:val="E36C0A" w:themeColor="accent6" w:themeShade="BF"/>
        <w:sz w:val="16"/>
        <w:szCs w:val="16"/>
      </w:rPr>
      <w:fldChar w:fldCharType="begin"/>
    </w:r>
    <w:r w:rsidRPr="00EE1AA0">
      <w:rPr>
        <w:rFonts w:ascii="Verdana" w:hAnsi="Verdana"/>
        <w:color w:val="E36C0A" w:themeColor="accent6" w:themeShade="BF"/>
        <w:sz w:val="16"/>
        <w:szCs w:val="16"/>
      </w:rPr>
      <w:instrText xml:space="preserve"> PAGE  \* Arabic  \* MERGEFORMAT </w:instrText>
    </w:r>
    <w:r w:rsidRPr="00EE1AA0">
      <w:rPr>
        <w:rFonts w:ascii="Verdana" w:hAnsi="Verdana"/>
        <w:color w:val="E36C0A" w:themeColor="accent6" w:themeShade="BF"/>
        <w:sz w:val="16"/>
        <w:szCs w:val="16"/>
      </w:rPr>
      <w:fldChar w:fldCharType="separate"/>
    </w:r>
    <w:r w:rsidR="00C641EF">
      <w:rPr>
        <w:rFonts w:ascii="Verdana" w:hAnsi="Verdana"/>
        <w:noProof/>
        <w:color w:val="E36C0A" w:themeColor="accent6" w:themeShade="BF"/>
        <w:sz w:val="16"/>
        <w:szCs w:val="16"/>
      </w:rPr>
      <w:t>1</w:t>
    </w:r>
    <w:r w:rsidRPr="00EE1AA0">
      <w:rPr>
        <w:rFonts w:ascii="Verdana" w:hAnsi="Verdana"/>
        <w:color w:val="E36C0A" w:themeColor="accent6" w:themeShade="BF"/>
        <w:sz w:val="16"/>
        <w:szCs w:val="16"/>
      </w:rPr>
      <w:fldChar w:fldCharType="end"/>
    </w:r>
    <w:r w:rsidRPr="00EE1AA0">
      <w:rPr>
        <w:rFonts w:ascii="Verdana" w:hAnsi="Verdana"/>
        <w:color w:val="E36C0A" w:themeColor="accent6" w:themeShade="BF"/>
        <w:sz w:val="16"/>
        <w:szCs w:val="16"/>
      </w:rPr>
      <w:t xml:space="preserve"> of </w:t>
    </w:r>
    <w:r w:rsidRPr="00EE1AA0">
      <w:rPr>
        <w:rFonts w:ascii="Verdana" w:hAnsi="Verdana"/>
        <w:color w:val="E36C0A" w:themeColor="accent6" w:themeShade="BF"/>
        <w:sz w:val="16"/>
        <w:szCs w:val="16"/>
      </w:rPr>
      <w:fldChar w:fldCharType="begin"/>
    </w:r>
    <w:r w:rsidRPr="00EE1AA0">
      <w:rPr>
        <w:rFonts w:ascii="Verdana" w:hAnsi="Verdana"/>
        <w:color w:val="E36C0A" w:themeColor="accent6" w:themeShade="BF"/>
        <w:sz w:val="16"/>
        <w:szCs w:val="16"/>
      </w:rPr>
      <w:instrText xml:space="preserve"> NUMPAGES  \* Arabic  \* MERGEFORMAT </w:instrText>
    </w:r>
    <w:r w:rsidRPr="00EE1AA0">
      <w:rPr>
        <w:rFonts w:ascii="Verdana" w:hAnsi="Verdana"/>
        <w:color w:val="E36C0A" w:themeColor="accent6" w:themeShade="BF"/>
        <w:sz w:val="16"/>
        <w:szCs w:val="16"/>
      </w:rPr>
      <w:fldChar w:fldCharType="separate"/>
    </w:r>
    <w:r w:rsidR="00C641EF">
      <w:rPr>
        <w:rFonts w:ascii="Verdana" w:hAnsi="Verdana"/>
        <w:noProof/>
        <w:color w:val="E36C0A" w:themeColor="accent6" w:themeShade="BF"/>
        <w:sz w:val="16"/>
        <w:szCs w:val="16"/>
      </w:rPr>
      <w:t>10</w:t>
    </w:r>
    <w:r w:rsidRPr="00EE1AA0">
      <w:rPr>
        <w:rFonts w:ascii="Verdana" w:hAnsi="Verdana"/>
        <w:color w:val="E36C0A" w:themeColor="accent6"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4CAA" w14:textId="77777777" w:rsidR="008E3CEC" w:rsidRDefault="008E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0B767" w14:textId="77777777" w:rsidR="00646C87" w:rsidRDefault="00646C87" w:rsidP="006338BB">
      <w:pPr>
        <w:spacing w:after="0" w:line="240" w:lineRule="auto"/>
      </w:pPr>
      <w:r>
        <w:separator/>
      </w:r>
    </w:p>
  </w:footnote>
  <w:footnote w:type="continuationSeparator" w:id="0">
    <w:p w14:paraId="3DD4AD9D" w14:textId="77777777" w:rsidR="00646C87" w:rsidRDefault="00646C87" w:rsidP="006338BB">
      <w:pPr>
        <w:spacing w:after="0" w:line="240" w:lineRule="auto"/>
      </w:pPr>
      <w:r>
        <w:continuationSeparator/>
      </w:r>
    </w:p>
  </w:footnote>
  <w:footnote w:id="1">
    <w:p w14:paraId="7ABABA6C" w14:textId="2782E2E5" w:rsidR="00646C87" w:rsidRPr="00F84446" w:rsidRDefault="00646C87">
      <w:pPr>
        <w:pStyle w:val="FootnoteText"/>
        <w:rPr>
          <w:sz w:val="16"/>
          <w:szCs w:val="16"/>
        </w:rPr>
      </w:pPr>
      <w:r w:rsidRPr="00F84446">
        <w:rPr>
          <w:rStyle w:val="FootnoteReference"/>
          <w:sz w:val="16"/>
          <w:szCs w:val="16"/>
        </w:rPr>
        <w:footnoteRef/>
      </w:r>
      <w:r w:rsidRPr="00F84446">
        <w:rPr>
          <w:sz w:val="16"/>
          <w:szCs w:val="16"/>
        </w:rPr>
        <w:t xml:space="preserve"> For more information about the Innovation Link and how to contact us, please see our </w:t>
      </w:r>
      <w:hyperlink r:id="rId1" w:history="1">
        <w:r w:rsidRPr="00F84446">
          <w:rPr>
            <w:rStyle w:val="Hyperlink"/>
            <w:sz w:val="16"/>
            <w:szCs w:val="16"/>
            <w:bdr w:val="none" w:sz="0" w:space="0" w:color="auto"/>
          </w:rPr>
          <w:t>website</w:t>
        </w:r>
      </w:hyperlink>
      <w:r w:rsidRPr="00F84446">
        <w:rPr>
          <w:sz w:val="16"/>
          <w:szCs w:val="16"/>
        </w:rPr>
        <w:t>.</w:t>
      </w:r>
    </w:p>
    <w:p w14:paraId="6347299B" w14:textId="77777777" w:rsidR="00646C87" w:rsidRPr="00DE47E3" w:rsidRDefault="00646C87">
      <w:pPr>
        <w:pStyle w:val="FootnoteText"/>
        <w:rPr>
          <w:sz w:val="8"/>
          <w:szCs w:val="8"/>
        </w:rPr>
      </w:pPr>
    </w:p>
  </w:footnote>
  <w:footnote w:id="2">
    <w:p w14:paraId="6B278E71" w14:textId="2B3D48FA" w:rsidR="00646C87" w:rsidRPr="00667747" w:rsidRDefault="00646C87">
      <w:pPr>
        <w:pStyle w:val="FootnoteText"/>
        <w:rPr>
          <w:sz w:val="16"/>
          <w:szCs w:val="16"/>
        </w:rPr>
      </w:pPr>
      <w:r w:rsidRPr="00667747">
        <w:rPr>
          <w:rStyle w:val="FootnoteReference"/>
          <w:sz w:val="16"/>
          <w:szCs w:val="16"/>
        </w:rPr>
        <w:footnoteRef/>
      </w:r>
      <w:r w:rsidRPr="00667747">
        <w:rPr>
          <w:sz w:val="16"/>
          <w:szCs w:val="16"/>
        </w:rPr>
        <w:t xml:space="preserve"> Certain class exemptions to the requirement to hold a licence exist. This is explained later in this note.</w:t>
      </w:r>
    </w:p>
    <w:p w14:paraId="69255883" w14:textId="77777777" w:rsidR="00646C87" w:rsidRPr="00DE47E3" w:rsidRDefault="00646C87">
      <w:pPr>
        <w:pStyle w:val="FootnoteText"/>
        <w:rPr>
          <w:sz w:val="8"/>
          <w:szCs w:val="8"/>
        </w:rPr>
      </w:pPr>
    </w:p>
  </w:footnote>
  <w:footnote w:id="3">
    <w:p w14:paraId="366111A7" w14:textId="77777777" w:rsidR="00646C87" w:rsidRPr="00F84446" w:rsidRDefault="00646C87" w:rsidP="00411BC3">
      <w:pPr>
        <w:pStyle w:val="FootnoteText"/>
        <w:rPr>
          <w:sz w:val="16"/>
          <w:szCs w:val="16"/>
        </w:rPr>
      </w:pPr>
      <w:r w:rsidRPr="00F84446">
        <w:rPr>
          <w:rStyle w:val="FootnoteReference"/>
          <w:sz w:val="16"/>
          <w:szCs w:val="16"/>
        </w:rPr>
        <w:footnoteRef/>
      </w:r>
      <w:r w:rsidRPr="00F84446">
        <w:rPr>
          <w:sz w:val="16"/>
          <w:szCs w:val="16"/>
        </w:rPr>
        <w:t xml:space="preserve"> The Electricity Act 1989 is available </w:t>
      </w:r>
      <w:hyperlink r:id="rId2" w:history="1">
        <w:r w:rsidRPr="00F84446">
          <w:rPr>
            <w:rStyle w:val="Hyperlink"/>
            <w:sz w:val="16"/>
            <w:szCs w:val="16"/>
            <w:u w:val="single"/>
          </w:rPr>
          <w:t>here</w:t>
        </w:r>
      </w:hyperlink>
      <w:r w:rsidRPr="00F84446">
        <w:rPr>
          <w:sz w:val="16"/>
          <w:szCs w:val="16"/>
        </w:rPr>
        <w:t>.</w:t>
      </w:r>
    </w:p>
    <w:p w14:paraId="1ED72E24" w14:textId="608DAE35" w:rsidR="00646C87" w:rsidRPr="00DE47E3" w:rsidRDefault="00646C87" w:rsidP="00411BC3">
      <w:pPr>
        <w:pStyle w:val="FootnoteText"/>
        <w:rPr>
          <w:sz w:val="8"/>
          <w:szCs w:val="8"/>
        </w:rPr>
      </w:pPr>
      <w:r w:rsidRPr="00DE47E3">
        <w:rPr>
          <w:sz w:val="8"/>
          <w:szCs w:val="8"/>
        </w:rPr>
        <w:t xml:space="preserve"> </w:t>
      </w:r>
    </w:p>
  </w:footnote>
  <w:footnote w:id="4">
    <w:p w14:paraId="71F5A282" w14:textId="4CDAD014" w:rsidR="00646C87" w:rsidRPr="00F84446" w:rsidRDefault="00646C87" w:rsidP="00710088">
      <w:pPr>
        <w:pStyle w:val="NormalWeb"/>
        <w:shd w:val="clear" w:color="auto" w:fill="FFFFFF"/>
        <w:spacing w:after="0"/>
        <w:ind w:right="4"/>
        <w:jc w:val="both"/>
        <w:textAlignment w:val="baseline"/>
        <w:rPr>
          <w:rFonts w:ascii="Verdana" w:hAnsi="Verdana" w:cs="Arial"/>
          <w:sz w:val="16"/>
          <w:szCs w:val="16"/>
        </w:rPr>
      </w:pPr>
      <w:r w:rsidRPr="00F84446">
        <w:rPr>
          <w:rStyle w:val="FootnoteReference"/>
          <w:sz w:val="16"/>
          <w:szCs w:val="16"/>
        </w:rPr>
        <w:footnoteRef/>
      </w:r>
      <w:r w:rsidRPr="00F84446">
        <w:rPr>
          <w:rFonts w:ascii="Verdana" w:hAnsi="Verdana"/>
          <w:sz w:val="16"/>
          <w:szCs w:val="16"/>
        </w:rPr>
        <w:t xml:space="preserve"> </w:t>
      </w:r>
      <w:r w:rsidRPr="00F84446">
        <w:rPr>
          <w:rFonts w:ascii="Verdana" w:hAnsi="Verdana" w:cs="Arial"/>
          <w:sz w:val="16"/>
          <w:szCs w:val="16"/>
        </w:rPr>
        <w:t xml:space="preserve">The frequency at which the electricity system operates is managed to specific tolerances. This is to ensure that, for example, the appliances and machinery that connect to the system operate effectively, and to ensure the integrity of the system’s physical assets (such as the transmission and distribution wires). System frequency is a continuously changing variable that is determined and controlled by the second-by-second balance between system demand and total generation. If demand is greater than generation, the frequency falls while if generation is greater than demand, the frequency rises. </w:t>
      </w:r>
      <w:hyperlink r:id="rId3" w:history="1">
        <w:r w:rsidRPr="00977F96">
          <w:rPr>
            <w:rStyle w:val="Hyperlink"/>
            <w:rFonts w:ascii="Verdana" w:hAnsi="Verdana" w:cs="Arial"/>
            <w:color w:val="365F91" w:themeColor="accent1" w:themeShade="BF"/>
            <w:sz w:val="16"/>
            <w:szCs w:val="16"/>
            <w:u w:val="single"/>
          </w:rPr>
          <w:t>National Grid</w:t>
        </w:r>
      </w:hyperlink>
      <w:r w:rsidRPr="00F84446">
        <w:rPr>
          <w:rFonts w:ascii="Verdana" w:hAnsi="Verdana" w:cs="Arial"/>
          <w:sz w:val="16"/>
          <w:szCs w:val="16"/>
        </w:rPr>
        <w:t xml:space="preserve"> has a licence obligation to control frequency within the limits specified in the 'Electricity Supply Regulations', i.e. ±1% of nominal system frequency (50.00Hz) save in abnormal or exceptional circumstances. National Grid must, therefore, ensure that sufficient generation and / or demand is held in automatic readiness to manage all credible circumstances that might result in frequency variations.</w:t>
      </w:r>
    </w:p>
  </w:footnote>
  <w:footnote w:id="5">
    <w:p w14:paraId="5AF4E189" w14:textId="21C9CE32" w:rsidR="000E307A" w:rsidRDefault="000E307A" w:rsidP="000E307A">
      <w:pPr>
        <w:pStyle w:val="FootnoteText"/>
        <w:jc w:val="both"/>
        <w:rPr>
          <w:sz w:val="16"/>
          <w:szCs w:val="16"/>
        </w:rPr>
      </w:pPr>
      <w:r w:rsidRPr="000E307A">
        <w:rPr>
          <w:rStyle w:val="FootnoteReference"/>
          <w:sz w:val="16"/>
          <w:szCs w:val="16"/>
        </w:rPr>
        <w:footnoteRef/>
      </w:r>
      <w:r w:rsidRPr="000E307A">
        <w:rPr>
          <w:sz w:val="16"/>
          <w:szCs w:val="16"/>
        </w:rPr>
        <w:t xml:space="preserve"> In recent years, a number of suppliers have entered the market by buying an already licensed and compliant supp</w:t>
      </w:r>
      <w:r w:rsidR="00540E03">
        <w:rPr>
          <w:sz w:val="16"/>
          <w:szCs w:val="16"/>
        </w:rPr>
        <w:t>ly business from a third party. T</w:t>
      </w:r>
      <w:r w:rsidR="00710088">
        <w:rPr>
          <w:sz w:val="16"/>
          <w:szCs w:val="16"/>
        </w:rPr>
        <w:t xml:space="preserve">hese third parties can also provide </w:t>
      </w:r>
      <w:r w:rsidRPr="000E307A">
        <w:rPr>
          <w:sz w:val="16"/>
          <w:szCs w:val="16"/>
        </w:rPr>
        <w:t>ongoing operational</w:t>
      </w:r>
      <w:r w:rsidR="00710088">
        <w:rPr>
          <w:sz w:val="16"/>
          <w:szCs w:val="16"/>
        </w:rPr>
        <w:t xml:space="preserve"> services</w:t>
      </w:r>
      <w:r w:rsidRPr="000E307A">
        <w:rPr>
          <w:sz w:val="16"/>
          <w:szCs w:val="16"/>
        </w:rPr>
        <w:t>.</w:t>
      </w:r>
    </w:p>
    <w:p w14:paraId="02CAB84D" w14:textId="77777777" w:rsidR="000E307A" w:rsidRPr="000E307A" w:rsidRDefault="000E307A">
      <w:pPr>
        <w:pStyle w:val="FootnoteText"/>
        <w:rPr>
          <w:sz w:val="8"/>
          <w:szCs w:val="8"/>
        </w:rPr>
      </w:pPr>
    </w:p>
  </w:footnote>
  <w:footnote w:id="6">
    <w:p w14:paraId="08F6CF30" w14:textId="0F0302AD" w:rsidR="00646C87" w:rsidRPr="002D3371" w:rsidRDefault="00646C87" w:rsidP="00411BC3">
      <w:pPr>
        <w:autoSpaceDE w:val="0"/>
        <w:autoSpaceDN w:val="0"/>
        <w:adjustRightInd w:val="0"/>
        <w:spacing w:after="0" w:line="240" w:lineRule="auto"/>
        <w:rPr>
          <w:rFonts w:ascii="Verdana" w:hAnsi="Verdana" w:cs="AkzidenzGroteskPro-Regular"/>
          <w:sz w:val="16"/>
          <w:szCs w:val="16"/>
        </w:rPr>
      </w:pPr>
      <w:r w:rsidRPr="00656A1E">
        <w:rPr>
          <w:rStyle w:val="FootnoteReference"/>
          <w:sz w:val="16"/>
          <w:szCs w:val="16"/>
        </w:rPr>
        <w:footnoteRef/>
      </w:r>
      <w:r w:rsidRPr="00656A1E">
        <w:rPr>
          <w:rFonts w:ascii="Verdana" w:hAnsi="Verdana"/>
          <w:sz w:val="16"/>
          <w:szCs w:val="16"/>
        </w:rPr>
        <w:t xml:space="preserve"> </w:t>
      </w:r>
      <w:r w:rsidRPr="00656A1E">
        <w:rPr>
          <w:rFonts w:ascii="Verdana" w:hAnsi="Verdana" w:cs="AkzidenzGroteskPro-Regular"/>
          <w:sz w:val="16"/>
          <w:szCs w:val="16"/>
        </w:rPr>
        <w:t xml:space="preserve">Information about how to apply for a licence is available </w:t>
      </w:r>
      <w:hyperlink r:id="rId4" w:history="1">
        <w:r w:rsidRPr="00764945">
          <w:rPr>
            <w:rStyle w:val="Hyperlink"/>
            <w:rFonts w:ascii="Verdana" w:hAnsi="Verdana" w:cs="AkzidenzGroteskPro-Regular"/>
            <w:sz w:val="16"/>
            <w:szCs w:val="16"/>
            <w:u w:val="single"/>
          </w:rPr>
          <w:t>here</w:t>
        </w:r>
      </w:hyperlink>
      <w:r>
        <w:rPr>
          <w:rFonts w:ascii="Verdana" w:hAnsi="Verdana" w:cs="AkzidenzGroteskPro-Regular"/>
          <w:sz w:val="16"/>
          <w:szCs w:val="16"/>
        </w:rPr>
        <w:t>.</w:t>
      </w:r>
    </w:p>
  </w:footnote>
  <w:footnote w:id="7">
    <w:p w14:paraId="223027E4" w14:textId="782D139E" w:rsidR="00646C87" w:rsidRPr="002345B6" w:rsidRDefault="00646C87" w:rsidP="00710088">
      <w:pPr>
        <w:pStyle w:val="FootnoteText"/>
        <w:jc w:val="both"/>
        <w:rPr>
          <w:sz w:val="16"/>
          <w:szCs w:val="16"/>
        </w:rPr>
      </w:pPr>
      <w:r w:rsidRPr="002345B6">
        <w:rPr>
          <w:rStyle w:val="FootnoteReference"/>
          <w:sz w:val="16"/>
          <w:szCs w:val="16"/>
        </w:rPr>
        <w:footnoteRef/>
      </w:r>
      <w:r w:rsidRPr="002345B6">
        <w:rPr>
          <w:sz w:val="16"/>
          <w:szCs w:val="16"/>
        </w:rPr>
        <w:t xml:space="preserve"> This requirement can be subject to exceptions, for example under </w:t>
      </w:r>
      <w:r>
        <w:rPr>
          <w:sz w:val="16"/>
          <w:szCs w:val="16"/>
        </w:rPr>
        <w:t xml:space="preserve">Standard Licence Condition </w:t>
      </w:r>
      <w:r w:rsidRPr="002345B6">
        <w:rPr>
          <w:sz w:val="16"/>
          <w:szCs w:val="16"/>
        </w:rPr>
        <w:t>SLC 22.7</w:t>
      </w:r>
      <w:r>
        <w:rPr>
          <w:sz w:val="16"/>
          <w:szCs w:val="16"/>
        </w:rPr>
        <w:t xml:space="preserve">. See the electricity supply licence </w:t>
      </w:r>
      <w:hyperlink r:id="rId5" w:history="1">
        <w:r w:rsidRPr="002345B6">
          <w:rPr>
            <w:rStyle w:val="Hyperlink"/>
            <w:sz w:val="16"/>
            <w:szCs w:val="16"/>
            <w:u w:val="single"/>
            <w:bdr w:val="none" w:sz="0" w:space="0" w:color="auto"/>
          </w:rPr>
          <w:t>here</w:t>
        </w:r>
      </w:hyperlink>
      <w:r>
        <w:rPr>
          <w:sz w:val="16"/>
          <w:szCs w:val="16"/>
        </w:rPr>
        <w:t xml:space="preserve">. </w:t>
      </w:r>
      <w:r w:rsidRPr="002345B6">
        <w:rPr>
          <w:sz w:val="16"/>
          <w:szCs w:val="16"/>
        </w:rPr>
        <w:t xml:space="preserve">  </w:t>
      </w:r>
    </w:p>
  </w:footnote>
  <w:footnote w:id="8">
    <w:p w14:paraId="7B052079" w14:textId="79BAC30F" w:rsidR="00646C87" w:rsidRPr="00F84446" w:rsidRDefault="00646C87" w:rsidP="00D37255">
      <w:pPr>
        <w:pStyle w:val="FootnoteText"/>
        <w:jc w:val="both"/>
        <w:rPr>
          <w:sz w:val="16"/>
          <w:szCs w:val="16"/>
        </w:rPr>
      </w:pPr>
      <w:r w:rsidRPr="00F84446">
        <w:rPr>
          <w:rStyle w:val="FootnoteReference"/>
          <w:sz w:val="16"/>
          <w:szCs w:val="16"/>
        </w:rPr>
        <w:footnoteRef/>
      </w:r>
      <w:r w:rsidRPr="00F84446">
        <w:rPr>
          <w:sz w:val="16"/>
          <w:szCs w:val="16"/>
        </w:rPr>
        <w:t xml:space="preserve"> To keep in touch with changes to the standard conditions of the electricity supply licence, see </w:t>
      </w:r>
      <w:hyperlink r:id="rId6" w:history="1">
        <w:r w:rsidRPr="00F84446">
          <w:rPr>
            <w:rStyle w:val="Hyperlink"/>
            <w:sz w:val="16"/>
            <w:szCs w:val="16"/>
            <w:u w:val="single"/>
            <w:bdr w:val="none" w:sz="0" w:space="0" w:color="auto"/>
          </w:rPr>
          <w:t>here</w:t>
        </w:r>
      </w:hyperlink>
      <w:r w:rsidRPr="00F84446">
        <w:rPr>
          <w:sz w:val="16"/>
          <w:szCs w:val="16"/>
        </w:rPr>
        <w:t xml:space="preserve">. All proposed licence changes will be consulted upon and will be available </w:t>
      </w:r>
      <w:hyperlink r:id="rId7" w:history="1">
        <w:r w:rsidRPr="00F84446">
          <w:rPr>
            <w:rStyle w:val="Hyperlink"/>
            <w:sz w:val="16"/>
            <w:szCs w:val="16"/>
            <w:u w:val="single"/>
            <w:bdr w:val="none" w:sz="0" w:space="0" w:color="auto"/>
          </w:rPr>
          <w:t>here</w:t>
        </w:r>
        <w:r w:rsidRPr="00F84446">
          <w:rPr>
            <w:rStyle w:val="Hyperlink"/>
            <w:sz w:val="16"/>
            <w:szCs w:val="16"/>
            <w:bdr w:val="none" w:sz="0" w:space="0" w:color="auto"/>
          </w:rPr>
          <w:t xml:space="preserve">. </w:t>
        </w:r>
      </w:hyperlink>
    </w:p>
    <w:p w14:paraId="78E8DE2A" w14:textId="77777777" w:rsidR="00646C87" w:rsidRPr="00302998" w:rsidRDefault="00646C87">
      <w:pPr>
        <w:pStyle w:val="FootnoteText"/>
        <w:rPr>
          <w:sz w:val="8"/>
          <w:szCs w:val="8"/>
        </w:rPr>
      </w:pPr>
    </w:p>
  </w:footnote>
  <w:footnote w:id="9">
    <w:p w14:paraId="6A04E962" w14:textId="7815EB80" w:rsidR="00646C87" w:rsidRPr="00F84446" w:rsidRDefault="00646C87" w:rsidP="00302998">
      <w:pPr>
        <w:pStyle w:val="FootnoteText"/>
        <w:jc w:val="both"/>
        <w:rPr>
          <w:sz w:val="16"/>
          <w:szCs w:val="16"/>
        </w:rPr>
      </w:pPr>
      <w:r w:rsidRPr="00F84446">
        <w:rPr>
          <w:rStyle w:val="FootnoteReference"/>
          <w:sz w:val="16"/>
          <w:szCs w:val="16"/>
        </w:rPr>
        <w:footnoteRef/>
      </w:r>
      <w:r w:rsidRPr="00F84446">
        <w:rPr>
          <w:sz w:val="16"/>
          <w:szCs w:val="16"/>
        </w:rPr>
        <w:t xml:space="preserve"> The way electricity is supplied to Britain’s homes and businesses is changing. To ensure these changes benefit consumers, we need to rely less on one-size-fits-all prescriptive rules and more on principles in the way we regulate. Prescriptive rules are not a sustainable way of responding to risks and opportunities in the market. Principles put responsibility on suppliers to think carefully about how to deliver good consumer outcomes in different situations. Unlike prescriptive rules, principles do not need modifying to respond to new problems. Through our FRR </w:t>
      </w:r>
      <w:r w:rsidR="00710088" w:rsidRPr="00F84446">
        <w:rPr>
          <w:sz w:val="16"/>
          <w:szCs w:val="16"/>
        </w:rPr>
        <w:t>work,</w:t>
      </w:r>
      <w:r w:rsidRPr="00F84446">
        <w:rPr>
          <w:sz w:val="16"/>
          <w:szCs w:val="16"/>
        </w:rPr>
        <w:t xml:space="preserve"> we are continuously reviewing the supply licence to identify areas better suited to a principles-based approach. More information about FRR and changes to the supply licence is available </w:t>
      </w:r>
      <w:hyperlink r:id="rId8" w:history="1">
        <w:r w:rsidRPr="00F84446">
          <w:rPr>
            <w:rStyle w:val="Hyperlink"/>
            <w:sz w:val="16"/>
            <w:szCs w:val="16"/>
            <w:u w:val="single"/>
            <w:bdr w:val="none" w:sz="0" w:space="0" w:color="auto"/>
          </w:rPr>
          <w:t>here</w:t>
        </w:r>
      </w:hyperlink>
      <w:r w:rsidRPr="00F84446">
        <w:rPr>
          <w:sz w:val="16"/>
          <w:szCs w:val="16"/>
        </w:rPr>
        <w:t>.</w:t>
      </w:r>
    </w:p>
    <w:p w14:paraId="640F9C5E" w14:textId="77777777" w:rsidR="00646C87" w:rsidRPr="00711FB5" w:rsidRDefault="00646C87" w:rsidP="00302998">
      <w:pPr>
        <w:pStyle w:val="FootnoteText"/>
        <w:jc w:val="both"/>
        <w:rPr>
          <w:sz w:val="8"/>
          <w:szCs w:val="8"/>
        </w:rPr>
      </w:pPr>
    </w:p>
  </w:footnote>
  <w:footnote w:id="10">
    <w:p w14:paraId="215BD221" w14:textId="4775387F" w:rsidR="00646C87" w:rsidRPr="00711FB5" w:rsidRDefault="00646C87">
      <w:pPr>
        <w:pStyle w:val="FootnoteText"/>
        <w:rPr>
          <w:sz w:val="16"/>
          <w:szCs w:val="16"/>
        </w:rPr>
      </w:pPr>
      <w:r w:rsidRPr="00711FB5">
        <w:rPr>
          <w:rStyle w:val="FootnoteReference"/>
          <w:sz w:val="16"/>
          <w:szCs w:val="16"/>
        </w:rPr>
        <w:footnoteRef/>
      </w:r>
      <w:r w:rsidRPr="00711FB5">
        <w:rPr>
          <w:sz w:val="16"/>
          <w:szCs w:val="16"/>
        </w:rPr>
        <w:t xml:space="preserve"> </w:t>
      </w:r>
      <w:r>
        <w:rPr>
          <w:sz w:val="16"/>
          <w:szCs w:val="16"/>
        </w:rPr>
        <w:t>Our 2017/18</w:t>
      </w:r>
      <w:r w:rsidRPr="00711FB5">
        <w:rPr>
          <w:sz w:val="16"/>
          <w:szCs w:val="16"/>
        </w:rPr>
        <w:t xml:space="preserve"> Forward Work Plan is available </w:t>
      </w:r>
      <w:hyperlink r:id="rId9" w:history="1">
        <w:r w:rsidRPr="00711FB5">
          <w:rPr>
            <w:rStyle w:val="Hyperlink"/>
            <w:sz w:val="16"/>
            <w:szCs w:val="16"/>
            <w:u w:val="single"/>
            <w:bdr w:val="none" w:sz="0" w:space="0" w:color="auto"/>
            <w14:textFill>
              <w14:solidFill>
                <w14:srgbClr w14:val="265288">
                  <w14:lumMod w14:val="75000"/>
                </w14:srgbClr>
              </w14:solidFill>
            </w14:textFill>
          </w:rPr>
          <w:t>here</w:t>
        </w:r>
      </w:hyperlink>
      <w:r>
        <w:rPr>
          <w:color w:val="365F91" w:themeColor="accent1" w:themeShade="BF"/>
          <w:sz w:val="16"/>
          <w:szCs w:val="16"/>
          <w:u w:val="single"/>
        </w:rPr>
        <w:t>.</w:t>
      </w:r>
    </w:p>
  </w:footnote>
  <w:footnote w:id="11">
    <w:p w14:paraId="571D4743" w14:textId="77777777" w:rsidR="00646C87" w:rsidRDefault="00646C87" w:rsidP="00411BC3">
      <w:pPr>
        <w:pStyle w:val="FootnoteText"/>
        <w:jc w:val="both"/>
      </w:pPr>
      <w:r w:rsidRPr="002D3371">
        <w:rPr>
          <w:rStyle w:val="FootnoteReference"/>
          <w:sz w:val="16"/>
          <w:szCs w:val="16"/>
        </w:rPr>
        <w:footnoteRef/>
      </w:r>
      <w:r w:rsidRPr="002D3371">
        <w:rPr>
          <w:sz w:val="16"/>
          <w:szCs w:val="16"/>
        </w:rPr>
        <w:t xml:space="preserve"> A Licence Lite factsheet is available </w:t>
      </w:r>
      <w:hyperlink r:id="rId10" w:history="1">
        <w:r w:rsidRPr="008C0BF9">
          <w:rPr>
            <w:rStyle w:val="Hyperlink"/>
            <w:sz w:val="16"/>
            <w:szCs w:val="16"/>
            <w:u w:val="single"/>
          </w:rPr>
          <w:t>here</w:t>
        </w:r>
      </w:hyperlink>
      <w:r w:rsidRPr="002D3371">
        <w:rPr>
          <w:sz w:val="16"/>
          <w:szCs w:val="16"/>
        </w:rPr>
        <w:t xml:space="preserve">. The Licence Lite operating guidance is available </w:t>
      </w:r>
      <w:hyperlink r:id="rId11" w:history="1">
        <w:r w:rsidRPr="008C0BF9">
          <w:rPr>
            <w:rStyle w:val="Hyperlink"/>
            <w:sz w:val="16"/>
            <w:szCs w:val="16"/>
            <w:u w:val="single"/>
          </w:rPr>
          <w:t>here</w:t>
        </w:r>
      </w:hyperlink>
      <w:r w:rsidRPr="002D3371">
        <w:rPr>
          <w:sz w:val="16"/>
          <w:szCs w:val="16"/>
        </w:rPr>
        <w:t>.</w:t>
      </w:r>
      <w:r>
        <w:t xml:space="preserve"> </w:t>
      </w:r>
    </w:p>
  </w:footnote>
  <w:footnote w:id="12">
    <w:p w14:paraId="376EED5F" w14:textId="02231FEA" w:rsidR="00646C87" w:rsidRDefault="00646C87" w:rsidP="00764945">
      <w:pPr>
        <w:pStyle w:val="FootnoteText"/>
        <w:jc w:val="both"/>
        <w:rPr>
          <w:sz w:val="16"/>
          <w:szCs w:val="16"/>
        </w:rPr>
      </w:pPr>
      <w:r w:rsidRPr="00E75C28">
        <w:rPr>
          <w:rStyle w:val="FootnoteReference"/>
          <w:sz w:val="16"/>
          <w:szCs w:val="16"/>
        </w:rPr>
        <w:footnoteRef/>
      </w:r>
      <w:r w:rsidRPr="00E75C28">
        <w:rPr>
          <w:sz w:val="16"/>
          <w:szCs w:val="16"/>
        </w:rPr>
        <w:t xml:space="preserve"> </w:t>
      </w:r>
      <w:r w:rsidRPr="009277CA">
        <w:rPr>
          <w:sz w:val="16"/>
          <w:szCs w:val="16"/>
        </w:rPr>
        <w:t xml:space="preserve">More information about exemptions and the </w:t>
      </w:r>
      <w:r>
        <w:rPr>
          <w:sz w:val="16"/>
          <w:szCs w:val="16"/>
        </w:rPr>
        <w:t xml:space="preserve">frequently asked questions </w:t>
      </w:r>
      <w:r w:rsidRPr="009277CA">
        <w:rPr>
          <w:sz w:val="16"/>
          <w:szCs w:val="16"/>
        </w:rPr>
        <w:t xml:space="preserve">note is available </w:t>
      </w:r>
      <w:hyperlink r:id="rId12" w:history="1">
        <w:r w:rsidRPr="009277CA">
          <w:rPr>
            <w:rStyle w:val="Hyperlink"/>
            <w:sz w:val="16"/>
            <w:szCs w:val="16"/>
            <w:u w:val="single"/>
          </w:rPr>
          <w:t>here</w:t>
        </w:r>
      </w:hyperlink>
      <w:r w:rsidRPr="009277CA">
        <w:rPr>
          <w:sz w:val="16"/>
          <w:szCs w:val="16"/>
        </w:rPr>
        <w:t xml:space="preserve">. </w:t>
      </w:r>
    </w:p>
    <w:p w14:paraId="54E7FF3A" w14:textId="77777777" w:rsidR="00646C87" w:rsidRPr="009277CA" w:rsidRDefault="00646C87" w:rsidP="00764945">
      <w:pPr>
        <w:pStyle w:val="FootnoteText"/>
        <w:jc w:val="both"/>
        <w:rPr>
          <w:sz w:val="8"/>
          <w:szCs w:val="8"/>
        </w:rPr>
      </w:pPr>
    </w:p>
  </w:footnote>
  <w:footnote w:id="13">
    <w:p w14:paraId="7ACC2DAD" w14:textId="7870F5BB" w:rsidR="00646C87" w:rsidRDefault="00646C87" w:rsidP="00764945">
      <w:pPr>
        <w:pStyle w:val="FootnoteText"/>
        <w:jc w:val="both"/>
        <w:rPr>
          <w:sz w:val="16"/>
          <w:szCs w:val="16"/>
        </w:rPr>
      </w:pPr>
      <w:r w:rsidRPr="009277CA">
        <w:rPr>
          <w:rStyle w:val="FootnoteReference"/>
          <w:sz w:val="16"/>
          <w:szCs w:val="16"/>
        </w:rPr>
        <w:footnoteRef/>
      </w:r>
      <w:r w:rsidRPr="009277CA">
        <w:rPr>
          <w:sz w:val="16"/>
          <w:szCs w:val="16"/>
        </w:rPr>
        <w:t xml:space="preserve"> The 2001 Order is available </w:t>
      </w:r>
      <w:hyperlink r:id="rId13" w:history="1">
        <w:r w:rsidRPr="009277CA">
          <w:rPr>
            <w:rStyle w:val="Hyperlink"/>
            <w:sz w:val="16"/>
            <w:szCs w:val="16"/>
            <w:u w:val="single"/>
          </w:rPr>
          <w:t>here</w:t>
        </w:r>
      </w:hyperlink>
      <w:r w:rsidRPr="009277CA">
        <w:rPr>
          <w:sz w:val="16"/>
          <w:szCs w:val="16"/>
        </w:rPr>
        <w:t>.</w:t>
      </w:r>
    </w:p>
    <w:p w14:paraId="20900890" w14:textId="77777777" w:rsidR="00646C87" w:rsidRPr="009277CA" w:rsidRDefault="00646C87" w:rsidP="00764945">
      <w:pPr>
        <w:pStyle w:val="FootnoteText"/>
        <w:jc w:val="both"/>
        <w:rPr>
          <w:sz w:val="8"/>
          <w:szCs w:val="8"/>
        </w:rPr>
      </w:pPr>
    </w:p>
  </w:footnote>
  <w:footnote w:id="14">
    <w:p w14:paraId="35953652" w14:textId="1D7FE1DE" w:rsidR="00646C87" w:rsidRPr="009277CA" w:rsidRDefault="00646C87" w:rsidP="00764945">
      <w:pPr>
        <w:pStyle w:val="Default"/>
        <w:jc w:val="both"/>
        <w:rPr>
          <w:sz w:val="16"/>
          <w:szCs w:val="16"/>
        </w:rPr>
      </w:pPr>
      <w:r w:rsidRPr="009277CA">
        <w:rPr>
          <w:rStyle w:val="FootnoteReference"/>
          <w:sz w:val="16"/>
          <w:szCs w:val="16"/>
        </w:rPr>
        <w:footnoteRef/>
      </w:r>
      <w:r w:rsidRPr="009277CA">
        <w:rPr>
          <w:sz w:val="16"/>
          <w:szCs w:val="16"/>
        </w:rPr>
        <w:t xml:space="preserve"> Ofgem has the power to set the maximum retail price (MRP) through direction. General guidance for resellers is available </w:t>
      </w:r>
      <w:hyperlink r:id="rId14" w:history="1">
        <w:r w:rsidRPr="009277CA">
          <w:rPr>
            <w:rStyle w:val="Hyperlink"/>
            <w:sz w:val="16"/>
            <w:szCs w:val="16"/>
            <w:u w:val="single"/>
          </w:rPr>
          <w:t>here</w:t>
        </w:r>
      </w:hyperlink>
      <w:r w:rsidRPr="009277CA">
        <w:rPr>
          <w:sz w:val="16"/>
          <w:szCs w:val="16"/>
        </w:rPr>
        <w:t xml:space="preserve">. Ofgem is able to decide how the MRP provisions apply and in </w:t>
      </w:r>
      <w:r w:rsidR="00710088" w:rsidRPr="009277CA">
        <w:rPr>
          <w:sz w:val="16"/>
          <w:szCs w:val="16"/>
        </w:rPr>
        <w:t>2014,</w:t>
      </w:r>
      <w:r w:rsidRPr="009277CA">
        <w:rPr>
          <w:sz w:val="16"/>
          <w:szCs w:val="16"/>
        </w:rPr>
        <w:t xml:space="preserve"> we </w:t>
      </w:r>
      <w:hyperlink r:id="rId15" w:history="1">
        <w:r w:rsidRPr="009277CA">
          <w:rPr>
            <w:rStyle w:val="Hyperlink"/>
            <w:sz w:val="16"/>
            <w:szCs w:val="16"/>
            <w:u w:val="single"/>
            <w:bdr w:val="none" w:sz="0" w:space="0" w:color="auto"/>
          </w:rPr>
          <w:t>decided</w:t>
        </w:r>
      </w:hyperlink>
      <w:r w:rsidRPr="009277CA">
        <w:rPr>
          <w:sz w:val="16"/>
          <w:szCs w:val="16"/>
        </w:rPr>
        <w:t xml:space="preserve"> that they shall not apply to the resale of electricity from charge points for use by electric vehicles (EVs)</w:t>
      </w:r>
      <w:r>
        <w:rPr>
          <w:sz w:val="16"/>
          <w:szCs w:val="16"/>
        </w:rPr>
        <w:t>.</w:t>
      </w:r>
    </w:p>
    <w:p w14:paraId="6E98FD10" w14:textId="77777777" w:rsidR="00646C87" w:rsidRPr="009277CA" w:rsidRDefault="00646C87" w:rsidP="00411BC3">
      <w:pPr>
        <w:pStyle w:val="FootnoteText"/>
        <w:jc w:val="both"/>
        <w:rPr>
          <w:sz w:val="4"/>
          <w:szCs w:val="4"/>
        </w:rPr>
      </w:pPr>
    </w:p>
  </w:footnote>
  <w:footnote w:id="15">
    <w:p w14:paraId="32790E12" w14:textId="0E1183F7" w:rsidR="00646C87" w:rsidRDefault="00646C87" w:rsidP="00F84446">
      <w:pPr>
        <w:pStyle w:val="FootnoteText"/>
        <w:jc w:val="both"/>
        <w:rPr>
          <w:sz w:val="16"/>
          <w:szCs w:val="16"/>
          <w:u w:val="single"/>
        </w:rPr>
      </w:pPr>
      <w:r w:rsidRPr="00C33F99">
        <w:rPr>
          <w:rStyle w:val="FootnoteReference"/>
          <w:sz w:val="16"/>
          <w:szCs w:val="16"/>
        </w:rPr>
        <w:footnoteRef/>
      </w:r>
      <w:r w:rsidRPr="00C33F99">
        <w:rPr>
          <w:sz w:val="16"/>
          <w:szCs w:val="16"/>
        </w:rPr>
        <w:t xml:space="preserve"> “Electricity Generation, Distribution and Supply Licence Exemptions – FAQs”, BEIS, </w:t>
      </w:r>
      <w:r>
        <w:rPr>
          <w:sz w:val="16"/>
          <w:szCs w:val="16"/>
        </w:rPr>
        <w:t>2017</w:t>
      </w:r>
      <w:r w:rsidRPr="00C33F99">
        <w:rPr>
          <w:sz w:val="16"/>
          <w:szCs w:val="16"/>
        </w:rPr>
        <w:t>, p</w:t>
      </w:r>
      <w:r>
        <w:rPr>
          <w:sz w:val="16"/>
          <w:szCs w:val="16"/>
        </w:rPr>
        <w:t>5</w:t>
      </w:r>
      <w:r w:rsidRPr="00C33F99">
        <w:rPr>
          <w:sz w:val="16"/>
          <w:szCs w:val="16"/>
        </w:rPr>
        <w:t xml:space="preserve">: </w:t>
      </w:r>
      <w:hyperlink r:id="rId16" w:history="1">
        <w:r w:rsidRPr="00C33F99">
          <w:rPr>
            <w:rStyle w:val="Hyperlink"/>
            <w:sz w:val="16"/>
            <w:szCs w:val="16"/>
            <w:u w:val="single"/>
            <w:bdr w:val="none" w:sz="0" w:space="0" w:color="auto"/>
          </w:rPr>
          <w:t>here</w:t>
        </w:r>
      </w:hyperlink>
      <w:r w:rsidRPr="00C33F99">
        <w:rPr>
          <w:sz w:val="16"/>
          <w:szCs w:val="16"/>
          <w:u w:val="single"/>
        </w:rPr>
        <w:t>.</w:t>
      </w:r>
    </w:p>
    <w:p w14:paraId="51B91971" w14:textId="77777777" w:rsidR="00646C87" w:rsidRPr="00C33F99" w:rsidRDefault="00646C87" w:rsidP="00F84446">
      <w:pPr>
        <w:pStyle w:val="FootnoteText"/>
        <w:jc w:val="both"/>
        <w:rPr>
          <w:sz w:val="8"/>
          <w:szCs w:val="8"/>
        </w:rPr>
      </w:pPr>
    </w:p>
  </w:footnote>
  <w:footnote w:id="16">
    <w:p w14:paraId="31A6A45F" w14:textId="3C4544F6" w:rsidR="00646C87" w:rsidRDefault="00646C87" w:rsidP="00F84446">
      <w:pPr>
        <w:pStyle w:val="FootnoteText"/>
        <w:jc w:val="both"/>
        <w:rPr>
          <w:sz w:val="16"/>
          <w:szCs w:val="16"/>
        </w:rPr>
      </w:pPr>
      <w:r w:rsidRPr="00E75C28">
        <w:rPr>
          <w:rStyle w:val="FootnoteReference"/>
          <w:sz w:val="16"/>
          <w:szCs w:val="16"/>
        </w:rPr>
        <w:footnoteRef/>
      </w:r>
      <w:r w:rsidRPr="00E75C28">
        <w:rPr>
          <w:sz w:val="16"/>
          <w:szCs w:val="16"/>
        </w:rPr>
        <w:t xml:space="preserve"> The </w:t>
      </w:r>
      <w:hyperlink r:id="rId17" w:history="1">
        <w:r w:rsidRPr="00E75C28">
          <w:rPr>
            <w:rStyle w:val="Hyperlink"/>
            <w:sz w:val="16"/>
            <w:szCs w:val="16"/>
          </w:rPr>
          <w:t>Electricity and Gas (Internal Markets) Regulations 2011</w:t>
        </w:r>
      </w:hyperlink>
      <w:r w:rsidRPr="00E75C28">
        <w:rPr>
          <w:sz w:val="16"/>
          <w:szCs w:val="16"/>
        </w:rPr>
        <w:t xml:space="preserve"> set out changes to UK legislation to enact the EU 3rd package reforms. Specifically, schedule </w:t>
      </w:r>
      <w:hyperlink r:id="rId18" w:history="1">
        <w:r w:rsidRPr="00E75C28">
          <w:rPr>
            <w:rStyle w:val="Hyperlink"/>
            <w:sz w:val="16"/>
            <w:szCs w:val="16"/>
          </w:rPr>
          <w:t>2ZB</w:t>
        </w:r>
      </w:hyperlink>
      <w:r w:rsidRPr="00E75C28">
        <w:rPr>
          <w:sz w:val="16"/>
          <w:szCs w:val="16"/>
        </w:rPr>
        <w:t xml:space="preserve"> sets out the duties of exempt suppliers.</w:t>
      </w:r>
    </w:p>
    <w:p w14:paraId="48735F4B" w14:textId="77777777" w:rsidR="00646C87" w:rsidRPr="006B6476" w:rsidRDefault="00646C87" w:rsidP="00F84446">
      <w:pPr>
        <w:pStyle w:val="FootnoteText"/>
        <w:jc w:val="both"/>
        <w:rPr>
          <w:sz w:val="8"/>
          <w:szCs w:val="8"/>
        </w:rPr>
      </w:pPr>
    </w:p>
  </w:footnote>
  <w:footnote w:id="17">
    <w:p w14:paraId="57853C87" w14:textId="27F3D4A6" w:rsidR="00646C87" w:rsidRPr="006B6476" w:rsidRDefault="00646C87" w:rsidP="00F84446">
      <w:pPr>
        <w:pStyle w:val="FootnoteText"/>
        <w:jc w:val="both"/>
        <w:rPr>
          <w:sz w:val="16"/>
          <w:szCs w:val="16"/>
        </w:rPr>
      </w:pPr>
      <w:r w:rsidRPr="006B6476">
        <w:rPr>
          <w:rStyle w:val="FootnoteReference"/>
          <w:sz w:val="16"/>
          <w:szCs w:val="16"/>
        </w:rPr>
        <w:footnoteRef/>
      </w:r>
      <w:r w:rsidRPr="006B6476">
        <w:rPr>
          <w:sz w:val="16"/>
          <w:szCs w:val="16"/>
        </w:rPr>
        <w:t xml:space="preserve"> The </w:t>
      </w:r>
      <w:r>
        <w:rPr>
          <w:sz w:val="16"/>
          <w:szCs w:val="16"/>
        </w:rPr>
        <w:t xml:space="preserve">Business Companion </w:t>
      </w:r>
      <w:r w:rsidRPr="006B6476">
        <w:rPr>
          <w:sz w:val="16"/>
          <w:szCs w:val="16"/>
        </w:rPr>
        <w:t xml:space="preserve">website is available </w:t>
      </w:r>
      <w:hyperlink r:id="rId19" w:history="1">
        <w:r w:rsidRPr="0023438A">
          <w:rPr>
            <w:rStyle w:val="Hyperlink"/>
            <w:sz w:val="16"/>
            <w:szCs w:val="16"/>
            <w:u w:val="single"/>
            <w:bdr w:val="none" w:sz="0" w:space="0" w:color="auto"/>
          </w:rPr>
          <w:t>here</w:t>
        </w:r>
      </w:hyperlink>
      <w:r w:rsidRPr="006B6476">
        <w:rPr>
          <w:sz w:val="16"/>
          <w:szCs w:val="16"/>
        </w:rPr>
        <w:t xml:space="preserve">. </w:t>
      </w:r>
    </w:p>
  </w:footnote>
  <w:footnote w:id="18">
    <w:p w14:paraId="221A1CC8" w14:textId="629784D9" w:rsidR="00646C87" w:rsidRPr="00CC4783" w:rsidRDefault="00646C87" w:rsidP="00F84446">
      <w:pPr>
        <w:pStyle w:val="FootnoteText"/>
        <w:jc w:val="both"/>
        <w:rPr>
          <w:sz w:val="16"/>
          <w:szCs w:val="16"/>
        </w:rPr>
      </w:pPr>
      <w:r w:rsidRPr="00CC4783">
        <w:rPr>
          <w:rStyle w:val="FootnoteReference"/>
          <w:sz w:val="16"/>
          <w:szCs w:val="16"/>
        </w:rPr>
        <w:footnoteRef/>
      </w:r>
      <w:r w:rsidRPr="00CC4783">
        <w:rPr>
          <w:sz w:val="16"/>
          <w:szCs w:val="16"/>
        </w:rPr>
        <w:t xml:space="preserve"> </w:t>
      </w:r>
      <w:r w:rsidR="00CC4783" w:rsidRPr="00CC4783">
        <w:rPr>
          <w:sz w:val="16"/>
          <w:szCs w:val="16"/>
        </w:rPr>
        <w:t xml:space="preserve">Through our FRR work we are reducing the level of prescription in the supply licence. </w:t>
      </w:r>
      <w:r w:rsidRPr="00CC4783">
        <w:rPr>
          <w:sz w:val="16"/>
          <w:szCs w:val="16"/>
        </w:rPr>
        <w:t>Standard Licence Condition (SLC) 25</w:t>
      </w:r>
      <w:r w:rsidR="00CC4783" w:rsidRPr="00CC4783">
        <w:rPr>
          <w:sz w:val="16"/>
          <w:szCs w:val="16"/>
        </w:rPr>
        <w:t xml:space="preserve"> of the electricity supply licence deals with sales and marketing rules. In June 2017, we replaced the majority of prescription from this condition with a package of enforceable principles; these apply to the supplier and their representatives. More information about these changes is available </w:t>
      </w:r>
      <w:hyperlink r:id="rId20" w:history="1">
        <w:r w:rsidRPr="00CC4783">
          <w:rPr>
            <w:rStyle w:val="Hyperlink"/>
            <w:sz w:val="16"/>
            <w:szCs w:val="16"/>
            <w:u w:val="single"/>
            <w:bdr w:val="none" w:sz="0" w:space="0" w:color="auto"/>
          </w:rPr>
          <w:t>here</w:t>
        </w:r>
      </w:hyperlink>
      <w:r w:rsidRPr="00CC478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3812" w14:textId="77777777" w:rsidR="008E3CEC" w:rsidRDefault="008E3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4AF60" w14:textId="77777777" w:rsidR="008E3CEC" w:rsidRDefault="008E3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054B" w14:textId="77777777" w:rsidR="008E3CEC" w:rsidRDefault="008E3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4EC"/>
    <w:multiLevelType w:val="hybridMultilevel"/>
    <w:tmpl w:val="C1CE835A"/>
    <w:lvl w:ilvl="0" w:tplc="FDAC720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2799B"/>
    <w:multiLevelType w:val="hybridMultilevel"/>
    <w:tmpl w:val="E73A5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642C80"/>
    <w:multiLevelType w:val="hybridMultilevel"/>
    <w:tmpl w:val="B24CA11E"/>
    <w:lvl w:ilvl="0" w:tplc="56349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611F"/>
    <w:multiLevelType w:val="hybridMultilevel"/>
    <w:tmpl w:val="CAEE8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B34C84"/>
    <w:multiLevelType w:val="hybridMultilevel"/>
    <w:tmpl w:val="33A4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864B1"/>
    <w:multiLevelType w:val="hybridMultilevel"/>
    <w:tmpl w:val="2D08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3427B2"/>
    <w:multiLevelType w:val="hybridMultilevel"/>
    <w:tmpl w:val="08748B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9410B"/>
    <w:multiLevelType w:val="hybridMultilevel"/>
    <w:tmpl w:val="1620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03563"/>
    <w:multiLevelType w:val="hybridMultilevel"/>
    <w:tmpl w:val="9670AD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B0E2D"/>
    <w:multiLevelType w:val="hybridMultilevel"/>
    <w:tmpl w:val="B69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C2741"/>
    <w:multiLevelType w:val="multilevel"/>
    <w:tmpl w:val="5A3C174A"/>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C4A26C5"/>
    <w:multiLevelType w:val="hybridMultilevel"/>
    <w:tmpl w:val="6B4828DE"/>
    <w:lvl w:ilvl="0" w:tplc="301027C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6264AD"/>
    <w:multiLevelType w:val="hybridMultilevel"/>
    <w:tmpl w:val="2EA4A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B026E"/>
    <w:multiLevelType w:val="hybridMultilevel"/>
    <w:tmpl w:val="C4661E68"/>
    <w:lvl w:ilvl="0" w:tplc="0960F6EE">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639DA"/>
    <w:multiLevelType w:val="hybridMultilevel"/>
    <w:tmpl w:val="19E82E06"/>
    <w:lvl w:ilvl="0" w:tplc="D40A3232">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33834"/>
    <w:multiLevelType w:val="hybridMultilevel"/>
    <w:tmpl w:val="6518E442"/>
    <w:lvl w:ilvl="0" w:tplc="6C04427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DB1BDF"/>
    <w:multiLevelType w:val="hybridMultilevel"/>
    <w:tmpl w:val="C70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82C7B"/>
    <w:multiLevelType w:val="hybridMultilevel"/>
    <w:tmpl w:val="4CE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F3008"/>
    <w:multiLevelType w:val="hybridMultilevel"/>
    <w:tmpl w:val="8674B4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EB2602"/>
    <w:multiLevelType w:val="hybridMultilevel"/>
    <w:tmpl w:val="C924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56F80"/>
    <w:multiLevelType w:val="hybridMultilevel"/>
    <w:tmpl w:val="63AC190C"/>
    <w:lvl w:ilvl="0" w:tplc="C976556C">
      <w:start w:val="2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9E11B0"/>
    <w:multiLevelType w:val="hybridMultilevel"/>
    <w:tmpl w:val="7498538C"/>
    <w:lvl w:ilvl="0" w:tplc="1A105C7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C111B"/>
    <w:multiLevelType w:val="hybridMultilevel"/>
    <w:tmpl w:val="69B48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F102A"/>
    <w:multiLevelType w:val="hybridMultilevel"/>
    <w:tmpl w:val="FD1CAFA2"/>
    <w:lvl w:ilvl="0" w:tplc="A084987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A4627"/>
    <w:multiLevelType w:val="hybridMultilevel"/>
    <w:tmpl w:val="F2203E1E"/>
    <w:lvl w:ilvl="0" w:tplc="9A88DE5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03572"/>
    <w:multiLevelType w:val="hybridMultilevel"/>
    <w:tmpl w:val="D50231F0"/>
    <w:lvl w:ilvl="0" w:tplc="6C044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92321"/>
    <w:multiLevelType w:val="hybridMultilevel"/>
    <w:tmpl w:val="69B48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96C96"/>
    <w:multiLevelType w:val="hybridMultilevel"/>
    <w:tmpl w:val="3858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56B2E"/>
    <w:multiLevelType w:val="hybridMultilevel"/>
    <w:tmpl w:val="07F48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5C0A6B"/>
    <w:multiLevelType w:val="multilevel"/>
    <w:tmpl w:val="CB261E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9046EA9"/>
    <w:multiLevelType w:val="hybridMultilevel"/>
    <w:tmpl w:val="0384163C"/>
    <w:lvl w:ilvl="0" w:tplc="74601C90">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52EE1"/>
    <w:multiLevelType w:val="hybridMultilevel"/>
    <w:tmpl w:val="6C9E6138"/>
    <w:lvl w:ilvl="0" w:tplc="800A814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B3EBF"/>
    <w:multiLevelType w:val="hybridMultilevel"/>
    <w:tmpl w:val="E418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D1451"/>
    <w:multiLevelType w:val="hybridMultilevel"/>
    <w:tmpl w:val="5D726ED8"/>
    <w:lvl w:ilvl="0" w:tplc="AB1E2D6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7"/>
  </w:num>
  <w:num w:numId="3">
    <w:abstractNumId w:val="10"/>
  </w:num>
  <w:num w:numId="4">
    <w:abstractNumId w:val="9"/>
  </w:num>
  <w:num w:numId="5">
    <w:abstractNumId w:val="15"/>
  </w:num>
  <w:num w:numId="6">
    <w:abstractNumId w:val="1"/>
  </w:num>
  <w:num w:numId="7">
    <w:abstractNumId w:val="22"/>
  </w:num>
  <w:num w:numId="8">
    <w:abstractNumId w:val="26"/>
  </w:num>
  <w:num w:numId="9">
    <w:abstractNumId w:val="12"/>
  </w:num>
  <w:num w:numId="10">
    <w:abstractNumId w:val="18"/>
  </w:num>
  <w:num w:numId="11">
    <w:abstractNumId w:val="6"/>
  </w:num>
  <w:num w:numId="12">
    <w:abstractNumId w:val="2"/>
  </w:num>
  <w:num w:numId="13">
    <w:abstractNumId w:val="28"/>
  </w:num>
  <w:num w:numId="14">
    <w:abstractNumId w:val="25"/>
  </w:num>
  <w:num w:numId="15">
    <w:abstractNumId w:val="5"/>
  </w:num>
  <w:num w:numId="16">
    <w:abstractNumId w:val="32"/>
  </w:num>
  <w:num w:numId="17">
    <w:abstractNumId w:val="19"/>
  </w:num>
  <w:num w:numId="18">
    <w:abstractNumId w:val="27"/>
  </w:num>
  <w:num w:numId="19">
    <w:abstractNumId w:val="29"/>
  </w:num>
  <w:num w:numId="20">
    <w:abstractNumId w:val="17"/>
  </w:num>
  <w:num w:numId="21">
    <w:abstractNumId w:val="3"/>
  </w:num>
  <w:num w:numId="22">
    <w:abstractNumId w:val="14"/>
  </w:num>
  <w:num w:numId="23">
    <w:abstractNumId w:val="23"/>
  </w:num>
  <w:num w:numId="24">
    <w:abstractNumId w:val="8"/>
  </w:num>
  <w:num w:numId="25">
    <w:abstractNumId w:val="11"/>
  </w:num>
  <w:num w:numId="26">
    <w:abstractNumId w:val="33"/>
  </w:num>
  <w:num w:numId="27">
    <w:abstractNumId w:val="21"/>
  </w:num>
  <w:num w:numId="28">
    <w:abstractNumId w:val="31"/>
  </w:num>
  <w:num w:numId="29">
    <w:abstractNumId w:val="0"/>
  </w:num>
  <w:num w:numId="30">
    <w:abstractNumId w:val="2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20"/>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B"/>
    <w:rsid w:val="00005919"/>
    <w:rsid w:val="00017ABB"/>
    <w:rsid w:val="000244DE"/>
    <w:rsid w:val="000355AB"/>
    <w:rsid w:val="00041301"/>
    <w:rsid w:val="00045D8B"/>
    <w:rsid w:val="00053B90"/>
    <w:rsid w:val="00055637"/>
    <w:rsid w:val="00060404"/>
    <w:rsid w:val="00063D72"/>
    <w:rsid w:val="00071F4C"/>
    <w:rsid w:val="00076655"/>
    <w:rsid w:val="0009472C"/>
    <w:rsid w:val="000972C7"/>
    <w:rsid w:val="000A2D2F"/>
    <w:rsid w:val="000B023D"/>
    <w:rsid w:val="000B36A7"/>
    <w:rsid w:val="000C0878"/>
    <w:rsid w:val="000C71DF"/>
    <w:rsid w:val="000E307A"/>
    <w:rsid w:val="000E7E61"/>
    <w:rsid w:val="000F3B2D"/>
    <w:rsid w:val="000F4158"/>
    <w:rsid w:val="000F46F5"/>
    <w:rsid w:val="0011065A"/>
    <w:rsid w:val="00120171"/>
    <w:rsid w:val="00120647"/>
    <w:rsid w:val="001230E9"/>
    <w:rsid w:val="00124733"/>
    <w:rsid w:val="00125EA1"/>
    <w:rsid w:val="00130FFB"/>
    <w:rsid w:val="00131748"/>
    <w:rsid w:val="00136BF7"/>
    <w:rsid w:val="00145D82"/>
    <w:rsid w:val="00146AD8"/>
    <w:rsid w:val="00153359"/>
    <w:rsid w:val="00165BBF"/>
    <w:rsid w:val="0018006E"/>
    <w:rsid w:val="001A7268"/>
    <w:rsid w:val="001A7714"/>
    <w:rsid w:val="001B610E"/>
    <w:rsid w:val="001C2B7F"/>
    <w:rsid w:val="001D4899"/>
    <w:rsid w:val="001E7A92"/>
    <w:rsid w:val="001F6E14"/>
    <w:rsid w:val="002033BD"/>
    <w:rsid w:val="00210B6E"/>
    <w:rsid w:val="00211FBF"/>
    <w:rsid w:val="00214C7D"/>
    <w:rsid w:val="00222E21"/>
    <w:rsid w:val="0022400C"/>
    <w:rsid w:val="00224893"/>
    <w:rsid w:val="0022684C"/>
    <w:rsid w:val="0023438A"/>
    <w:rsid w:val="002345B6"/>
    <w:rsid w:val="002400A4"/>
    <w:rsid w:val="00262E90"/>
    <w:rsid w:val="00263F79"/>
    <w:rsid w:val="002678AD"/>
    <w:rsid w:val="00275510"/>
    <w:rsid w:val="00277841"/>
    <w:rsid w:val="00294670"/>
    <w:rsid w:val="00296524"/>
    <w:rsid w:val="002A099F"/>
    <w:rsid w:val="002A27C5"/>
    <w:rsid w:val="002A5BCA"/>
    <w:rsid w:val="002A7FE7"/>
    <w:rsid w:val="002E1D19"/>
    <w:rsid w:val="002F2348"/>
    <w:rsid w:val="002F2466"/>
    <w:rsid w:val="002F514F"/>
    <w:rsid w:val="0030040C"/>
    <w:rsid w:val="00301A2A"/>
    <w:rsid w:val="00302998"/>
    <w:rsid w:val="003100D3"/>
    <w:rsid w:val="00316353"/>
    <w:rsid w:val="00320964"/>
    <w:rsid w:val="00327E44"/>
    <w:rsid w:val="003445E7"/>
    <w:rsid w:val="00344D4E"/>
    <w:rsid w:val="0035052B"/>
    <w:rsid w:val="00350AF1"/>
    <w:rsid w:val="00373AFD"/>
    <w:rsid w:val="00386EAC"/>
    <w:rsid w:val="003871D0"/>
    <w:rsid w:val="00387582"/>
    <w:rsid w:val="00391095"/>
    <w:rsid w:val="003949B9"/>
    <w:rsid w:val="003975EB"/>
    <w:rsid w:val="003A776E"/>
    <w:rsid w:val="003B40D1"/>
    <w:rsid w:val="003C1DAA"/>
    <w:rsid w:val="003E258E"/>
    <w:rsid w:val="003E2770"/>
    <w:rsid w:val="003F775B"/>
    <w:rsid w:val="004052CA"/>
    <w:rsid w:val="00411BC3"/>
    <w:rsid w:val="00414638"/>
    <w:rsid w:val="004176CE"/>
    <w:rsid w:val="004227F7"/>
    <w:rsid w:val="0043446D"/>
    <w:rsid w:val="00457541"/>
    <w:rsid w:val="004645AF"/>
    <w:rsid w:val="004653F4"/>
    <w:rsid w:val="00472633"/>
    <w:rsid w:val="00474DD2"/>
    <w:rsid w:val="00477FA0"/>
    <w:rsid w:val="00491AB0"/>
    <w:rsid w:val="00495AE0"/>
    <w:rsid w:val="004979D2"/>
    <w:rsid w:val="004A1DD5"/>
    <w:rsid w:val="004C760C"/>
    <w:rsid w:val="004D0A2A"/>
    <w:rsid w:val="004D5E6F"/>
    <w:rsid w:val="004E298F"/>
    <w:rsid w:val="004F7839"/>
    <w:rsid w:val="005079D8"/>
    <w:rsid w:val="00522E26"/>
    <w:rsid w:val="00531414"/>
    <w:rsid w:val="00540E03"/>
    <w:rsid w:val="00542543"/>
    <w:rsid w:val="00550187"/>
    <w:rsid w:val="0055515D"/>
    <w:rsid w:val="005569D8"/>
    <w:rsid w:val="005737F2"/>
    <w:rsid w:val="005944D6"/>
    <w:rsid w:val="0059481B"/>
    <w:rsid w:val="005B63A7"/>
    <w:rsid w:val="005D6E2F"/>
    <w:rsid w:val="005E0163"/>
    <w:rsid w:val="005E0455"/>
    <w:rsid w:val="005E4656"/>
    <w:rsid w:val="005E5DD7"/>
    <w:rsid w:val="005F4818"/>
    <w:rsid w:val="006047C3"/>
    <w:rsid w:val="00610CA8"/>
    <w:rsid w:val="0061203C"/>
    <w:rsid w:val="00631D48"/>
    <w:rsid w:val="00632889"/>
    <w:rsid w:val="006338BB"/>
    <w:rsid w:val="00635E17"/>
    <w:rsid w:val="0063600C"/>
    <w:rsid w:val="00646C87"/>
    <w:rsid w:val="00647801"/>
    <w:rsid w:val="00652941"/>
    <w:rsid w:val="006566AA"/>
    <w:rsid w:val="00663077"/>
    <w:rsid w:val="006655D5"/>
    <w:rsid w:val="00667747"/>
    <w:rsid w:val="006723D6"/>
    <w:rsid w:val="00680E20"/>
    <w:rsid w:val="00682ADC"/>
    <w:rsid w:val="00684784"/>
    <w:rsid w:val="0069051C"/>
    <w:rsid w:val="006A3163"/>
    <w:rsid w:val="006A420C"/>
    <w:rsid w:val="006A6F96"/>
    <w:rsid w:val="006B2B90"/>
    <w:rsid w:val="006B6476"/>
    <w:rsid w:val="006B781C"/>
    <w:rsid w:val="006E0FEA"/>
    <w:rsid w:val="006E4A42"/>
    <w:rsid w:val="006F15F3"/>
    <w:rsid w:val="00700DBE"/>
    <w:rsid w:val="00707294"/>
    <w:rsid w:val="00710088"/>
    <w:rsid w:val="007101C2"/>
    <w:rsid w:val="00711FB5"/>
    <w:rsid w:val="00713026"/>
    <w:rsid w:val="00716570"/>
    <w:rsid w:val="007170A5"/>
    <w:rsid w:val="0072237B"/>
    <w:rsid w:val="00727269"/>
    <w:rsid w:val="00735989"/>
    <w:rsid w:val="00741DCF"/>
    <w:rsid w:val="00747C55"/>
    <w:rsid w:val="00753522"/>
    <w:rsid w:val="00760BAB"/>
    <w:rsid w:val="00764945"/>
    <w:rsid w:val="00764F23"/>
    <w:rsid w:val="00770D18"/>
    <w:rsid w:val="007875DA"/>
    <w:rsid w:val="00797F9E"/>
    <w:rsid w:val="007A09FA"/>
    <w:rsid w:val="007B7624"/>
    <w:rsid w:val="007D05D8"/>
    <w:rsid w:val="007D5D6E"/>
    <w:rsid w:val="007D7E0F"/>
    <w:rsid w:val="007E0375"/>
    <w:rsid w:val="007E16C8"/>
    <w:rsid w:val="007E2362"/>
    <w:rsid w:val="007F6CCD"/>
    <w:rsid w:val="00811A09"/>
    <w:rsid w:val="00820323"/>
    <w:rsid w:val="008204DE"/>
    <w:rsid w:val="00821842"/>
    <w:rsid w:val="008409F0"/>
    <w:rsid w:val="00846DF2"/>
    <w:rsid w:val="00847B94"/>
    <w:rsid w:val="0085311B"/>
    <w:rsid w:val="00855776"/>
    <w:rsid w:val="00857211"/>
    <w:rsid w:val="00864D28"/>
    <w:rsid w:val="008706A6"/>
    <w:rsid w:val="008A23FC"/>
    <w:rsid w:val="008A6DD2"/>
    <w:rsid w:val="008B06F5"/>
    <w:rsid w:val="008C0BF9"/>
    <w:rsid w:val="008C5845"/>
    <w:rsid w:val="008D06C8"/>
    <w:rsid w:val="008D1F4C"/>
    <w:rsid w:val="008E09DD"/>
    <w:rsid w:val="008E3CEC"/>
    <w:rsid w:val="008E4C2D"/>
    <w:rsid w:val="008F22B5"/>
    <w:rsid w:val="008F3A58"/>
    <w:rsid w:val="00902553"/>
    <w:rsid w:val="00904132"/>
    <w:rsid w:val="00914DD6"/>
    <w:rsid w:val="00916CE0"/>
    <w:rsid w:val="00917EC2"/>
    <w:rsid w:val="0092547F"/>
    <w:rsid w:val="009277CA"/>
    <w:rsid w:val="009307DC"/>
    <w:rsid w:val="00932AED"/>
    <w:rsid w:val="00932E22"/>
    <w:rsid w:val="009336AC"/>
    <w:rsid w:val="009354A3"/>
    <w:rsid w:val="00935544"/>
    <w:rsid w:val="0094665B"/>
    <w:rsid w:val="00951DF4"/>
    <w:rsid w:val="00963BAF"/>
    <w:rsid w:val="00971F5E"/>
    <w:rsid w:val="009764D4"/>
    <w:rsid w:val="00977F96"/>
    <w:rsid w:val="009857C6"/>
    <w:rsid w:val="00990C7B"/>
    <w:rsid w:val="009A0FB7"/>
    <w:rsid w:val="009A5D02"/>
    <w:rsid w:val="009C130C"/>
    <w:rsid w:val="009F2490"/>
    <w:rsid w:val="009F5520"/>
    <w:rsid w:val="00A03554"/>
    <w:rsid w:val="00A06423"/>
    <w:rsid w:val="00A13E82"/>
    <w:rsid w:val="00A145B6"/>
    <w:rsid w:val="00A15430"/>
    <w:rsid w:val="00A15AEA"/>
    <w:rsid w:val="00A20810"/>
    <w:rsid w:val="00A3020D"/>
    <w:rsid w:val="00A32F60"/>
    <w:rsid w:val="00A37B5C"/>
    <w:rsid w:val="00A44494"/>
    <w:rsid w:val="00A50C46"/>
    <w:rsid w:val="00A52A43"/>
    <w:rsid w:val="00A52AF3"/>
    <w:rsid w:val="00A63945"/>
    <w:rsid w:val="00A65B85"/>
    <w:rsid w:val="00A74992"/>
    <w:rsid w:val="00A751C7"/>
    <w:rsid w:val="00A760C2"/>
    <w:rsid w:val="00A90053"/>
    <w:rsid w:val="00AA58A1"/>
    <w:rsid w:val="00AA5ECD"/>
    <w:rsid w:val="00AB38D8"/>
    <w:rsid w:val="00AB5386"/>
    <w:rsid w:val="00AC3239"/>
    <w:rsid w:val="00AC7A15"/>
    <w:rsid w:val="00AD4D01"/>
    <w:rsid w:val="00AD66E2"/>
    <w:rsid w:val="00AD7FF6"/>
    <w:rsid w:val="00AE601C"/>
    <w:rsid w:val="00AF0765"/>
    <w:rsid w:val="00B03BDD"/>
    <w:rsid w:val="00B04601"/>
    <w:rsid w:val="00B1454B"/>
    <w:rsid w:val="00B17E92"/>
    <w:rsid w:val="00B27406"/>
    <w:rsid w:val="00B30CD4"/>
    <w:rsid w:val="00B518F9"/>
    <w:rsid w:val="00B57154"/>
    <w:rsid w:val="00B6170D"/>
    <w:rsid w:val="00B71240"/>
    <w:rsid w:val="00B73A04"/>
    <w:rsid w:val="00B77497"/>
    <w:rsid w:val="00B826DE"/>
    <w:rsid w:val="00B82C70"/>
    <w:rsid w:val="00B90ECF"/>
    <w:rsid w:val="00B96D51"/>
    <w:rsid w:val="00BA00BF"/>
    <w:rsid w:val="00BA0D28"/>
    <w:rsid w:val="00BA2256"/>
    <w:rsid w:val="00BA6B8F"/>
    <w:rsid w:val="00BB2AA3"/>
    <w:rsid w:val="00BB5A98"/>
    <w:rsid w:val="00BB68EF"/>
    <w:rsid w:val="00BD06B3"/>
    <w:rsid w:val="00BD0845"/>
    <w:rsid w:val="00BE01C0"/>
    <w:rsid w:val="00BE5756"/>
    <w:rsid w:val="00C01DEB"/>
    <w:rsid w:val="00C04936"/>
    <w:rsid w:val="00C23D78"/>
    <w:rsid w:val="00C31172"/>
    <w:rsid w:val="00C3246D"/>
    <w:rsid w:val="00C32D9D"/>
    <w:rsid w:val="00C33F99"/>
    <w:rsid w:val="00C40C89"/>
    <w:rsid w:val="00C411B1"/>
    <w:rsid w:val="00C45048"/>
    <w:rsid w:val="00C53564"/>
    <w:rsid w:val="00C641EF"/>
    <w:rsid w:val="00C72075"/>
    <w:rsid w:val="00C825C6"/>
    <w:rsid w:val="00C947BD"/>
    <w:rsid w:val="00CC29AB"/>
    <w:rsid w:val="00CC4783"/>
    <w:rsid w:val="00CC7CCF"/>
    <w:rsid w:val="00CD3FA3"/>
    <w:rsid w:val="00CD679A"/>
    <w:rsid w:val="00CF25F7"/>
    <w:rsid w:val="00D12C20"/>
    <w:rsid w:val="00D15C3E"/>
    <w:rsid w:val="00D3535F"/>
    <w:rsid w:val="00D37255"/>
    <w:rsid w:val="00D45AE0"/>
    <w:rsid w:val="00D50D98"/>
    <w:rsid w:val="00D6785A"/>
    <w:rsid w:val="00D728DA"/>
    <w:rsid w:val="00D74DB4"/>
    <w:rsid w:val="00D823C9"/>
    <w:rsid w:val="00D85B5A"/>
    <w:rsid w:val="00D90F23"/>
    <w:rsid w:val="00DC6241"/>
    <w:rsid w:val="00DD2E8F"/>
    <w:rsid w:val="00DD50B3"/>
    <w:rsid w:val="00DE13B4"/>
    <w:rsid w:val="00DE47E3"/>
    <w:rsid w:val="00DE5EA9"/>
    <w:rsid w:val="00E011C5"/>
    <w:rsid w:val="00E01EFE"/>
    <w:rsid w:val="00E064DE"/>
    <w:rsid w:val="00E1619D"/>
    <w:rsid w:val="00E220F8"/>
    <w:rsid w:val="00E23772"/>
    <w:rsid w:val="00E24380"/>
    <w:rsid w:val="00E332BE"/>
    <w:rsid w:val="00E40F45"/>
    <w:rsid w:val="00E4117F"/>
    <w:rsid w:val="00E47B71"/>
    <w:rsid w:val="00E7115C"/>
    <w:rsid w:val="00E72ED1"/>
    <w:rsid w:val="00E74130"/>
    <w:rsid w:val="00E7646F"/>
    <w:rsid w:val="00E82A79"/>
    <w:rsid w:val="00E92EED"/>
    <w:rsid w:val="00E93414"/>
    <w:rsid w:val="00E95601"/>
    <w:rsid w:val="00EB215A"/>
    <w:rsid w:val="00EB4A89"/>
    <w:rsid w:val="00EC16EE"/>
    <w:rsid w:val="00EC55A3"/>
    <w:rsid w:val="00EC5BC0"/>
    <w:rsid w:val="00EC6145"/>
    <w:rsid w:val="00EC6455"/>
    <w:rsid w:val="00ED291C"/>
    <w:rsid w:val="00ED31CB"/>
    <w:rsid w:val="00ED6870"/>
    <w:rsid w:val="00EE1A61"/>
    <w:rsid w:val="00EE1AA0"/>
    <w:rsid w:val="00EE2ED8"/>
    <w:rsid w:val="00EF00A4"/>
    <w:rsid w:val="00EF4C19"/>
    <w:rsid w:val="00F016AF"/>
    <w:rsid w:val="00F1276C"/>
    <w:rsid w:val="00F13CEF"/>
    <w:rsid w:val="00F20A06"/>
    <w:rsid w:val="00F367A1"/>
    <w:rsid w:val="00F44AEA"/>
    <w:rsid w:val="00F55490"/>
    <w:rsid w:val="00F569CC"/>
    <w:rsid w:val="00F6518B"/>
    <w:rsid w:val="00F67C17"/>
    <w:rsid w:val="00F7128D"/>
    <w:rsid w:val="00F75DF2"/>
    <w:rsid w:val="00F7755E"/>
    <w:rsid w:val="00F84446"/>
    <w:rsid w:val="00F93733"/>
    <w:rsid w:val="00F978D0"/>
    <w:rsid w:val="00FB396E"/>
    <w:rsid w:val="00FB4E3F"/>
    <w:rsid w:val="00FB7B99"/>
    <w:rsid w:val="00FC00C8"/>
    <w:rsid w:val="00FC68EC"/>
    <w:rsid w:val="00FD6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732D36"/>
  <w15:docId w15:val="{0BE55108-CA19-426E-BEB8-601FCA0A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C1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ain Heading - Colour"/>
    <w:basedOn w:val="Heading1"/>
    <w:next w:val="Normal"/>
    <w:link w:val="Heading2Char"/>
    <w:rsid w:val="003C1DAA"/>
    <w:pPr>
      <w:keepNext w:val="0"/>
      <w:keepLines w:val="0"/>
      <w:tabs>
        <w:tab w:val="left" w:pos="2581"/>
      </w:tabs>
      <w:spacing w:before="120" w:after="360" w:line="240" w:lineRule="auto"/>
      <w:outlineLvl w:val="1"/>
    </w:pPr>
    <w:rPr>
      <w:rFonts w:ascii="Verdana" w:eastAsia="Times New Roman" w:hAnsi="Verdana" w:cs="Times New Roman"/>
      <w:bCs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8BB"/>
  </w:style>
  <w:style w:type="paragraph" w:styleId="Footer">
    <w:name w:val="footer"/>
    <w:basedOn w:val="Normal"/>
    <w:link w:val="FooterChar"/>
    <w:uiPriority w:val="99"/>
    <w:unhideWhenUsed/>
    <w:rsid w:val="00633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8BB"/>
  </w:style>
  <w:style w:type="paragraph" w:styleId="BalloonText">
    <w:name w:val="Balloon Text"/>
    <w:basedOn w:val="Normal"/>
    <w:link w:val="BalloonTextChar"/>
    <w:uiPriority w:val="99"/>
    <w:semiHidden/>
    <w:unhideWhenUsed/>
    <w:rsid w:val="0063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BB"/>
    <w:rPr>
      <w:rFonts w:ascii="Tahoma" w:hAnsi="Tahoma" w:cs="Tahoma"/>
      <w:sz w:val="16"/>
      <w:szCs w:val="16"/>
    </w:rPr>
  </w:style>
  <w:style w:type="paragraph" w:styleId="ListParagraph">
    <w:name w:val="List Paragraph"/>
    <w:basedOn w:val="Normal"/>
    <w:uiPriority w:val="34"/>
    <w:qFormat/>
    <w:rsid w:val="00AA5ECD"/>
    <w:pPr>
      <w:ind w:left="720"/>
      <w:contextualSpacing/>
    </w:pPr>
  </w:style>
  <w:style w:type="character" w:styleId="Hyperlink">
    <w:name w:val="Hyperlink"/>
    <w:basedOn w:val="DefaultParagraphFont"/>
    <w:uiPriority w:val="99"/>
    <w:unhideWhenUsed/>
    <w:rsid w:val="0059481B"/>
    <w:rPr>
      <w:strike w:val="0"/>
      <w:dstrike w:val="0"/>
      <w:color w:val="265288"/>
      <w:u w:val="none"/>
      <w:effect w:val="none"/>
      <w:bdr w:val="single" w:sz="2" w:space="0" w:color="C9D4E1" w:frame="1"/>
    </w:rPr>
  </w:style>
  <w:style w:type="paragraph" w:styleId="NormalWeb">
    <w:name w:val="Normal (Web)"/>
    <w:basedOn w:val="Normal"/>
    <w:uiPriority w:val="99"/>
    <w:unhideWhenUsed/>
    <w:rsid w:val="0059481B"/>
    <w:pPr>
      <w:spacing w:after="533" w:line="240" w:lineRule="auto"/>
    </w:pPr>
    <w:rPr>
      <w:rFonts w:ascii="Times New Roman" w:eastAsia="Times New Roman" w:hAnsi="Times New Roman" w:cs="Times New Roman"/>
      <w:sz w:val="24"/>
      <w:szCs w:val="24"/>
      <w:lang w:eastAsia="en-GB"/>
    </w:rPr>
  </w:style>
  <w:style w:type="paragraph" w:customStyle="1" w:styleId="Default">
    <w:name w:val="Default"/>
    <w:rsid w:val="00275510"/>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2Char">
    <w:name w:val="Heading 2 Char"/>
    <w:aliases w:val="Main Heading - Colour Char"/>
    <w:basedOn w:val="DefaultParagraphFont"/>
    <w:link w:val="Heading2"/>
    <w:rsid w:val="003C1DAA"/>
    <w:rPr>
      <w:rFonts w:ascii="Verdana" w:eastAsia="Times New Roman" w:hAnsi="Verdana" w:cs="Times New Roman"/>
      <w:b/>
      <w:color w:val="365F91" w:themeColor="accent1" w:themeShade="BF"/>
      <w:sz w:val="24"/>
      <w:szCs w:val="24"/>
      <w:lang w:val="en-GB" w:eastAsia="en-US"/>
    </w:rPr>
  </w:style>
  <w:style w:type="paragraph" w:customStyle="1" w:styleId="ChapterHeading">
    <w:name w:val="Chapter Heading"/>
    <w:basedOn w:val="Heading1"/>
    <w:next w:val="Normal"/>
    <w:rsid w:val="003C1DAA"/>
    <w:pPr>
      <w:keepNext w:val="0"/>
      <w:keepLines w:val="0"/>
      <w:pageBreakBefore/>
      <w:numPr>
        <w:numId w:val="3"/>
      </w:numPr>
      <w:pBdr>
        <w:bottom w:val="single" w:sz="24" w:space="1" w:color="365F91" w:themeColor="accent1" w:themeShade="BF"/>
      </w:pBdr>
      <w:tabs>
        <w:tab w:val="num" w:pos="360"/>
        <w:tab w:val="left" w:pos="2581"/>
      </w:tabs>
      <w:spacing w:before="0" w:after="200"/>
      <w:ind w:left="0" w:firstLine="0"/>
    </w:pPr>
    <w:rPr>
      <w:rFonts w:ascii="Verdana" w:eastAsia="Times New Roman" w:hAnsi="Verdana" w:cs="Times New Roman"/>
      <w:b w:val="0"/>
      <w:sz w:val="40"/>
      <w:szCs w:val="20"/>
      <w:lang w:eastAsia="en-US"/>
    </w:rPr>
  </w:style>
  <w:style w:type="paragraph" w:styleId="FootnoteText">
    <w:name w:val="footnote text"/>
    <w:aliases w:val="ALTS FOOTNOTE,DTE-Voetnoottekst,Footnote Text Char2 Char1,Footnote Text Char1 Char Char1,Footnote Text Char Char Char Char1,Footnote Text Char2 Char1 Char Char Char,Footnote Text Char1 Char Char1 Char Char Char1,Footnote Text Char Char"/>
    <w:link w:val="FootnoteTextChar"/>
    <w:uiPriority w:val="99"/>
    <w:rsid w:val="003C1DAA"/>
    <w:pPr>
      <w:widowControl w:val="0"/>
      <w:spacing w:after="0" w:line="240" w:lineRule="auto"/>
    </w:pPr>
    <w:rPr>
      <w:rFonts w:ascii="Verdana" w:eastAsia="Times New Roman" w:hAnsi="Verdana" w:cs="Times New Roman"/>
      <w:sz w:val="18"/>
      <w:szCs w:val="20"/>
      <w:lang w:val="en-GB" w:eastAsia="en-US"/>
    </w:rPr>
  </w:style>
  <w:style w:type="character" w:customStyle="1" w:styleId="FootnoteTextChar">
    <w:name w:val="Footnote Text Char"/>
    <w:aliases w:val="ALTS FOOTNOTE Char,DTE-Voetnoottekst Char,Footnote Text Char2 Char1 Char,Footnote Text Char1 Char Char1 Char,Footnote Text Char Char Char Char1 Char,Footnote Text Char2 Char1 Char Char Char Char,Footnote Text Char Char Char"/>
    <w:basedOn w:val="DefaultParagraphFont"/>
    <w:link w:val="FootnoteText"/>
    <w:uiPriority w:val="99"/>
    <w:rsid w:val="003C1DAA"/>
    <w:rPr>
      <w:rFonts w:ascii="Verdana" w:eastAsia="Times New Roman" w:hAnsi="Verdana" w:cs="Times New Roman"/>
      <w:sz w:val="18"/>
      <w:szCs w:val="20"/>
      <w:lang w:val="en-GB" w:eastAsia="en-US"/>
    </w:rPr>
  </w:style>
  <w:style w:type="paragraph" w:customStyle="1" w:styleId="Paragrapgh">
    <w:name w:val="Paragrapgh"/>
    <w:basedOn w:val="Normal"/>
    <w:link w:val="ParagrapghChar"/>
    <w:qFormat/>
    <w:rsid w:val="003C1DAA"/>
    <w:pPr>
      <w:numPr>
        <w:ilvl w:val="1"/>
        <w:numId w:val="3"/>
      </w:numPr>
      <w:spacing w:before="360" w:after="360" w:line="240" w:lineRule="auto"/>
    </w:pPr>
    <w:rPr>
      <w:rFonts w:ascii="Verdana" w:eastAsia="Times New Roman" w:hAnsi="Verdana" w:cs="Times New Roman"/>
      <w:sz w:val="20"/>
      <w:szCs w:val="20"/>
      <w:lang w:eastAsia="en-US"/>
    </w:rPr>
  </w:style>
  <w:style w:type="character" w:styleId="FootnoteReference">
    <w:name w:val="footnote reference"/>
    <w:aliases w:val="SUPERS,EN Footnote Reference,Footnote symbol,Footnote reference number,Footnote,Times 10 Point,Exposant 3 Point,Ref,de nota al pie,note TESI"/>
    <w:basedOn w:val="DefaultParagraphFont"/>
    <w:rsid w:val="00932AED"/>
    <w:rPr>
      <w:rFonts w:ascii="Verdana" w:hAnsi="Verdana"/>
      <w:sz w:val="20"/>
      <w:szCs w:val="20"/>
      <w:vertAlign w:val="superscript"/>
    </w:rPr>
  </w:style>
  <w:style w:type="character" w:customStyle="1" w:styleId="Heading1Char">
    <w:name w:val="Heading 1 Char"/>
    <w:basedOn w:val="DefaultParagraphFont"/>
    <w:link w:val="Heading1"/>
    <w:uiPriority w:val="9"/>
    <w:rsid w:val="003C1DA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71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570"/>
    <w:rPr>
      <w:sz w:val="16"/>
      <w:szCs w:val="16"/>
    </w:rPr>
  </w:style>
  <w:style w:type="paragraph" w:styleId="CommentText">
    <w:name w:val="annotation text"/>
    <w:basedOn w:val="Normal"/>
    <w:link w:val="CommentTextChar"/>
    <w:uiPriority w:val="99"/>
    <w:semiHidden/>
    <w:unhideWhenUsed/>
    <w:rsid w:val="00716570"/>
    <w:pPr>
      <w:spacing w:line="240" w:lineRule="auto"/>
    </w:pPr>
    <w:rPr>
      <w:sz w:val="20"/>
      <w:szCs w:val="20"/>
    </w:rPr>
  </w:style>
  <w:style w:type="character" w:customStyle="1" w:styleId="CommentTextChar">
    <w:name w:val="Comment Text Char"/>
    <w:basedOn w:val="DefaultParagraphFont"/>
    <w:link w:val="CommentText"/>
    <w:uiPriority w:val="99"/>
    <w:semiHidden/>
    <w:rsid w:val="00716570"/>
    <w:rPr>
      <w:sz w:val="20"/>
      <w:szCs w:val="20"/>
      <w:lang w:val="en-GB"/>
    </w:rPr>
  </w:style>
  <w:style w:type="paragraph" w:styleId="CommentSubject">
    <w:name w:val="annotation subject"/>
    <w:basedOn w:val="CommentText"/>
    <w:next w:val="CommentText"/>
    <w:link w:val="CommentSubjectChar"/>
    <w:uiPriority w:val="99"/>
    <w:semiHidden/>
    <w:unhideWhenUsed/>
    <w:rsid w:val="00716570"/>
    <w:rPr>
      <w:b/>
      <w:bCs/>
    </w:rPr>
  </w:style>
  <w:style w:type="character" w:customStyle="1" w:styleId="CommentSubjectChar">
    <w:name w:val="Comment Subject Char"/>
    <w:basedOn w:val="CommentTextChar"/>
    <w:link w:val="CommentSubject"/>
    <w:uiPriority w:val="99"/>
    <w:semiHidden/>
    <w:rsid w:val="00716570"/>
    <w:rPr>
      <w:b/>
      <w:bCs/>
      <w:sz w:val="20"/>
      <w:szCs w:val="20"/>
      <w:lang w:val="en-GB"/>
    </w:rPr>
  </w:style>
  <w:style w:type="character" w:styleId="FollowedHyperlink">
    <w:name w:val="FollowedHyperlink"/>
    <w:basedOn w:val="DefaultParagraphFont"/>
    <w:uiPriority w:val="99"/>
    <w:semiHidden/>
    <w:unhideWhenUsed/>
    <w:rsid w:val="008A6DD2"/>
    <w:rPr>
      <w:color w:val="800080" w:themeColor="followedHyperlink"/>
      <w:u w:val="single"/>
    </w:rPr>
  </w:style>
  <w:style w:type="paragraph" w:customStyle="1" w:styleId="Style1">
    <w:name w:val="Style1"/>
    <w:basedOn w:val="Normal"/>
    <w:link w:val="Style1Char"/>
    <w:qFormat/>
    <w:rsid w:val="00414638"/>
    <w:pPr>
      <w:autoSpaceDE w:val="0"/>
      <w:autoSpaceDN w:val="0"/>
      <w:adjustRightInd w:val="0"/>
      <w:spacing w:after="0"/>
      <w:jc w:val="both"/>
    </w:pPr>
    <w:rPr>
      <w:rFonts w:ascii="Verdana" w:hAnsi="Verdana" w:cs="Arial"/>
      <w:color w:val="000000"/>
      <w:sz w:val="20"/>
      <w:szCs w:val="20"/>
    </w:rPr>
  </w:style>
  <w:style w:type="character" w:customStyle="1" w:styleId="Style1Char">
    <w:name w:val="Style1 Char"/>
    <w:basedOn w:val="DefaultParagraphFont"/>
    <w:link w:val="Style1"/>
    <w:rsid w:val="00414638"/>
    <w:rPr>
      <w:rFonts w:ascii="Verdana" w:hAnsi="Verdana" w:cs="Arial"/>
      <w:color w:val="000000"/>
      <w:sz w:val="20"/>
      <w:szCs w:val="20"/>
      <w:lang w:val="en-GB"/>
    </w:rPr>
  </w:style>
  <w:style w:type="character" w:customStyle="1" w:styleId="ParagrapghChar">
    <w:name w:val="Paragrapgh Char"/>
    <w:basedOn w:val="DefaultParagraphFont"/>
    <w:link w:val="Paragrapgh"/>
    <w:rsid w:val="00350AF1"/>
    <w:rPr>
      <w:rFonts w:ascii="Verdana" w:eastAsia="Times New Roman" w:hAnsi="Verdana" w:cs="Times New Roman"/>
      <w:sz w:val="20"/>
      <w:szCs w:val="20"/>
      <w:lang w:val="en-GB" w:eastAsia="en-US"/>
    </w:rPr>
  </w:style>
  <w:style w:type="character" w:customStyle="1" w:styleId="st1">
    <w:name w:val="st1"/>
    <w:basedOn w:val="DefaultParagraphFont"/>
    <w:rsid w:val="00146AD8"/>
  </w:style>
  <w:style w:type="paragraph" w:styleId="Revision">
    <w:name w:val="Revision"/>
    <w:hidden/>
    <w:uiPriority w:val="99"/>
    <w:semiHidden/>
    <w:rsid w:val="006655D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6947">
      <w:bodyDiv w:val="1"/>
      <w:marLeft w:val="0"/>
      <w:marRight w:val="0"/>
      <w:marTop w:val="0"/>
      <w:marBottom w:val="0"/>
      <w:divBdr>
        <w:top w:val="none" w:sz="0" w:space="0" w:color="auto"/>
        <w:left w:val="none" w:sz="0" w:space="0" w:color="auto"/>
        <w:bottom w:val="none" w:sz="0" w:space="0" w:color="auto"/>
        <w:right w:val="none" w:sz="0" w:space="0" w:color="auto"/>
      </w:divBdr>
      <w:divsChild>
        <w:div w:id="1427918050">
          <w:marLeft w:val="0"/>
          <w:marRight w:val="0"/>
          <w:marTop w:val="0"/>
          <w:marBottom w:val="0"/>
          <w:divBdr>
            <w:top w:val="none" w:sz="0" w:space="0" w:color="auto"/>
            <w:left w:val="none" w:sz="0" w:space="0" w:color="auto"/>
            <w:bottom w:val="none" w:sz="0" w:space="0" w:color="auto"/>
            <w:right w:val="none" w:sz="0" w:space="0" w:color="auto"/>
          </w:divBdr>
          <w:divsChild>
            <w:div w:id="477309824">
              <w:marLeft w:val="0"/>
              <w:marRight w:val="0"/>
              <w:marTop w:val="0"/>
              <w:marBottom w:val="0"/>
              <w:divBdr>
                <w:top w:val="single" w:sz="2" w:space="0" w:color="DDDDDD"/>
                <w:left w:val="single" w:sz="2" w:space="0" w:color="DDDDDD"/>
                <w:bottom w:val="single" w:sz="6" w:space="0" w:color="DDDDDD"/>
                <w:right w:val="single" w:sz="2" w:space="0" w:color="DDDDDD"/>
              </w:divBdr>
              <w:divsChild>
                <w:div w:id="454759666">
                  <w:marLeft w:val="0"/>
                  <w:marRight w:val="0"/>
                  <w:marTop w:val="0"/>
                  <w:marBottom w:val="0"/>
                  <w:divBdr>
                    <w:top w:val="none" w:sz="0" w:space="0" w:color="auto"/>
                    <w:left w:val="none" w:sz="0" w:space="0" w:color="auto"/>
                    <w:bottom w:val="none" w:sz="0" w:space="0" w:color="auto"/>
                    <w:right w:val="none" w:sz="0" w:space="0" w:color="auto"/>
                  </w:divBdr>
                  <w:divsChild>
                    <w:div w:id="702750346">
                      <w:marLeft w:val="0"/>
                      <w:marRight w:val="0"/>
                      <w:marTop w:val="0"/>
                      <w:marBottom w:val="0"/>
                      <w:divBdr>
                        <w:top w:val="none" w:sz="0" w:space="0" w:color="auto"/>
                        <w:left w:val="none" w:sz="0" w:space="0" w:color="auto"/>
                        <w:bottom w:val="none" w:sz="0" w:space="0" w:color="auto"/>
                        <w:right w:val="none" w:sz="0" w:space="0" w:color="auto"/>
                      </w:divBdr>
                      <w:divsChild>
                        <w:div w:id="1165583194">
                          <w:marLeft w:val="0"/>
                          <w:marRight w:val="0"/>
                          <w:marTop w:val="0"/>
                          <w:marBottom w:val="0"/>
                          <w:divBdr>
                            <w:top w:val="none" w:sz="0" w:space="0" w:color="auto"/>
                            <w:left w:val="none" w:sz="0" w:space="0" w:color="auto"/>
                            <w:bottom w:val="none" w:sz="0" w:space="0" w:color="auto"/>
                            <w:right w:val="none" w:sz="0" w:space="0" w:color="auto"/>
                          </w:divBdr>
                          <w:divsChild>
                            <w:div w:id="772287930">
                              <w:marLeft w:val="0"/>
                              <w:marRight w:val="0"/>
                              <w:marTop w:val="0"/>
                              <w:marBottom w:val="0"/>
                              <w:divBdr>
                                <w:top w:val="none" w:sz="0" w:space="0" w:color="auto"/>
                                <w:left w:val="none" w:sz="0" w:space="0" w:color="auto"/>
                                <w:bottom w:val="none" w:sz="0" w:space="0" w:color="auto"/>
                                <w:right w:val="none" w:sz="0" w:space="0" w:color="auto"/>
                              </w:divBdr>
                              <w:divsChild>
                                <w:div w:id="556402856">
                                  <w:marLeft w:val="0"/>
                                  <w:marRight w:val="0"/>
                                  <w:marTop w:val="0"/>
                                  <w:marBottom w:val="0"/>
                                  <w:divBdr>
                                    <w:top w:val="none" w:sz="0" w:space="0" w:color="auto"/>
                                    <w:left w:val="none" w:sz="0" w:space="0" w:color="auto"/>
                                    <w:bottom w:val="none" w:sz="0" w:space="0" w:color="auto"/>
                                    <w:right w:val="none" w:sz="0" w:space="0" w:color="auto"/>
                                  </w:divBdr>
                                  <w:divsChild>
                                    <w:div w:id="1153640228">
                                      <w:marLeft w:val="0"/>
                                      <w:marRight w:val="0"/>
                                      <w:marTop w:val="0"/>
                                      <w:marBottom w:val="0"/>
                                      <w:divBdr>
                                        <w:top w:val="none" w:sz="0" w:space="0" w:color="auto"/>
                                        <w:left w:val="none" w:sz="0" w:space="0" w:color="auto"/>
                                        <w:bottom w:val="none" w:sz="0" w:space="0" w:color="auto"/>
                                        <w:right w:val="none" w:sz="0" w:space="0" w:color="auto"/>
                                      </w:divBdr>
                                      <w:divsChild>
                                        <w:div w:id="1302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7815">
      <w:bodyDiv w:val="1"/>
      <w:marLeft w:val="0"/>
      <w:marRight w:val="0"/>
      <w:marTop w:val="0"/>
      <w:marBottom w:val="0"/>
      <w:divBdr>
        <w:top w:val="none" w:sz="0" w:space="0" w:color="auto"/>
        <w:left w:val="none" w:sz="0" w:space="0" w:color="auto"/>
        <w:bottom w:val="none" w:sz="0" w:space="0" w:color="auto"/>
        <w:right w:val="none" w:sz="0" w:space="0" w:color="auto"/>
      </w:divBdr>
      <w:divsChild>
        <w:div w:id="1760636929">
          <w:marLeft w:val="0"/>
          <w:marRight w:val="0"/>
          <w:marTop w:val="0"/>
          <w:marBottom w:val="0"/>
          <w:divBdr>
            <w:top w:val="none" w:sz="0" w:space="0" w:color="auto"/>
            <w:left w:val="none" w:sz="0" w:space="0" w:color="auto"/>
            <w:bottom w:val="none" w:sz="0" w:space="0" w:color="auto"/>
            <w:right w:val="none" w:sz="0" w:space="0" w:color="auto"/>
          </w:divBdr>
          <w:divsChild>
            <w:div w:id="2076658165">
              <w:marLeft w:val="0"/>
              <w:marRight w:val="0"/>
              <w:marTop w:val="0"/>
              <w:marBottom w:val="0"/>
              <w:divBdr>
                <w:top w:val="single" w:sz="2" w:space="0" w:color="DDDDDD"/>
                <w:left w:val="single" w:sz="2" w:space="0" w:color="DDDDDD"/>
                <w:bottom w:val="single" w:sz="6" w:space="0" w:color="DDDDDD"/>
                <w:right w:val="single" w:sz="2" w:space="0" w:color="DDDDDD"/>
              </w:divBdr>
              <w:divsChild>
                <w:div w:id="504515949">
                  <w:marLeft w:val="0"/>
                  <w:marRight w:val="0"/>
                  <w:marTop w:val="0"/>
                  <w:marBottom w:val="0"/>
                  <w:divBdr>
                    <w:top w:val="none" w:sz="0" w:space="0" w:color="auto"/>
                    <w:left w:val="none" w:sz="0" w:space="0" w:color="auto"/>
                    <w:bottom w:val="none" w:sz="0" w:space="0" w:color="auto"/>
                    <w:right w:val="none" w:sz="0" w:space="0" w:color="auto"/>
                  </w:divBdr>
                  <w:divsChild>
                    <w:div w:id="1616063181">
                      <w:marLeft w:val="0"/>
                      <w:marRight w:val="0"/>
                      <w:marTop w:val="0"/>
                      <w:marBottom w:val="0"/>
                      <w:divBdr>
                        <w:top w:val="none" w:sz="0" w:space="0" w:color="auto"/>
                        <w:left w:val="none" w:sz="0" w:space="0" w:color="auto"/>
                        <w:bottom w:val="none" w:sz="0" w:space="0" w:color="auto"/>
                        <w:right w:val="none" w:sz="0" w:space="0" w:color="auto"/>
                      </w:divBdr>
                      <w:divsChild>
                        <w:div w:id="1263411852">
                          <w:marLeft w:val="0"/>
                          <w:marRight w:val="0"/>
                          <w:marTop w:val="0"/>
                          <w:marBottom w:val="0"/>
                          <w:divBdr>
                            <w:top w:val="none" w:sz="0" w:space="0" w:color="auto"/>
                            <w:left w:val="none" w:sz="0" w:space="0" w:color="auto"/>
                            <w:bottom w:val="none" w:sz="0" w:space="0" w:color="auto"/>
                            <w:right w:val="none" w:sz="0" w:space="0" w:color="auto"/>
                          </w:divBdr>
                          <w:divsChild>
                            <w:div w:id="2099131481">
                              <w:marLeft w:val="0"/>
                              <w:marRight w:val="0"/>
                              <w:marTop w:val="0"/>
                              <w:marBottom w:val="0"/>
                              <w:divBdr>
                                <w:top w:val="none" w:sz="0" w:space="0" w:color="auto"/>
                                <w:left w:val="none" w:sz="0" w:space="0" w:color="auto"/>
                                <w:bottom w:val="none" w:sz="0" w:space="0" w:color="auto"/>
                                <w:right w:val="none" w:sz="0" w:space="0" w:color="auto"/>
                              </w:divBdr>
                              <w:divsChild>
                                <w:div w:id="236330980">
                                  <w:marLeft w:val="0"/>
                                  <w:marRight w:val="0"/>
                                  <w:marTop w:val="0"/>
                                  <w:marBottom w:val="0"/>
                                  <w:divBdr>
                                    <w:top w:val="none" w:sz="0" w:space="0" w:color="auto"/>
                                    <w:left w:val="none" w:sz="0" w:space="0" w:color="auto"/>
                                    <w:bottom w:val="none" w:sz="0" w:space="0" w:color="auto"/>
                                    <w:right w:val="none" w:sz="0" w:space="0" w:color="auto"/>
                                  </w:divBdr>
                                  <w:divsChild>
                                    <w:div w:id="1334145019">
                                      <w:marLeft w:val="0"/>
                                      <w:marRight w:val="0"/>
                                      <w:marTop w:val="0"/>
                                      <w:marBottom w:val="0"/>
                                      <w:divBdr>
                                        <w:top w:val="none" w:sz="0" w:space="0" w:color="auto"/>
                                        <w:left w:val="none" w:sz="0" w:space="0" w:color="auto"/>
                                        <w:bottom w:val="none" w:sz="0" w:space="0" w:color="auto"/>
                                        <w:right w:val="none" w:sz="0" w:space="0" w:color="auto"/>
                                      </w:divBdr>
                                      <w:divsChild>
                                        <w:div w:id="2433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357340">
      <w:bodyDiv w:val="1"/>
      <w:marLeft w:val="0"/>
      <w:marRight w:val="0"/>
      <w:marTop w:val="0"/>
      <w:marBottom w:val="0"/>
      <w:divBdr>
        <w:top w:val="none" w:sz="0" w:space="0" w:color="auto"/>
        <w:left w:val="none" w:sz="0" w:space="0" w:color="auto"/>
        <w:bottom w:val="none" w:sz="0" w:space="0" w:color="auto"/>
        <w:right w:val="none" w:sz="0" w:space="0" w:color="auto"/>
      </w:divBdr>
      <w:divsChild>
        <w:div w:id="763720047">
          <w:marLeft w:val="0"/>
          <w:marRight w:val="0"/>
          <w:marTop w:val="0"/>
          <w:marBottom w:val="0"/>
          <w:divBdr>
            <w:top w:val="none" w:sz="0" w:space="0" w:color="auto"/>
            <w:left w:val="none" w:sz="0" w:space="0" w:color="auto"/>
            <w:bottom w:val="none" w:sz="0" w:space="0" w:color="auto"/>
            <w:right w:val="none" w:sz="0" w:space="0" w:color="auto"/>
          </w:divBdr>
          <w:divsChild>
            <w:div w:id="212349887">
              <w:marLeft w:val="0"/>
              <w:marRight w:val="0"/>
              <w:marTop w:val="0"/>
              <w:marBottom w:val="0"/>
              <w:divBdr>
                <w:top w:val="single" w:sz="2" w:space="0" w:color="DDDDDD"/>
                <w:left w:val="single" w:sz="2" w:space="0" w:color="DDDDDD"/>
                <w:bottom w:val="single" w:sz="6" w:space="0" w:color="DDDDDD"/>
                <w:right w:val="single" w:sz="2" w:space="0" w:color="DDDDDD"/>
              </w:divBdr>
              <w:divsChild>
                <w:div w:id="1231041740">
                  <w:marLeft w:val="0"/>
                  <w:marRight w:val="0"/>
                  <w:marTop w:val="0"/>
                  <w:marBottom w:val="0"/>
                  <w:divBdr>
                    <w:top w:val="none" w:sz="0" w:space="0" w:color="auto"/>
                    <w:left w:val="none" w:sz="0" w:space="0" w:color="auto"/>
                    <w:bottom w:val="none" w:sz="0" w:space="0" w:color="auto"/>
                    <w:right w:val="none" w:sz="0" w:space="0" w:color="auto"/>
                  </w:divBdr>
                  <w:divsChild>
                    <w:div w:id="1200163632">
                      <w:marLeft w:val="0"/>
                      <w:marRight w:val="0"/>
                      <w:marTop w:val="0"/>
                      <w:marBottom w:val="0"/>
                      <w:divBdr>
                        <w:top w:val="none" w:sz="0" w:space="0" w:color="auto"/>
                        <w:left w:val="none" w:sz="0" w:space="0" w:color="auto"/>
                        <w:bottom w:val="none" w:sz="0" w:space="0" w:color="auto"/>
                        <w:right w:val="none" w:sz="0" w:space="0" w:color="auto"/>
                      </w:divBdr>
                      <w:divsChild>
                        <w:div w:id="294258644">
                          <w:marLeft w:val="0"/>
                          <w:marRight w:val="0"/>
                          <w:marTop w:val="0"/>
                          <w:marBottom w:val="0"/>
                          <w:divBdr>
                            <w:top w:val="none" w:sz="0" w:space="0" w:color="auto"/>
                            <w:left w:val="none" w:sz="0" w:space="0" w:color="auto"/>
                            <w:bottom w:val="none" w:sz="0" w:space="0" w:color="auto"/>
                            <w:right w:val="none" w:sz="0" w:space="0" w:color="auto"/>
                          </w:divBdr>
                          <w:divsChild>
                            <w:div w:id="387843793">
                              <w:marLeft w:val="0"/>
                              <w:marRight w:val="0"/>
                              <w:marTop w:val="0"/>
                              <w:marBottom w:val="0"/>
                              <w:divBdr>
                                <w:top w:val="none" w:sz="0" w:space="0" w:color="auto"/>
                                <w:left w:val="none" w:sz="0" w:space="0" w:color="auto"/>
                                <w:bottom w:val="none" w:sz="0" w:space="0" w:color="auto"/>
                                <w:right w:val="none" w:sz="0" w:space="0" w:color="auto"/>
                              </w:divBdr>
                              <w:divsChild>
                                <w:div w:id="1444768242">
                                  <w:marLeft w:val="0"/>
                                  <w:marRight w:val="0"/>
                                  <w:marTop w:val="0"/>
                                  <w:marBottom w:val="0"/>
                                  <w:divBdr>
                                    <w:top w:val="none" w:sz="0" w:space="0" w:color="auto"/>
                                    <w:left w:val="none" w:sz="0" w:space="0" w:color="auto"/>
                                    <w:bottom w:val="none" w:sz="0" w:space="0" w:color="auto"/>
                                    <w:right w:val="none" w:sz="0" w:space="0" w:color="auto"/>
                                  </w:divBdr>
                                  <w:divsChild>
                                    <w:div w:id="1831557085">
                                      <w:marLeft w:val="0"/>
                                      <w:marRight w:val="0"/>
                                      <w:marTop w:val="0"/>
                                      <w:marBottom w:val="0"/>
                                      <w:divBdr>
                                        <w:top w:val="none" w:sz="0" w:space="0" w:color="auto"/>
                                        <w:left w:val="none" w:sz="0" w:space="0" w:color="auto"/>
                                        <w:bottom w:val="none" w:sz="0" w:space="0" w:color="auto"/>
                                        <w:right w:val="none" w:sz="0" w:space="0" w:color="auto"/>
                                      </w:divBdr>
                                      <w:divsChild>
                                        <w:div w:id="1551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01530">
      <w:bodyDiv w:val="1"/>
      <w:marLeft w:val="0"/>
      <w:marRight w:val="0"/>
      <w:marTop w:val="0"/>
      <w:marBottom w:val="0"/>
      <w:divBdr>
        <w:top w:val="none" w:sz="0" w:space="0" w:color="auto"/>
        <w:left w:val="none" w:sz="0" w:space="0" w:color="auto"/>
        <w:bottom w:val="none" w:sz="0" w:space="0" w:color="auto"/>
        <w:right w:val="none" w:sz="0" w:space="0" w:color="auto"/>
      </w:divBdr>
    </w:div>
    <w:div w:id="1566837536">
      <w:bodyDiv w:val="1"/>
      <w:marLeft w:val="0"/>
      <w:marRight w:val="0"/>
      <w:marTop w:val="0"/>
      <w:marBottom w:val="0"/>
      <w:divBdr>
        <w:top w:val="none" w:sz="0" w:space="0" w:color="auto"/>
        <w:left w:val="none" w:sz="0" w:space="0" w:color="auto"/>
        <w:bottom w:val="none" w:sz="0" w:space="0" w:color="auto"/>
        <w:right w:val="none" w:sz="0" w:space="0" w:color="auto"/>
      </w:divBdr>
    </w:div>
    <w:div w:id="1772771994">
      <w:bodyDiv w:val="1"/>
      <w:marLeft w:val="0"/>
      <w:marRight w:val="0"/>
      <w:marTop w:val="0"/>
      <w:marBottom w:val="0"/>
      <w:divBdr>
        <w:top w:val="none" w:sz="0" w:space="0" w:color="auto"/>
        <w:left w:val="none" w:sz="0" w:space="0" w:color="auto"/>
        <w:bottom w:val="none" w:sz="0" w:space="0" w:color="auto"/>
        <w:right w:val="none" w:sz="0" w:space="0" w:color="auto"/>
      </w:divBdr>
    </w:div>
    <w:div w:id="1795783986">
      <w:bodyDiv w:val="1"/>
      <w:marLeft w:val="0"/>
      <w:marRight w:val="0"/>
      <w:marTop w:val="0"/>
      <w:marBottom w:val="0"/>
      <w:divBdr>
        <w:top w:val="none" w:sz="0" w:space="0" w:color="auto"/>
        <w:left w:val="none" w:sz="0" w:space="0" w:color="auto"/>
        <w:bottom w:val="none" w:sz="0" w:space="0" w:color="auto"/>
        <w:right w:val="none" w:sz="0" w:space="0" w:color="auto"/>
      </w:divBdr>
      <w:divsChild>
        <w:div w:id="600531577">
          <w:marLeft w:val="0"/>
          <w:marRight w:val="0"/>
          <w:marTop w:val="0"/>
          <w:marBottom w:val="0"/>
          <w:divBdr>
            <w:top w:val="none" w:sz="0" w:space="0" w:color="auto"/>
            <w:left w:val="none" w:sz="0" w:space="0" w:color="auto"/>
            <w:bottom w:val="none" w:sz="0" w:space="0" w:color="auto"/>
            <w:right w:val="none" w:sz="0" w:space="0" w:color="auto"/>
          </w:divBdr>
          <w:divsChild>
            <w:div w:id="1706371653">
              <w:marLeft w:val="0"/>
              <w:marRight w:val="0"/>
              <w:marTop w:val="0"/>
              <w:marBottom w:val="0"/>
              <w:divBdr>
                <w:top w:val="single" w:sz="2" w:space="0" w:color="DDDDDD"/>
                <w:left w:val="single" w:sz="2" w:space="0" w:color="DDDDDD"/>
                <w:bottom w:val="single" w:sz="6" w:space="0" w:color="DDDDDD"/>
                <w:right w:val="single" w:sz="2" w:space="0" w:color="DDDDDD"/>
              </w:divBdr>
              <w:divsChild>
                <w:div w:id="1077096911">
                  <w:marLeft w:val="0"/>
                  <w:marRight w:val="0"/>
                  <w:marTop w:val="0"/>
                  <w:marBottom w:val="0"/>
                  <w:divBdr>
                    <w:top w:val="none" w:sz="0" w:space="0" w:color="auto"/>
                    <w:left w:val="none" w:sz="0" w:space="0" w:color="auto"/>
                    <w:bottom w:val="none" w:sz="0" w:space="0" w:color="auto"/>
                    <w:right w:val="none" w:sz="0" w:space="0" w:color="auto"/>
                  </w:divBdr>
                  <w:divsChild>
                    <w:div w:id="1592156645">
                      <w:marLeft w:val="0"/>
                      <w:marRight w:val="0"/>
                      <w:marTop w:val="0"/>
                      <w:marBottom w:val="0"/>
                      <w:divBdr>
                        <w:top w:val="none" w:sz="0" w:space="0" w:color="auto"/>
                        <w:left w:val="none" w:sz="0" w:space="0" w:color="auto"/>
                        <w:bottom w:val="none" w:sz="0" w:space="0" w:color="auto"/>
                        <w:right w:val="none" w:sz="0" w:space="0" w:color="auto"/>
                      </w:divBdr>
                      <w:divsChild>
                        <w:div w:id="818152511">
                          <w:marLeft w:val="0"/>
                          <w:marRight w:val="0"/>
                          <w:marTop w:val="0"/>
                          <w:marBottom w:val="0"/>
                          <w:divBdr>
                            <w:top w:val="none" w:sz="0" w:space="0" w:color="auto"/>
                            <w:left w:val="none" w:sz="0" w:space="0" w:color="auto"/>
                            <w:bottom w:val="none" w:sz="0" w:space="0" w:color="auto"/>
                            <w:right w:val="none" w:sz="0" w:space="0" w:color="auto"/>
                          </w:divBdr>
                          <w:divsChild>
                            <w:div w:id="65029526">
                              <w:marLeft w:val="0"/>
                              <w:marRight w:val="0"/>
                              <w:marTop w:val="0"/>
                              <w:marBottom w:val="0"/>
                              <w:divBdr>
                                <w:top w:val="none" w:sz="0" w:space="0" w:color="auto"/>
                                <w:left w:val="none" w:sz="0" w:space="0" w:color="auto"/>
                                <w:bottom w:val="none" w:sz="0" w:space="0" w:color="auto"/>
                                <w:right w:val="none" w:sz="0" w:space="0" w:color="auto"/>
                              </w:divBdr>
                              <w:divsChild>
                                <w:div w:id="1319650969">
                                  <w:marLeft w:val="0"/>
                                  <w:marRight w:val="0"/>
                                  <w:marTop w:val="0"/>
                                  <w:marBottom w:val="0"/>
                                  <w:divBdr>
                                    <w:top w:val="none" w:sz="0" w:space="0" w:color="auto"/>
                                    <w:left w:val="none" w:sz="0" w:space="0" w:color="auto"/>
                                    <w:bottom w:val="none" w:sz="0" w:space="0" w:color="auto"/>
                                    <w:right w:val="none" w:sz="0" w:space="0" w:color="auto"/>
                                  </w:divBdr>
                                  <w:divsChild>
                                    <w:div w:id="12851030">
                                      <w:marLeft w:val="0"/>
                                      <w:marRight w:val="0"/>
                                      <w:marTop w:val="0"/>
                                      <w:marBottom w:val="0"/>
                                      <w:divBdr>
                                        <w:top w:val="none" w:sz="0" w:space="0" w:color="auto"/>
                                        <w:left w:val="none" w:sz="0" w:space="0" w:color="auto"/>
                                        <w:bottom w:val="none" w:sz="0" w:space="0" w:color="auto"/>
                                        <w:right w:val="none" w:sz="0" w:space="0" w:color="auto"/>
                                      </w:divBdr>
                                      <w:divsChild>
                                        <w:div w:id="15471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233119">
      <w:bodyDiv w:val="1"/>
      <w:marLeft w:val="0"/>
      <w:marRight w:val="0"/>
      <w:marTop w:val="0"/>
      <w:marBottom w:val="0"/>
      <w:divBdr>
        <w:top w:val="none" w:sz="0" w:space="0" w:color="auto"/>
        <w:left w:val="none" w:sz="0" w:space="0" w:color="auto"/>
        <w:bottom w:val="none" w:sz="0" w:space="0" w:color="auto"/>
        <w:right w:val="none" w:sz="0" w:space="0" w:color="auto"/>
      </w:divBdr>
    </w:div>
    <w:div w:id="2024547053">
      <w:bodyDiv w:val="1"/>
      <w:marLeft w:val="0"/>
      <w:marRight w:val="0"/>
      <w:marTop w:val="0"/>
      <w:marBottom w:val="0"/>
      <w:divBdr>
        <w:top w:val="none" w:sz="0" w:space="0" w:color="auto"/>
        <w:left w:val="none" w:sz="0" w:space="0" w:color="auto"/>
        <w:bottom w:val="none" w:sz="0" w:space="0" w:color="auto"/>
        <w:right w:val="none" w:sz="0" w:space="0" w:color="auto"/>
      </w:divBdr>
      <w:divsChild>
        <w:div w:id="1108425688">
          <w:marLeft w:val="0"/>
          <w:marRight w:val="0"/>
          <w:marTop w:val="0"/>
          <w:marBottom w:val="0"/>
          <w:divBdr>
            <w:top w:val="none" w:sz="0" w:space="0" w:color="auto"/>
            <w:left w:val="none" w:sz="0" w:space="0" w:color="auto"/>
            <w:bottom w:val="none" w:sz="0" w:space="0" w:color="auto"/>
            <w:right w:val="none" w:sz="0" w:space="0" w:color="auto"/>
          </w:divBdr>
          <w:divsChild>
            <w:div w:id="1930037787">
              <w:marLeft w:val="0"/>
              <w:marRight w:val="0"/>
              <w:marTop w:val="0"/>
              <w:marBottom w:val="0"/>
              <w:divBdr>
                <w:top w:val="single" w:sz="2" w:space="0" w:color="DDDDDD"/>
                <w:left w:val="single" w:sz="2" w:space="0" w:color="DDDDDD"/>
                <w:bottom w:val="single" w:sz="6" w:space="0" w:color="DDDDDD"/>
                <w:right w:val="single" w:sz="2" w:space="0" w:color="DDDDDD"/>
              </w:divBdr>
              <w:divsChild>
                <w:div w:id="1235965687">
                  <w:marLeft w:val="0"/>
                  <w:marRight w:val="0"/>
                  <w:marTop w:val="0"/>
                  <w:marBottom w:val="0"/>
                  <w:divBdr>
                    <w:top w:val="none" w:sz="0" w:space="0" w:color="auto"/>
                    <w:left w:val="none" w:sz="0" w:space="0" w:color="auto"/>
                    <w:bottom w:val="none" w:sz="0" w:space="0" w:color="auto"/>
                    <w:right w:val="none" w:sz="0" w:space="0" w:color="auto"/>
                  </w:divBdr>
                  <w:divsChild>
                    <w:div w:id="1969775565">
                      <w:marLeft w:val="0"/>
                      <w:marRight w:val="0"/>
                      <w:marTop w:val="0"/>
                      <w:marBottom w:val="0"/>
                      <w:divBdr>
                        <w:top w:val="none" w:sz="0" w:space="0" w:color="auto"/>
                        <w:left w:val="none" w:sz="0" w:space="0" w:color="auto"/>
                        <w:bottom w:val="none" w:sz="0" w:space="0" w:color="auto"/>
                        <w:right w:val="none" w:sz="0" w:space="0" w:color="auto"/>
                      </w:divBdr>
                      <w:divsChild>
                        <w:div w:id="1437022682">
                          <w:marLeft w:val="0"/>
                          <w:marRight w:val="0"/>
                          <w:marTop w:val="0"/>
                          <w:marBottom w:val="0"/>
                          <w:divBdr>
                            <w:top w:val="none" w:sz="0" w:space="0" w:color="auto"/>
                            <w:left w:val="none" w:sz="0" w:space="0" w:color="auto"/>
                            <w:bottom w:val="none" w:sz="0" w:space="0" w:color="auto"/>
                            <w:right w:val="none" w:sz="0" w:space="0" w:color="auto"/>
                          </w:divBdr>
                          <w:divsChild>
                            <w:div w:id="917713065">
                              <w:marLeft w:val="0"/>
                              <w:marRight w:val="0"/>
                              <w:marTop w:val="0"/>
                              <w:marBottom w:val="0"/>
                              <w:divBdr>
                                <w:top w:val="none" w:sz="0" w:space="0" w:color="auto"/>
                                <w:left w:val="none" w:sz="0" w:space="0" w:color="auto"/>
                                <w:bottom w:val="none" w:sz="0" w:space="0" w:color="auto"/>
                                <w:right w:val="none" w:sz="0" w:space="0" w:color="auto"/>
                              </w:divBdr>
                              <w:divsChild>
                                <w:div w:id="1207258315">
                                  <w:marLeft w:val="0"/>
                                  <w:marRight w:val="0"/>
                                  <w:marTop w:val="0"/>
                                  <w:marBottom w:val="0"/>
                                  <w:divBdr>
                                    <w:top w:val="none" w:sz="0" w:space="0" w:color="auto"/>
                                    <w:left w:val="none" w:sz="0" w:space="0" w:color="auto"/>
                                    <w:bottom w:val="none" w:sz="0" w:space="0" w:color="auto"/>
                                    <w:right w:val="none" w:sz="0" w:space="0" w:color="auto"/>
                                  </w:divBdr>
                                  <w:divsChild>
                                    <w:div w:id="1973628706">
                                      <w:marLeft w:val="0"/>
                                      <w:marRight w:val="0"/>
                                      <w:marTop w:val="0"/>
                                      <w:marBottom w:val="0"/>
                                      <w:divBdr>
                                        <w:top w:val="none" w:sz="0" w:space="0" w:color="auto"/>
                                        <w:left w:val="none" w:sz="0" w:space="0" w:color="auto"/>
                                        <w:bottom w:val="none" w:sz="0" w:space="0" w:color="auto"/>
                                        <w:right w:val="none" w:sz="0" w:space="0" w:color="auto"/>
                                      </w:divBdr>
                                      <w:divsChild>
                                        <w:div w:id="14719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martenergycodecompany.co.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rasc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cusa.co.uk/" TargetMode="External"/><Relationship Id="rId20" Type="http://schemas.openxmlformats.org/officeDocument/2006/relationships/hyperlink" Target="http://www2.nationalgrid.com/UK/Industry-information/Electricity-codes/Grid-Cod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2.nationalgrid.com/UK/Industry-information/Electricity-codes/Connection-and-Use-of-System-Co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code.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xon.co.uk/reference/market-entr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fgem.gov.uk/electricity/retail-market/market-review-and-reform/future-retail-market-regulation" TargetMode="External"/><Relationship Id="rId13" Type="http://schemas.openxmlformats.org/officeDocument/2006/relationships/hyperlink" Target="http://www.legislation.gov.uk/uksi/2001/3270/contents/made" TargetMode="External"/><Relationship Id="rId18" Type="http://schemas.openxmlformats.org/officeDocument/2006/relationships/hyperlink" Target="http://www.legislation.gov.uk/uksi/2011/2704/schedule/2/made" TargetMode="External"/><Relationship Id="rId3" Type="http://schemas.openxmlformats.org/officeDocument/2006/relationships/hyperlink" Target="http://www2.nationalgrid.com/uk/services/balancing-services/frequency-response/" TargetMode="External"/><Relationship Id="rId7" Type="http://schemas.openxmlformats.org/officeDocument/2006/relationships/hyperlink" Target="https://www.ofgem.gov.uk/consultations" TargetMode="External"/><Relationship Id="rId12" Type="http://schemas.openxmlformats.org/officeDocument/2006/relationships/hyperlink" Target="https://www.gov.uk/guidance/electricity-licence-exemptions" TargetMode="External"/><Relationship Id="rId17" Type="http://schemas.openxmlformats.org/officeDocument/2006/relationships/hyperlink" Target="http://www.legislation.gov.uk/uksi/2011/2704/made" TargetMode="External"/><Relationship Id="rId2" Type="http://schemas.openxmlformats.org/officeDocument/2006/relationships/hyperlink" Target="http://www.legislation.gov.uk/ukpga/1989/29/contents" TargetMode="External"/><Relationship Id="rId16" Type="http://schemas.openxmlformats.org/officeDocument/2006/relationships/hyperlink" Target="https://www.gov.uk/government/uploads/system/uploads/attachment_data/file/617786/Exemption_FAQs_updated_June_2017rg.pdf" TargetMode="External"/><Relationship Id="rId20" Type="http://schemas.openxmlformats.org/officeDocument/2006/relationships/hyperlink" Target="https://www.ofgem.gov.uk/system/files/docs/2017/04/slc_25_decision_document_0.pdf" TargetMode="External"/><Relationship Id="rId1" Type="http://schemas.openxmlformats.org/officeDocument/2006/relationships/hyperlink" Target="https://www.ofgem.gov.uk/about-us/how-we-engage/innovation-link" TargetMode="External"/><Relationship Id="rId6" Type="http://schemas.openxmlformats.org/officeDocument/2006/relationships/hyperlink" Target="https://www.ofgem.gov.uk/licences-codes-and-standards/licences/notices/modification-notices" TargetMode="External"/><Relationship Id="rId11" Type="http://schemas.openxmlformats.org/officeDocument/2006/relationships/hyperlink" Target="https://www.ofgem.gov.uk/sites/default/files/docs/2015/04/licence_lite_slc_11.3_operating_guidance_0.pdf" TargetMode="External"/><Relationship Id="rId5" Type="http://schemas.openxmlformats.org/officeDocument/2006/relationships/hyperlink" Target="https://www.ofgem.gov.uk/licences-codes-and-standards/licences/licence-conditions" TargetMode="External"/><Relationship Id="rId15" Type="http://schemas.openxmlformats.org/officeDocument/2006/relationships/hyperlink" Target="https://www.ofgem.gov.uk/ofgem-publications/86573/mrpdecision.pdf" TargetMode="External"/><Relationship Id="rId10" Type="http://schemas.openxmlformats.org/officeDocument/2006/relationships/hyperlink" Target="https://www.ofgem.gov.uk/sites/default/files/docs/2015/04/482_an_introduction_to_licence_lite_factsheet_web_0.pdf" TargetMode="External"/><Relationship Id="rId19" Type="http://schemas.openxmlformats.org/officeDocument/2006/relationships/hyperlink" Target="https://www.businesscompanion.info/" TargetMode="External"/><Relationship Id="rId4" Type="http://schemas.openxmlformats.org/officeDocument/2006/relationships/hyperlink" Target="https://www.ofgem.gov.uk/licences-industry-codes-and-standards" TargetMode="External"/><Relationship Id="rId9" Type="http://schemas.openxmlformats.org/officeDocument/2006/relationships/hyperlink" Target="https://www.ofgem.gov.uk/publications-and-updates/forward-work-programme-2017-18" TargetMode="External"/><Relationship Id="rId14" Type="http://schemas.openxmlformats.org/officeDocument/2006/relationships/hyperlink" Target="https://www.ofgem.gov.uk/publications-and-updates/resale-gas-and-electricity-guidance-maximum-resale-price-updated-october-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_x003a__x003a_ xmlns="631298fc-6a88-4548-b7d9-3b164918c4a3">-Main Document</_x003a__x003a_>
    <_x003a_ xmlns="631298fc-6a88-4548-b7d9-3b164918c4a3" xsi:nil="true"/>
    <Organisation xmlns="631298fc-6a88-4548-b7d9-3b164918c4a3">Innovation Link website</Organisation>
    <_Status xmlns="http://schemas.microsoft.com/sharepoint/v3/fields">Draft</_Status>
  </documentManagement>
</p:properties>
</file>

<file path=customXml/item2.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636FCE46C334224F920B3FB1484960D0" ma:contentTypeVersion="2" ma:contentTypeDescription="" ma:contentTypeScope="" ma:versionID="9e62ad886b977565daa8cf6b2af648bc">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b80e5ff953ab74a640bc8406d55b6813"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773578-b348-4185-91b0-0c3a7eda8d2a" ContentTypeId="0x01010033282546F0D44441B574BEAA5FBE93E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DF47-B9D3-485F-938F-CA990D5C9D41}">
  <ds:schemaRefs>
    <ds:schemaRef ds:uri="631298fc-6a88-4548-b7d9-3b164918c4a3"/>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B4EDE7-26B4-41F6-B1F4-11E60AFB1F3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D16A387-AB12-40CC-BCEE-83EF6813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EA665-C1F1-4BA9-8EE2-BC169179105A}">
  <ds:schemaRefs>
    <ds:schemaRef ds:uri="Microsoft.SharePoint.Taxonomy.ContentTypeSync"/>
  </ds:schemaRefs>
</ds:datastoreItem>
</file>

<file path=customXml/itemProps5.xml><?xml version="1.0" encoding="utf-8"?>
<ds:datastoreItem xmlns:ds="http://schemas.openxmlformats.org/officeDocument/2006/customXml" ds:itemID="{C2611F0E-EE8B-40EF-9060-2BC453C0CAAF}">
  <ds:schemaRefs>
    <ds:schemaRef ds:uri="http://schemas.microsoft.com/sharepoint/v3/contenttype/forms"/>
  </ds:schemaRefs>
</ds:datastoreItem>
</file>

<file path=customXml/itemProps6.xml><?xml version="1.0" encoding="utf-8"?>
<ds:datastoreItem xmlns:ds="http://schemas.openxmlformats.org/officeDocument/2006/customXml" ds:itemID="{41224C00-18A6-48BA-A811-BE608B7B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18208</Characters>
  <Application>Microsoft Office Word</Application>
  <DocSecurity>0</DocSecurity>
  <Lines>350</Lines>
  <Paragraphs>136</Paragraphs>
  <ScaleCrop>false</ScaleCrop>
  <HeadingPairs>
    <vt:vector size="2" baseType="variant">
      <vt:variant>
        <vt:lpstr>Title</vt:lpstr>
      </vt:variant>
      <vt:variant>
        <vt:i4>1</vt:i4>
      </vt:variant>
    </vt:vector>
  </HeadingPairs>
  <TitlesOfParts>
    <vt:vector size="1" baseType="lpstr">
      <vt:lpstr>selling energy to consumers</vt:lpstr>
    </vt:vector>
  </TitlesOfParts>
  <Company>Ofgem</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energy to consumers</dc:title>
  <dc:subject/>
  <dc:creator>Martin Campbell</dc:creator>
  <cp:lastModifiedBy>Miriam Haywood</cp:lastModifiedBy>
  <cp:revision>2</cp:revision>
  <cp:lastPrinted>2017-03-01T14:03:00Z</cp:lastPrinted>
  <dcterms:created xsi:type="dcterms:W3CDTF">2017-11-23T10:50:00Z</dcterms:created>
  <dcterms:modified xsi:type="dcterms:W3CDTF">2017-11-23T10:50:00Z</dcterms:modified>
  <cp:contentStatus>Final not for Registry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0x01010033282546F0D44441B574BEAA5FBE93E400636FCE46C334224F920B3FB1484960D0</vt:lpwstr>
  </property>
  <property fmtid="{D5CDD505-2E9C-101B-9397-08002B2CF9AE}" pid="3" name="docIndexRef">
    <vt:lpwstr>a82d4f65-a574-4b56-af1a-49d40f50c2a6</vt:lpwstr>
  </property>
  <property fmtid="{D5CDD505-2E9C-101B-9397-08002B2CF9AE}" pid="4" name="bjSaver">
    <vt:lpwstr>CVqvfvnLFLYg0HM6XT1YL6MnqeUe60Pb</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LabelXML-0">
    <vt:lpwstr>nternal/label"&gt;&lt;element uid="id_classification_nonbusiness" value="" /&gt;&lt;/sisl&gt;</vt:lpwstr>
  </property>
  <property fmtid="{D5CDD505-2E9C-101B-9397-08002B2CF9AE}" pid="11" name="bjDocumentSecurityLabel">
    <vt:lpwstr>OFFICIAL</vt:lpwstr>
  </property>
</Properties>
</file>