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707"/>
        <w:gridCol w:w="6731"/>
        <w:gridCol w:w="216"/>
      </w:tblGrid>
      <w:tr w:rsidR="00133BD9" w:rsidRPr="00876240" w14:paraId="373E21CB"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373E21CA" w14:textId="7475C513"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480307F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18DB2B8C"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22617E"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02EB20" w14:textId="18662A6D"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 xml:space="preserve">CADENT_FDQ_  </w:t>
            </w:r>
            <w:r w:rsidR="00793DE1">
              <w:rPr>
                <w:rFonts w:ascii="Arial" w:hAnsi="Arial" w:cs="Arial"/>
                <w:sz w:val="20"/>
                <w:szCs w:val="20"/>
                <w:lang w:eastAsia="en-US"/>
              </w:rPr>
              <w:t>19</w:t>
            </w:r>
            <w:r w:rsidR="00747F08">
              <w:rPr>
                <w:rFonts w:ascii="Arial" w:hAnsi="Arial" w:cs="Arial"/>
                <w:sz w:val="20"/>
                <w:szCs w:val="20"/>
                <w:lang w:eastAsia="en-US"/>
              </w:rPr>
              <w:t>_FQ</w:t>
            </w:r>
          </w:p>
        </w:tc>
      </w:tr>
      <w:tr w:rsidR="00EA1559" w:rsidRPr="00EA1559" w14:paraId="4B7E5F32"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375634D3"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355A2C"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D10374" w14:textId="03AB9037" w:rsidR="00EA1559" w:rsidRPr="00EA1559" w:rsidRDefault="00EA1559">
            <w:pPr>
              <w:pStyle w:val="NormalWeb"/>
              <w:spacing w:after="200" w:afterAutospacing="0" w:line="276" w:lineRule="auto"/>
              <w:rPr>
                <w:rFonts w:ascii="Arial" w:hAnsi="Arial" w:cs="Arial"/>
                <w:sz w:val="20"/>
                <w:szCs w:val="20"/>
                <w:lang w:eastAsia="en-US"/>
              </w:rPr>
            </w:pPr>
            <w:r w:rsidRPr="00EA1559">
              <w:rPr>
                <w:rFonts w:ascii="Arial" w:hAnsi="Arial" w:cs="Arial"/>
                <w:sz w:val="20"/>
                <w:szCs w:val="20"/>
                <w:lang w:eastAsia="en-US"/>
              </w:rPr>
              <w:t>High</w:t>
            </w:r>
          </w:p>
        </w:tc>
      </w:tr>
      <w:tr w:rsidR="00EA1559" w:rsidRPr="00EA1559" w14:paraId="2F0A6AFD"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4A16CF50"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1C1B35"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4CB6B8" w14:textId="1F623699" w:rsidR="00EA1559" w:rsidRPr="00EA1559" w:rsidRDefault="0077565D">
            <w:pPr>
              <w:pStyle w:val="NormalWeb"/>
              <w:spacing w:after="200" w:afterAutospacing="0" w:line="276" w:lineRule="auto"/>
              <w:rPr>
                <w:rFonts w:ascii="Verdana" w:hAnsi="Verdana"/>
                <w:sz w:val="20"/>
                <w:szCs w:val="20"/>
                <w:lang w:eastAsia="en-US"/>
              </w:rPr>
            </w:pPr>
            <w:r>
              <w:rPr>
                <w:rFonts w:ascii="Verdana" w:hAnsi="Verdana"/>
                <w:sz w:val="20"/>
                <w:szCs w:val="20"/>
                <w:lang w:eastAsia="en-US"/>
              </w:rPr>
              <w:t>[9]Allowances_File_GD_noRPEs and [9]Allowances_File_GD_incRPEs</w:t>
            </w:r>
          </w:p>
        </w:tc>
      </w:tr>
      <w:tr w:rsidR="00EA1559" w:rsidRPr="00EA1559" w14:paraId="6758137B"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DB743F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B6AB87"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CDF2340" w14:textId="7D088299" w:rsidR="00EA1559" w:rsidRPr="00EA1559" w:rsidRDefault="0077565D">
            <w:pPr>
              <w:pStyle w:val="NormalWeb"/>
              <w:spacing w:after="200" w:afterAutospacing="0" w:line="276" w:lineRule="auto"/>
              <w:rPr>
                <w:rFonts w:ascii="Verdana" w:hAnsi="Verdana"/>
                <w:sz w:val="20"/>
                <w:szCs w:val="20"/>
                <w:lang w:eastAsia="en-US"/>
              </w:rPr>
            </w:pPr>
            <w:r>
              <w:rPr>
                <w:rFonts w:ascii="Verdana" w:hAnsi="Verdana"/>
                <w:sz w:val="20"/>
                <w:szCs w:val="20"/>
                <w:lang w:eastAsia="en-US"/>
              </w:rPr>
              <w:t>Application of glidepath to derive allowances</w:t>
            </w:r>
          </w:p>
        </w:tc>
      </w:tr>
      <w:tr w:rsidR="00EA1559" w:rsidRPr="00EA1559" w14:paraId="0F06F014"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8F04F98"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2A41F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3D9E00BC" w14:textId="1C7D31EF" w:rsidR="00EA1559" w:rsidRDefault="00782C9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We have identified an error on the application of the glidepath to derive allowances, which results in allowances being too high in the first half of GD2 and too low in the second half of GD2.</w:t>
            </w:r>
          </w:p>
          <w:p w14:paraId="3523C558" w14:textId="4CCAD0E4" w:rsidR="00782C9E" w:rsidRDefault="00782C9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In the file [9] Allowances_File_GD_noRPEs, the glidepath is calculated in the sheet Cal_EfficientCosts (rows 53 – 60). This is then picked up in row 12 of the GDN specific allowances sheets (e.g. Cal_EoE). However, the totex profile is not maintained in the disaggregation of totex or the application of the frontier shift. Instead the sheet takes the percentage difference between total modelled costs (post catch up efficiency challenge) and the total modelled component of submitted costs and applies this to the disaggregated submitted costs. </w:t>
            </w:r>
          </w:p>
          <w:p w14:paraId="1BBCA72D" w14:textId="4AE84F3F" w:rsidR="00782C9E" w:rsidRDefault="00782C9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As a </w:t>
            </w:r>
            <w:r w:rsidR="008F4A24">
              <w:rPr>
                <w:rFonts w:ascii="Verdana" w:hAnsi="Verdana"/>
                <w:sz w:val="20"/>
                <w:szCs w:val="20"/>
                <w:lang w:eastAsia="en-US"/>
              </w:rPr>
              <w:t>result,</w:t>
            </w:r>
            <w:r>
              <w:rPr>
                <w:rFonts w:ascii="Verdana" w:hAnsi="Verdana"/>
                <w:sz w:val="20"/>
                <w:szCs w:val="20"/>
                <w:lang w:eastAsia="en-US"/>
              </w:rPr>
              <w:t xml:space="preserve"> the allowances in first two years of GD2 are more generous than intended, and in the last two years of GD2 are more challenging than the 85</w:t>
            </w:r>
            <w:r w:rsidRPr="00782C9E">
              <w:rPr>
                <w:rFonts w:ascii="Verdana" w:hAnsi="Verdana"/>
                <w:sz w:val="20"/>
                <w:szCs w:val="20"/>
                <w:vertAlign w:val="superscript"/>
                <w:lang w:eastAsia="en-US"/>
              </w:rPr>
              <w:t>th</w:t>
            </w:r>
            <w:r>
              <w:rPr>
                <w:rFonts w:ascii="Verdana" w:hAnsi="Verdana"/>
                <w:sz w:val="20"/>
                <w:szCs w:val="20"/>
                <w:lang w:eastAsia="en-US"/>
              </w:rPr>
              <w:t xml:space="preserve"> percentile. For example, for our London network </w:t>
            </w:r>
            <w:r w:rsidR="008F4A24">
              <w:rPr>
                <w:rFonts w:ascii="Verdana" w:hAnsi="Verdana"/>
                <w:sz w:val="20"/>
                <w:szCs w:val="20"/>
                <w:lang w:eastAsia="en-US"/>
              </w:rPr>
              <w:t xml:space="preserve">the approach </w:t>
            </w:r>
            <w:r>
              <w:rPr>
                <w:rFonts w:ascii="Verdana" w:hAnsi="Verdana"/>
                <w:sz w:val="20"/>
                <w:szCs w:val="20"/>
                <w:lang w:eastAsia="en-US"/>
              </w:rPr>
              <w:t>results in allowances that are in total £51m too high in the first two years, and £51m too low in the last three years.</w:t>
            </w:r>
          </w:p>
          <w:p w14:paraId="17F0D29F" w14:textId="64939092" w:rsidR="0077565D" w:rsidRDefault="00782C9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The table below illustrates this issue and compares the glidepath calculated in Cal_EfficientCosts to the profile used to calculate allowances. Note the costs in the table are modelled costs (post catch up efficiency but pre-ongoing efficiency).</w:t>
            </w:r>
          </w:p>
          <w:tbl>
            <w:tblPr>
              <w:tblW w:w="5000" w:type="pct"/>
              <w:tblLook w:val="04A0" w:firstRow="1" w:lastRow="0" w:firstColumn="1" w:lastColumn="0" w:noHBand="0" w:noVBand="1"/>
            </w:tblPr>
            <w:tblGrid>
              <w:gridCol w:w="1010"/>
              <w:gridCol w:w="1010"/>
              <w:gridCol w:w="1008"/>
              <w:gridCol w:w="1008"/>
              <w:gridCol w:w="899"/>
              <w:gridCol w:w="899"/>
              <w:gridCol w:w="897"/>
            </w:tblGrid>
            <w:tr w:rsidR="0077565D" w:rsidRPr="0077565D" w14:paraId="609006BC" w14:textId="77777777" w:rsidTr="00782C9E">
              <w:trPr>
                <w:trHeight w:val="264"/>
              </w:trPr>
              <w:tc>
                <w:tcPr>
                  <w:tcW w:w="750" w:type="pct"/>
                  <w:tcBorders>
                    <w:top w:val="nil"/>
                    <w:left w:val="nil"/>
                    <w:bottom w:val="nil"/>
                    <w:right w:val="nil"/>
                  </w:tcBorders>
                  <w:shd w:val="clear" w:color="000000" w:fill="FFFFFF"/>
                  <w:noWrap/>
                  <w:vAlign w:val="bottom"/>
                  <w:hideMark/>
                </w:tcPr>
                <w:p w14:paraId="047B6B13" w14:textId="77777777" w:rsidR="0077565D" w:rsidRPr="0077565D" w:rsidRDefault="0077565D" w:rsidP="0077565D">
                  <w:pPr>
                    <w:spacing w:after="0" w:line="240" w:lineRule="auto"/>
                    <w:rPr>
                      <w:rFonts w:asciiTheme="minorHAnsi" w:eastAsia="Times New Roman" w:hAnsiTheme="minorHAnsi" w:cstheme="minorHAnsi"/>
                      <w:b/>
                      <w:bCs/>
                      <w:sz w:val="18"/>
                      <w:szCs w:val="18"/>
                      <w:lang w:eastAsia="en-GB"/>
                    </w:rPr>
                  </w:pPr>
                  <w:r w:rsidRPr="0077565D">
                    <w:rPr>
                      <w:rFonts w:asciiTheme="minorHAnsi" w:eastAsia="Times New Roman" w:hAnsiTheme="minorHAnsi" w:cstheme="minorHAnsi"/>
                      <w:b/>
                      <w:bCs/>
                      <w:sz w:val="18"/>
                      <w:szCs w:val="18"/>
                      <w:lang w:eastAsia="en-GB"/>
                    </w:rPr>
                    <w:t> </w:t>
                  </w:r>
                </w:p>
              </w:tc>
              <w:tc>
                <w:tcPr>
                  <w:tcW w:w="750" w:type="pct"/>
                  <w:tcBorders>
                    <w:top w:val="nil"/>
                    <w:left w:val="nil"/>
                    <w:bottom w:val="nil"/>
                    <w:right w:val="nil"/>
                  </w:tcBorders>
                  <w:shd w:val="clear" w:color="000000" w:fill="FFFFFF"/>
                  <w:noWrap/>
                  <w:vAlign w:val="bottom"/>
                  <w:hideMark/>
                </w:tcPr>
                <w:p w14:paraId="0DC76490" w14:textId="77777777" w:rsidR="0077565D" w:rsidRPr="0077565D" w:rsidRDefault="0077565D" w:rsidP="0077565D">
                  <w:pPr>
                    <w:spacing w:after="0" w:line="240" w:lineRule="auto"/>
                    <w:jc w:val="right"/>
                    <w:rPr>
                      <w:rFonts w:asciiTheme="minorHAnsi" w:eastAsia="Times New Roman" w:hAnsiTheme="minorHAnsi" w:cstheme="minorHAnsi"/>
                      <w:b/>
                      <w:bCs/>
                      <w:sz w:val="18"/>
                      <w:szCs w:val="18"/>
                      <w:lang w:eastAsia="en-GB"/>
                    </w:rPr>
                  </w:pPr>
                  <w:r w:rsidRPr="0077565D">
                    <w:rPr>
                      <w:rFonts w:asciiTheme="minorHAnsi" w:eastAsia="Times New Roman" w:hAnsiTheme="minorHAnsi" w:cstheme="minorHAnsi"/>
                      <w:b/>
                      <w:bCs/>
                      <w:sz w:val="18"/>
                      <w:szCs w:val="18"/>
                      <w:lang w:eastAsia="en-GB"/>
                    </w:rPr>
                    <w:t>2022</w:t>
                  </w:r>
                </w:p>
              </w:tc>
              <w:tc>
                <w:tcPr>
                  <w:tcW w:w="749" w:type="pct"/>
                  <w:tcBorders>
                    <w:top w:val="nil"/>
                    <w:left w:val="nil"/>
                    <w:bottom w:val="nil"/>
                    <w:right w:val="nil"/>
                  </w:tcBorders>
                  <w:shd w:val="clear" w:color="000000" w:fill="FFFFFF"/>
                  <w:noWrap/>
                  <w:vAlign w:val="bottom"/>
                  <w:hideMark/>
                </w:tcPr>
                <w:p w14:paraId="3569A5AE" w14:textId="77777777" w:rsidR="0077565D" w:rsidRPr="0077565D" w:rsidRDefault="0077565D" w:rsidP="0077565D">
                  <w:pPr>
                    <w:spacing w:after="0" w:line="240" w:lineRule="auto"/>
                    <w:jc w:val="right"/>
                    <w:rPr>
                      <w:rFonts w:asciiTheme="minorHAnsi" w:eastAsia="Times New Roman" w:hAnsiTheme="minorHAnsi" w:cstheme="minorHAnsi"/>
                      <w:b/>
                      <w:bCs/>
                      <w:sz w:val="18"/>
                      <w:szCs w:val="18"/>
                      <w:lang w:eastAsia="en-GB"/>
                    </w:rPr>
                  </w:pPr>
                  <w:r w:rsidRPr="0077565D">
                    <w:rPr>
                      <w:rFonts w:asciiTheme="minorHAnsi" w:eastAsia="Times New Roman" w:hAnsiTheme="minorHAnsi" w:cstheme="minorHAnsi"/>
                      <w:b/>
                      <w:bCs/>
                      <w:sz w:val="18"/>
                      <w:szCs w:val="18"/>
                      <w:lang w:eastAsia="en-GB"/>
                    </w:rPr>
                    <w:t>2023</w:t>
                  </w:r>
                </w:p>
              </w:tc>
              <w:tc>
                <w:tcPr>
                  <w:tcW w:w="749" w:type="pct"/>
                  <w:tcBorders>
                    <w:top w:val="nil"/>
                    <w:left w:val="nil"/>
                    <w:bottom w:val="nil"/>
                    <w:right w:val="nil"/>
                  </w:tcBorders>
                  <w:shd w:val="clear" w:color="000000" w:fill="FFFFFF"/>
                  <w:noWrap/>
                  <w:vAlign w:val="bottom"/>
                  <w:hideMark/>
                </w:tcPr>
                <w:p w14:paraId="3105D4FC" w14:textId="77777777" w:rsidR="0077565D" w:rsidRPr="0077565D" w:rsidRDefault="0077565D" w:rsidP="0077565D">
                  <w:pPr>
                    <w:spacing w:after="0" w:line="240" w:lineRule="auto"/>
                    <w:jc w:val="right"/>
                    <w:rPr>
                      <w:rFonts w:asciiTheme="minorHAnsi" w:eastAsia="Times New Roman" w:hAnsiTheme="minorHAnsi" w:cstheme="minorHAnsi"/>
                      <w:b/>
                      <w:bCs/>
                      <w:sz w:val="18"/>
                      <w:szCs w:val="18"/>
                      <w:lang w:eastAsia="en-GB"/>
                    </w:rPr>
                  </w:pPr>
                  <w:r w:rsidRPr="0077565D">
                    <w:rPr>
                      <w:rFonts w:asciiTheme="minorHAnsi" w:eastAsia="Times New Roman" w:hAnsiTheme="minorHAnsi" w:cstheme="minorHAnsi"/>
                      <w:b/>
                      <w:bCs/>
                      <w:sz w:val="18"/>
                      <w:szCs w:val="18"/>
                      <w:lang w:eastAsia="en-GB"/>
                    </w:rPr>
                    <w:t>2024</w:t>
                  </w:r>
                </w:p>
              </w:tc>
              <w:tc>
                <w:tcPr>
                  <w:tcW w:w="668" w:type="pct"/>
                  <w:tcBorders>
                    <w:top w:val="nil"/>
                    <w:left w:val="nil"/>
                    <w:bottom w:val="nil"/>
                    <w:right w:val="nil"/>
                  </w:tcBorders>
                  <w:shd w:val="clear" w:color="000000" w:fill="FFFFFF"/>
                  <w:noWrap/>
                  <w:vAlign w:val="bottom"/>
                  <w:hideMark/>
                </w:tcPr>
                <w:p w14:paraId="47C89A0B" w14:textId="77777777" w:rsidR="0077565D" w:rsidRPr="0077565D" w:rsidRDefault="0077565D" w:rsidP="0077565D">
                  <w:pPr>
                    <w:spacing w:after="0" w:line="240" w:lineRule="auto"/>
                    <w:jc w:val="right"/>
                    <w:rPr>
                      <w:rFonts w:asciiTheme="minorHAnsi" w:eastAsia="Times New Roman" w:hAnsiTheme="minorHAnsi" w:cstheme="minorHAnsi"/>
                      <w:b/>
                      <w:bCs/>
                      <w:sz w:val="18"/>
                      <w:szCs w:val="18"/>
                      <w:lang w:eastAsia="en-GB"/>
                    </w:rPr>
                  </w:pPr>
                  <w:r w:rsidRPr="0077565D">
                    <w:rPr>
                      <w:rFonts w:asciiTheme="minorHAnsi" w:eastAsia="Times New Roman" w:hAnsiTheme="minorHAnsi" w:cstheme="minorHAnsi"/>
                      <w:b/>
                      <w:bCs/>
                      <w:sz w:val="18"/>
                      <w:szCs w:val="18"/>
                      <w:lang w:eastAsia="en-GB"/>
                    </w:rPr>
                    <w:t>2025</w:t>
                  </w:r>
                </w:p>
              </w:tc>
              <w:tc>
                <w:tcPr>
                  <w:tcW w:w="668" w:type="pct"/>
                  <w:tcBorders>
                    <w:top w:val="nil"/>
                    <w:left w:val="nil"/>
                    <w:bottom w:val="nil"/>
                    <w:right w:val="nil"/>
                  </w:tcBorders>
                  <w:shd w:val="clear" w:color="000000" w:fill="FFFFFF"/>
                  <w:noWrap/>
                  <w:vAlign w:val="bottom"/>
                  <w:hideMark/>
                </w:tcPr>
                <w:p w14:paraId="75CA714F" w14:textId="77777777" w:rsidR="0077565D" w:rsidRPr="0077565D" w:rsidRDefault="0077565D" w:rsidP="0077565D">
                  <w:pPr>
                    <w:spacing w:after="0" w:line="240" w:lineRule="auto"/>
                    <w:jc w:val="right"/>
                    <w:rPr>
                      <w:rFonts w:asciiTheme="minorHAnsi" w:eastAsia="Times New Roman" w:hAnsiTheme="minorHAnsi" w:cstheme="minorHAnsi"/>
                      <w:b/>
                      <w:bCs/>
                      <w:sz w:val="18"/>
                      <w:szCs w:val="18"/>
                      <w:lang w:eastAsia="en-GB"/>
                    </w:rPr>
                  </w:pPr>
                  <w:r w:rsidRPr="0077565D">
                    <w:rPr>
                      <w:rFonts w:asciiTheme="minorHAnsi" w:eastAsia="Times New Roman" w:hAnsiTheme="minorHAnsi" w:cstheme="minorHAnsi"/>
                      <w:b/>
                      <w:bCs/>
                      <w:sz w:val="18"/>
                      <w:szCs w:val="18"/>
                      <w:lang w:eastAsia="en-GB"/>
                    </w:rPr>
                    <w:t>2026</w:t>
                  </w:r>
                </w:p>
              </w:tc>
              <w:tc>
                <w:tcPr>
                  <w:tcW w:w="668" w:type="pct"/>
                  <w:tcBorders>
                    <w:top w:val="nil"/>
                    <w:left w:val="nil"/>
                    <w:bottom w:val="nil"/>
                    <w:right w:val="nil"/>
                  </w:tcBorders>
                  <w:shd w:val="clear" w:color="000000" w:fill="FFFFFF"/>
                  <w:noWrap/>
                  <w:vAlign w:val="bottom"/>
                  <w:hideMark/>
                </w:tcPr>
                <w:p w14:paraId="7269D151" w14:textId="77777777" w:rsidR="0077565D" w:rsidRPr="0077565D" w:rsidRDefault="0077565D" w:rsidP="0077565D">
                  <w:pPr>
                    <w:spacing w:after="0" w:line="240" w:lineRule="auto"/>
                    <w:rPr>
                      <w:rFonts w:asciiTheme="minorHAnsi" w:eastAsia="Times New Roman" w:hAnsiTheme="minorHAnsi" w:cstheme="minorHAnsi"/>
                      <w:b/>
                      <w:bCs/>
                      <w:sz w:val="18"/>
                      <w:szCs w:val="18"/>
                      <w:lang w:eastAsia="en-GB"/>
                    </w:rPr>
                  </w:pPr>
                  <w:r w:rsidRPr="0077565D">
                    <w:rPr>
                      <w:rFonts w:asciiTheme="minorHAnsi" w:eastAsia="Times New Roman" w:hAnsiTheme="minorHAnsi" w:cstheme="minorHAnsi"/>
                      <w:b/>
                      <w:bCs/>
                      <w:sz w:val="18"/>
                      <w:szCs w:val="18"/>
                      <w:lang w:eastAsia="en-GB"/>
                    </w:rPr>
                    <w:t>Total</w:t>
                  </w:r>
                </w:p>
              </w:tc>
            </w:tr>
            <w:tr w:rsidR="00782C9E" w:rsidRPr="0077565D" w14:paraId="68BFA67C" w14:textId="77777777" w:rsidTr="00782C9E">
              <w:trPr>
                <w:trHeight w:val="264"/>
              </w:trPr>
              <w:tc>
                <w:tcPr>
                  <w:tcW w:w="2248" w:type="pct"/>
                  <w:gridSpan w:val="3"/>
                  <w:tcBorders>
                    <w:top w:val="nil"/>
                    <w:left w:val="nil"/>
                    <w:bottom w:val="nil"/>
                    <w:right w:val="nil"/>
                  </w:tcBorders>
                  <w:shd w:val="clear" w:color="000000" w:fill="FFFFFF"/>
                  <w:noWrap/>
                  <w:vAlign w:val="bottom"/>
                </w:tcPr>
                <w:p w14:paraId="105F534F" w14:textId="60C5115A" w:rsidR="00782C9E" w:rsidRPr="0077565D" w:rsidRDefault="00782C9E" w:rsidP="00782C9E">
                  <w:pPr>
                    <w:spacing w:after="0" w:line="240" w:lineRule="auto"/>
                    <w:rPr>
                      <w:rFonts w:asciiTheme="minorHAnsi" w:eastAsia="Times New Roman" w:hAnsiTheme="minorHAnsi" w:cstheme="minorHAnsi"/>
                      <w:b/>
                      <w:bCs/>
                      <w:sz w:val="18"/>
                      <w:szCs w:val="18"/>
                      <w:u w:val="single"/>
                      <w:lang w:eastAsia="en-GB"/>
                    </w:rPr>
                  </w:pPr>
                  <w:r w:rsidRPr="0077565D">
                    <w:rPr>
                      <w:rFonts w:asciiTheme="minorHAnsi" w:eastAsia="Times New Roman" w:hAnsiTheme="minorHAnsi" w:cstheme="minorHAnsi"/>
                      <w:b/>
                      <w:bCs/>
                      <w:sz w:val="18"/>
                      <w:szCs w:val="18"/>
                      <w:u w:val="single"/>
                      <w:lang w:eastAsia="en-GB"/>
                    </w:rPr>
                    <w:t>Glidepath in Cal_EfficientCosts</w:t>
                  </w:r>
                </w:p>
              </w:tc>
              <w:tc>
                <w:tcPr>
                  <w:tcW w:w="749" w:type="pct"/>
                  <w:tcBorders>
                    <w:top w:val="nil"/>
                    <w:left w:val="nil"/>
                    <w:bottom w:val="nil"/>
                    <w:right w:val="nil"/>
                  </w:tcBorders>
                  <w:shd w:val="clear" w:color="000000" w:fill="FFFFFF"/>
                  <w:noWrap/>
                  <w:vAlign w:val="bottom"/>
                  <w:hideMark/>
                </w:tcPr>
                <w:p w14:paraId="340BBE97"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419B65DF"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019FECA4"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6F45EDC6"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r>
            <w:tr w:rsidR="00782C9E" w:rsidRPr="0077565D" w14:paraId="7ECF51A6" w14:textId="77777777" w:rsidTr="00782C9E">
              <w:trPr>
                <w:trHeight w:val="264"/>
              </w:trPr>
              <w:tc>
                <w:tcPr>
                  <w:tcW w:w="750" w:type="pct"/>
                  <w:tcBorders>
                    <w:top w:val="nil"/>
                    <w:left w:val="nil"/>
                    <w:bottom w:val="nil"/>
                    <w:right w:val="nil"/>
                  </w:tcBorders>
                  <w:shd w:val="clear" w:color="000000" w:fill="FFFFFF"/>
                  <w:noWrap/>
                  <w:vAlign w:val="bottom"/>
                  <w:hideMark/>
                </w:tcPr>
                <w:p w14:paraId="1B62DB76"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EoE</w:t>
                  </w:r>
                </w:p>
              </w:tc>
              <w:tc>
                <w:tcPr>
                  <w:tcW w:w="750" w:type="pct"/>
                  <w:tcBorders>
                    <w:top w:val="nil"/>
                    <w:left w:val="nil"/>
                    <w:bottom w:val="nil"/>
                    <w:right w:val="nil"/>
                  </w:tcBorders>
                  <w:shd w:val="clear" w:color="000000" w:fill="FFFFFF"/>
                  <w:noWrap/>
                  <w:vAlign w:val="bottom"/>
                  <w:hideMark/>
                </w:tcPr>
                <w:p w14:paraId="3A89ED5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306.14</w:t>
                  </w:r>
                </w:p>
              </w:tc>
              <w:tc>
                <w:tcPr>
                  <w:tcW w:w="749" w:type="pct"/>
                  <w:tcBorders>
                    <w:top w:val="nil"/>
                    <w:left w:val="nil"/>
                    <w:bottom w:val="nil"/>
                    <w:right w:val="nil"/>
                  </w:tcBorders>
                  <w:shd w:val="clear" w:color="000000" w:fill="FFFFFF"/>
                  <w:noWrap/>
                  <w:vAlign w:val="bottom"/>
                  <w:hideMark/>
                </w:tcPr>
                <w:p w14:paraId="5864357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315.79</w:t>
                  </w:r>
                </w:p>
              </w:tc>
              <w:tc>
                <w:tcPr>
                  <w:tcW w:w="749" w:type="pct"/>
                  <w:tcBorders>
                    <w:top w:val="nil"/>
                    <w:left w:val="nil"/>
                    <w:bottom w:val="nil"/>
                    <w:right w:val="nil"/>
                  </w:tcBorders>
                  <w:shd w:val="clear" w:color="000000" w:fill="FFFFFF"/>
                  <w:noWrap/>
                  <w:vAlign w:val="bottom"/>
                  <w:hideMark/>
                </w:tcPr>
                <w:p w14:paraId="176516C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324.76</w:t>
                  </w:r>
                </w:p>
              </w:tc>
              <w:tc>
                <w:tcPr>
                  <w:tcW w:w="668" w:type="pct"/>
                  <w:tcBorders>
                    <w:top w:val="nil"/>
                    <w:left w:val="nil"/>
                    <w:bottom w:val="nil"/>
                    <w:right w:val="nil"/>
                  </w:tcBorders>
                  <w:shd w:val="clear" w:color="000000" w:fill="FFFFFF"/>
                  <w:noWrap/>
                  <w:vAlign w:val="bottom"/>
                  <w:hideMark/>
                </w:tcPr>
                <w:p w14:paraId="1C27179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315.18</w:t>
                  </w:r>
                </w:p>
              </w:tc>
              <w:tc>
                <w:tcPr>
                  <w:tcW w:w="668" w:type="pct"/>
                  <w:tcBorders>
                    <w:top w:val="nil"/>
                    <w:left w:val="nil"/>
                    <w:bottom w:val="nil"/>
                    <w:right w:val="nil"/>
                  </w:tcBorders>
                  <w:shd w:val="clear" w:color="000000" w:fill="FFFFFF"/>
                  <w:noWrap/>
                  <w:vAlign w:val="bottom"/>
                  <w:hideMark/>
                </w:tcPr>
                <w:p w14:paraId="22C028F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299.10</w:t>
                  </w:r>
                </w:p>
              </w:tc>
              <w:tc>
                <w:tcPr>
                  <w:tcW w:w="668" w:type="pct"/>
                  <w:tcBorders>
                    <w:top w:val="nil"/>
                    <w:left w:val="nil"/>
                    <w:bottom w:val="nil"/>
                    <w:right w:val="nil"/>
                  </w:tcBorders>
                  <w:shd w:val="clear" w:color="000000" w:fill="FFFFFF"/>
                  <w:noWrap/>
                  <w:vAlign w:val="bottom"/>
                  <w:hideMark/>
                </w:tcPr>
                <w:p w14:paraId="40F1296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1,560.98</w:t>
                  </w:r>
                </w:p>
              </w:tc>
            </w:tr>
            <w:tr w:rsidR="00782C9E" w:rsidRPr="0077565D" w14:paraId="166982C0" w14:textId="77777777" w:rsidTr="00782C9E">
              <w:trPr>
                <w:trHeight w:val="264"/>
              </w:trPr>
              <w:tc>
                <w:tcPr>
                  <w:tcW w:w="750" w:type="pct"/>
                  <w:tcBorders>
                    <w:top w:val="nil"/>
                    <w:left w:val="nil"/>
                    <w:bottom w:val="nil"/>
                    <w:right w:val="nil"/>
                  </w:tcBorders>
                  <w:shd w:val="clear" w:color="000000" w:fill="FFFFFF"/>
                  <w:noWrap/>
                  <w:vAlign w:val="bottom"/>
                  <w:hideMark/>
                </w:tcPr>
                <w:p w14:paraId="727C54B3"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Lon</w:t>
                  </w:r>
                </w:p>
              </w:tc>
              <w:tc>
                <w:tcPr>
                  <w:tcW w:w="750" w:type="pct"/>
                  <w:tcBorders>
                    <w:top w:val="nil"/>
                    <w:left w:val="nil"/>
                    <w:bottom w:val="nil"/>
                    <w:right w:val="nil"/>
                  </w:tcBorders>
                  <w:shd w:val="clear" w:color="000000" w:fill="FFFFFF"/>
                  <w:noWrap/>
                  <w:vAlign w:val="bottom"/>
                  <w:hideMark/>
                </w:tcPr>
                <w:p w14:paraId="26CA398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212.27</w:t>
                  </w:r>
                </w:p>
              </w:tc>
              <w:tc>
                <w:tcPr>
                  <w:tcW w:w="749" w:type="pct"/>
                  <w:tcBorders>
                    <w:top w:val="nil"/>
                    <w:left w:val="nil"/>
                    <w:bottom w:val="nil"/>
                    <w:right w:val="nil"/>
                  </w:tcBorders>
                  <w:shd w:val="clear" w:color="000000" w:fill="FFFFFF"/>
                  <w:noWrap/>
                  <w:vAlign w:val="bottom"/>
                  <w:hideMark/>
                </w:tcPr>
                <w:p w14:paraId="370EF76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233.79</w:t>
                  </w:r>
                </w:p>
              </w:tc>
              <w:tc>
                <w:tcPr>
                  <w:tcW w:w="749" w:type="pct"/>
                  <w:tcBorders>
                    <w:top w:val="nil"/>
                    <w:left w:val="nil"/>
                    <w:bottom w:val="nil"/>
                    <w:right w:val="nil"/>
                  </w:tcBorders>
                  <w:shd w:val="clear" w:color="000000" w:fill="FFFFFF"/>
                  <w:noWrap/>
                  <w:vAlign w:val="bottom"/>
                  <w:hideMark/>
                </w:tcPr>
                <w:p w14:paraId="5435AC5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259.19</w:t>
                  </w:r>
                </w:p>
              </w:tc>
              <w:tc>
                <w:tcPr>
                  <w:tcW w:w="668" w:type="pct"/>
                  <w:tcBorders>
                    <w:top w:val="nil"/>
                    <w:left w:val="nil"/>
                    <w:bottom w:val="nil"/>
                    <w:right w:val="nil"/>
                  </w:tcBorders>
                  <w:shd w:val="clear" w:color="000000" w:fill="FFFFFF"/>
                  <w:noWrap/>
                  <w:vAlign w:val="bottom"/>
                  <w:hideMark/>
                </w:tcPr>
                <w:p w14:paraId="2A22615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256.39</w:t>
                  </w:r>
                </w:p>
              </w:tc>
              <w:tc>
                <w:tcPr>
                  <w:tcW w:w="668" w:type="pct"/>
                  <w:tcBorders>
                    <w:top w:val="nil"/>
                    <w:left w:val="nil"/>
                    <w:bottom w:val="nil"/>
                    <w:right w:val="nil"/>
                  </w:tcBorders>
                  <w:shd w:val="clear" w:color="000000" w:fill="FFFFFF"/>
                  <w:noWrap/>
                  <w:vAlign w:val="bottom"/>
                  <w:hideMark/>
                </w:tcPr>
                <w:p w14:paraId="03FD6CF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256.26</w:t>
                  </w:r>
                </w:p>
              </w:tc>
              <w:tc>
                <w:tcPr>
                  <w:tcW w:w="668" w:type="pct"/>
                  <w:tcBorders>
                    <w:top w:val="nil"/>
                    <w:left w:val="nil"/>
                    <w:bottom w:val="nil"/>
                    <w:right w:val="nil"/>
                  </w:tcBorders>
                  <w:shd w:val="clear" w:color="000000" w:fill="FFFFFF"/>
                  <w:noWrap/>
                  <w:vAlign w:val="bottom"/>
                  <w:hideMark/>
                </w:tcPr>
                <w:p w14:paraId="2C49630C"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1,217.89</w:t>
                  </w:r>
                </w:p>
              </w:tc>
            </w:tr>
            <w:tr w:rsidR="00782C9E" w:rsidRPr="0077565D" w14:paraId="5EBBCADD" w14:textId="77777777" w:rsidTr="00782C9E">
              <w:trPr>
                <w:trHeight w:val="264"/>
              </w:trPr>
              <w:tc>
                <w:tcPr>
                  <w:tcW w:w="750" w:type="pct"/>
                  <w:tcBorders>
                    <w:top w:val="nil"/>
                    <w:left w:val="nil"/>
                    <w:bottom w:val="nil"/>
                    <w:right w:val="nil"/>
                  </w:tcBorders>
                  <w:shd w:val="clear" w:color="000000" w:fill="FFFFFF"/>
                  <w:noWrap/>
                  <w:vAlign w:val="bottom"/>
                  <w:hideMark/>
                </w:tcPr>
                <w:p w14:paraId="68C9CCD9"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NW</w:t>
                  </w:r>
                </w:p>
              </w:tc>
              <w:tc>
                <w:tcPr>
                  <w:tcW w:w="750" w:type="pct"/>
                  <w:tcBorders>
                    <w:top w:val="nil"/>
                    <w:left w:val="nil"/>
                    <w:bottom w:val="nil"/>
                    <w:right w:val="nil"/>
                  </w:tcBorders>
                  <w:shd w:val="clear" w:color="000000" w:fill="FFFFFF"/>
                  <w:noWrap/>
                  <w:vAlign w:val="bottom"/>
                  <w:hideMark/>
                </w:tcPr>
                <w:p w14:paraId="20C49D8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228.23</w:t>
                  </w:r>
                </w:p>
              </w:tc>
              <w:tc>
                <w:tcPr>
                  <w:tcW w:w="749" w:type="pct"/>
                  <w:tcBorders>
                    <w:top w:val="nil"/>
                    <w:left w:val="nil"/>
                    <w:bottom w:val="nil"/>
                    <w:right w:val="nil"/>
                  </w:tcBorders>
                  <w:shd w:val="clear" w:color="000000" w:fill="FFFFFF"/>
                  <w:noWrap/>
                  <w:vAlign w:val="bottom"/>
                  <w:hideMark/>
                </w:tcPr>
                <w:p w14:paraId="31DB8E0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228.62</w:t>
                  </w:r>
                </w:p>
              </w:tc>
              <w:tc>
                <w:tcPr>
                  <w:tcW w:w="749" w:type="pct"/>
                  <w:tcBorders>
                    <w:top w:val="nil"/>
                    <w:left w:val="nil"/>
                    <w:bottom w:val="nil"/>
                    <w:right w:val="nil"/>
                  </w:tcBorders>
                  <w:shd w:val="clear" w:color="000000" w:fill="FFFFFF"/>
                  <w:noWrap/>
                  <w:vAlign w:val="bottom"/>
                  <w:hideMark/>
                </w:tcPr>
                <w:p w14:paraId="4EE4311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230.09</w:t>
                  </w:r>
                </w:p>
              </w:tc>
              <w:tc>
                <w:tcPr>
                  <w:tcW w:w="668" w:type="pct"/>
                  <w:tcBorders>
                    <w:top w:val="nil"/>
                    <w:left w:val="nil"/>
                    <w:bottom w:val="nil"/>
                    <w:right w:val="nil"/>
                  </w:tcBorders>
                  <w:shd w:val="clear" w:color="000000" w:fill="FFFFFF"/>
                  <w:noWrap/>
                  <w:vAlign w:val="bottom"/>
                  <w:hideMark/>
                </w:tcPr>
                <w:p w14:paraId="233BAF3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220.63</w:t>
                  </w:r>
                </w:p>
              </w:tc>
              <w:tc>
                <w:tcPr>
                  <w:tcW w:w="668" w:type="pct"/>
                  <w:tcBorders>
                    <w:top w:val="nil"/>
                    <w:left w:val="nil"/>
                    <w:bottom w:val="nil"/>
                    <w:right w:val="nil"/>
                  </w:tcBorders>
                  <w:shd w:val="clear" w:color="000000" w:fill="FFFFFF"/>
                  <w:noWrap/>
                  <w:vAlign w:val="bottom"/>
                  <w:hideMark/>
                </w:tcPr>
                <w:p w14:paraId="43BEDBB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200.87</w:t>
                  </w:r>
                </w:p>
              </w:tc>
              <w:tc>
                <w:tcPr>
                  <w:tcW w:w="668" w:type="pct"/>
                  <w:tcBorders>
                    <w:top w:val="nil"/>
                    <w:left w:val="nil"/>
                    <w:bottom w:val="nil"/>
                    <w:right w:val="nil"/>
                  </w:tcBorders>
                  <w:shd w:val="clear" w:color="000000" w:fill="FFFFFF"/>
                  <w:noWrap/>
                  <w:vAlign w:val="bottom"/>
                  <w:hideMark/>
                </w:tcPr>
                <w:p w14:paraId="0BFF5DB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1,108.44</w:t>
                  </w:r>
                </w:p>
              </w:tc>
            </w:tr>
            <w:tr w:rsidR="00782C9E" w:rsidRPr="0077565D" w14:paraId="4C6966F6" w14:textId="77777777" w:rsidTr="00782C9E">
              <w:trPr>
                <w:trHeight w:val="264"/>
              </w:trPr>
              <w:tc>
                <w:tcPr>
                  <w:tcW w:w="750" w:type="pct"/>
                  <w:tcBorders>
                    <w:top w:val="nil"/>
                    <w:left w:val="nil"/>
                    <w:bottom w:val="nil"/>
                    <w:right w:val="nil"/>
                  </w:tcBorders>
                  <w:shd w:val="clear" w:color="000000" w:fill="FFFFFF"/>
                  <w:noWrap/>
                  <w:vAlign w:val="bottom"/>
                  <w:hideMark/>
                </w:tcPr>
                <w:p w14:paraId="65626AC2"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WM</w:t>
                  </w:r>
                </w:p>
              </w:tc>
              <w:tc>
                <w:tcPr>
                  <w:tcW w:w="750" w:type="pct"/>
                  <w:tcBorders>
                    <w:top w:val="nil"/>
                    <w:left w:val="nil"/>
                    <w:bottom w:val="nil"/>
                    <w:right w:val="nil"/>
                  </w:tcBorders>
                  <w:shd w:val="clear" w:color="000000" w:fill="FFFFFF"/>
                  <w:noWrap/>
                  <w:vAlign w:val="bottom"/>
                  <w:hideMark/>
                </w:tcPr>
                <w:p w14:paraId="0BA6729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160.60</w:t>
                  </w:r>
                </w:p>
              </w:tc>
              <w:tc>
                <w:tcPr>
                  <w:tcW w:w="749" w:type="pct"/>
                  <w:tcBorders>
                    <w:top w:val="nil"/>
                    <w:left w:val="nil"/>
                    <w:bottom w:val="nil"/>
                    <w:right w:val="nil"/>
                  </w:tcBorders>
                  <w:shd w:val="clear" w:color="000000" w:fill="FFFFFF"/>
                  <w:noWrap/>
                  <w:vAlign w:val="bottom"/>
                  <w:hideMark/>
                </w:tcPr>
                <w:p w14:paraId="0B86C3B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170.61</w:t>
                  </w:r>
                </w:p>
              </w:tc>
              <w:tc>
                <w:tcPr>
                  <w:tcW w:w="749" w:type="pct"/>
                  <w:tcBorders>
                    <w:top w:val="nil"/>
                    <w:left w:val="nil"/>
                    <w:bottom w:val="nil"/>
                    <w:right w:val="nil"/>
                  </w:tcBorders>
                  <w:shd w:val="clear" w:color="000000" w:fill="FFFFFF"/>
                  <w:noWrap/>
                  <w:vAlign w:val="bottom"/>
                  <w:hideMark/>
                </w:tcPr>
                <w:p w14:paraId="4C0F8B3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188.19</w:t>
                  </w:r>
                </w:p>
              </w:tc>
              <w:tc>
                <w:tcPr>
                  <w:tcW w:w="668" w:type="pct"/>
                  <w:tcBorders>
                    <w:top w:val="nil"/>
                    <w:left w:val="nil"/>
                    <w:bottom w:val="nil"/>
                    <w:right w:val="nil"/>
                  </w:tcBorders>
                  <w:shd w:val="clear" w:color="000000" w:fill="FFFFFF"/>
                  <w:noWrap/>
                  <w:vAlign w:val="bottom"/>
                  <w:hideMark/>
                </w:tcPr>
                <w:p w14:paraId="0B5D86B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184.51</w:t>
                  </w:r>
                </w:p>
              </w:tc>
              <w:tc>
                <w:tcPr>
                  <w:tcW w:w="668" w:type="pct"/>
                  <w:tcBorders>
                    <w:top w:val="nil"/>
                    <w:left w:val="nil"/>
                    <w:bottom w:val="nil"/>
                    <w:right w:val="nil"/>
                  </w:tcBorders>
                  <w:shd w:val="clear" w:color="000000" w:fill="FFFFFF"/>
                  <w:noWrap/>
                  <w:vAlign w:val="bottom"/>
                  <w:hideMark/>
                </w:tcPr>
                <w:p w14:paraId="1E06E9D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179.97</w:t>
                  </w:r>
                </w:p>
              </w:tc>
              <w:tc>
                <w:tcPr>
                  <w:tcW w:w="668" w:type="pct"/>
                  <w:tcBorders>
                    <w:top w:val="nil"/>
                    <w:left w:val="nil"/>
                    <w:bottom w:val="nil"/>
                    <w:right w:val="nil"/>
                  </w:tcBorders>
                  <w:shd w:val="clear" w:color="000000" w:fill="FFFFFF"/>
                  <w:noWrap/>
                  <w:vAlign w:val="bottom"/>
                  <w:hideMark/>
                </w:tcPr>
                <w:p w14:paraId="0A4677AA"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883.88</w:t>
                  </w:r>
                </w:p>
              </w:tc>
            </w:tr>
            <w:tr w:rsidR="00782C9E" w:rsidRPr="0077565D" w14:paraId="41DAF5E1" w14:textId="77777777" w:rsidTr="00782C9E">
              <w:trPr>
                <w:trHeight w:val="264"/>
              </w:trPr>
              <w:tc>
                <w:tcPr>
                  <w:tcW w:w="750" w:type="pct"/>
                  <w:tcBorders>
                    <w:top w:val="nil"/>
                    <w:left w:val="nil"/>
                    <w:bottom w:val="nil"/>
                    <w:right w:val="nil"/>
                  </w:tcBorders>
                  <w:shd w:val="clear" w:color="000000" w:fill="FFFFFF"/>
                  <w:noWrap/>
                  <w:vAlign w:val="bottom"/>
                  <w:hideMark/>
                </w:tcPr>
                <w:p w14:paraId="029FB9AC"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NGN</w:t>
                  </w:r>
                </w:p>
              </w:tc>
              <w:tc>
                <w:tcPr>
                  <w:tcW w:w="750" w:type="pct"/>
                  <w:tcBorders>
                    <w:top w:val="nil"/>
                    <w:left w:val="nil"/>
                    <w:bottom w:val="nil"/>
                    <w:right w:val="nil"/>
                  </w:tcBorders>
                  <w:shd w:val="clear" w:color="000000" w:fill="FFFFFF"/>
                  <w:noWrap/>
                  <w:vAlign w:val="bottom"/>
                  <w:hideMark/>
                </w:tcPr>
                <w:p w14:paraId="44A2A7D8"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240.77</w:t>
                  </w:r>
                </w:p>
              </w:tc>
              <w:tc>
                <w:tcPr>
                  <w:tcW w:w="749" w:type="pct"/>
                  <w:tcBorders>
                    <w:top w:val="nil"/>
                    <w:left w:val="nil"/>
                    <w:bottom w:val="nil"/>
                    <w:right w:val="nil"/>
                  </w:tcBorders>
                  <w:shd w:val="clear" w:color="000000" w:fill="FFFFFF"/>
                  <w:noWrap/>
                  <w:vAlign w:val="bottom"/>
                  <w:hideMark/>
                </w:tcPr>
                <w:p w14:paraId="2F0DD15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239.79</w:t>
                  </w:r>
                </w:p>
              </w:tc>
              <w:tc>
                <w:tcPr>
                  <w:tcW w:w="749" w:type="pct"/>
                  <w:tcBorders>
                    <w:top w:val="nil"/>
                    <w:left w:val="nil"/>
                    <w:bottom w:val="nil"/>
                    <w:right w:val="nil"/>
                  </w:tcBorders>
                  <w:shd w:val="clear" w:color="000000" w:fill="FFFFFF"/>
                  <w:noWrap/>
                  <w:vAlign w:val="bottom"/>
                  <w:hideMark/>
                </w:tcPr>
                <w:p w14:paraId="4024556A"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239.61</w:t>
                  </w:r>
                </w:p>
              </w:tc>
              <w:tc>
                <w:tcPr>
                  <w:tcW w:w="668" w:type="pct"/>
                  <w:tcBorders>
                    <w:top w:val="nil"/>
                    <w:left w:val="nil"/>
                    <w:bottom w:val="nil"/>
                    <w:right w:val="nil"/>
                  </w:tcBorders>
                  <w:shd w:val="clear" w:color="000000" w:fill="FFFFFF"/>
                  <w:noWrap/>
                  <w:vAlign w:val="bottom"/>
                  <w:hideMark/>
                </w:tcPr>
                <w:p w14:paraId="4CED8B7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239.25</w:t>
                  </w:r>
                </w:p>
              </w:tc>
              <w:tc>
                <w:tcPr>
                  <w:tcW w:w="668" w:type="pct"/>
                  <w:tcBorders>
                    <w:top w:val="nil"/>
                    <w:left w:val="nil"/>
                    <w:bottom w:val="nil"/>
                    <w:right w:val="nil"/>
                  </w:tcBorders>
                  <w:shd w:val="clear" w:color="000000" w:fill="FFFFFF"/>
                  <w:noWrap/>
                  <w:vAlign w:val="bottom"/>
                  <w:hideMark/>
                </w:tcPr>
                <w:p w14:paraId="500B2FE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234.12</w:t>
                  </w:r>
                </w:p>
              </w:tc>
              <w:tc>
                <w:tcPr>
                  <w:tcW w:w="668" w:type="pct"/>
                  <w:tcBorders>
                    <w:top w:val="nil"/>
                    <w:left w:val="nil"/>
                    <w:bottom w:val="nil"/>
                    <w:right w:val="nil"/>
                  </w:tcBorders>
                  <w:shd w:val="clear" w:color="000000" w:fill="FFFFFF"/>
                  <w:noWrap/>
                  <w:vAlign w:val="bottom"/>
                  <w:hideMark/>
                </w:tcPr>
                <w:p w14:paraId="5839F0E2"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1,193.53</w:t>
                  </w:r>
                </w:p>
              </w:tc>
            </w:tr>
            <w:tr w:rsidR="00782C9E" w:rsidRPr="0077565D" w14:paraId="5022EDE5" w14:textId="77777777" w:rsidTr="00782C9E">
              <w:trPr>
                <w:trHeight w:val="264"/>
              </w:trPr>
              <w:tc>
                <w:tcPr>
                  <w:tcW w:w="750" w:type="pct"/>
                  <w:tcBorders>
                    <w:top w:val="nil"/>
                    <w:left w:val="nil"/>
                    <w:bottom w:val="nil"/>
                    <w:right w:val="nil"/>
                  </w:tcBorders>
                  <w:shd w:val="clear" w:color="000000" w:fill="FFFFFF"/>
                  <w:noWrap/>
                  <w:vAlign w:val="bottom"/>
                  <w:hideMark/>
                </w:tcPr>
                <w:p w14:paraId="0817822C"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Sc</w:t>
                  </w:r>
                </w:p>
              </w:tc>
              <w:tc>
                <w:tcPr>
                  <w:tcW w:w="750" w:type="pct"/>
                  <w:tcBorders>
                    <w:top w:val="nil"/>
                    <w:left w:val="nil"/>
                    <w:bottom w:val="nil"/>
                    <w:right w:val="nil"/>
                  </w:tcBorders>
                  <w:shd w:val="clear" w:color="000000" w:fill="FFFFFF"/>
                  <w:noWrap/>
                  <w:vAlign w:val="bottom"/>
                  <w:hideMark/>
                </w:tcPr>
                <w:p w14:paraId="08E985C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174.23</w:t>
                  </w:r>
                </w:p>
              </w:tc>
              <w:tc>
                <w:tcPr>
                  <w:tcW w:w="749" w:type="pct"/>
                  <w:tcBorders>
                    <w:top w:val="nil"/>
                    <w:left w:val="nil"/>
                    <w:bottom w:val="nil"/>
                    <w:right w:val="nil"/>
                  </w:tcBorders>
                  <w:shd w:val="clear" w:color="000000" w:fill="FFFFFF"/>
                  <w:noWrap/>
                  <w:vAlign w:val="bottom"/>
                  <w:hideMark/>
                </w:tcPr>
                <w:p w14:paraId="01BD510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175.27</w:t>
                  </w:r>
                </w:p>
              </w:tc>
              <w:tc>
                <w:tcPr>
                  <w:tcW w:w="749" w:type="pct"/>
                  <w:tcBorders>
                    <w:top w:val="nil"/>
                    <w:left w:val="nil"/>
                    <w:bottom w:val="nil"/>
                    <w:right w:val="nil"/>
                  </w:tcBorders>
                  <w:shd w:val="clear" w:color="000000" w:fill="FFFFFF"/>
                  <w:noWrap/>
                  <w:vAlign w:val="bottom"/>
                  <w:hideMark/>
                </w:tcPr>
                <w:p w14:paraId="56DA1C1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175.12</w:t>
                  </w:r>
                </w:p>
              </w:tc>
              <w:tc>
                <w:tcPr>
                  <w:tcW w:w="668" w:type="pct"/>
                  <w:tcBorders>
                    <w:top w:val="nil"/>
                    <w:left w:val="nil"/>
                    <w:bottom w:val="nil"/>
                    <w:right w:val="nil"/>
                  </w:tcBorders>
                  <w:shd w:val="clear" w:color="000000" w:fill="FFFFFF"/>
                  <w:noWrap/>
                  <w:vAlign w:val="bottom"/>
                  <w:hideMark/>
                </w:tcPr>
                <w:p w14:paraId="087447B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173.84</w:t>
                  </w:r>
                </w:p>
              </w:tc>
              <w:tc>
                <w:tcPr>
                  <w:tcW w:w="668" w:type="pct"/>
                  <w:tcBorders>
                    <w:top w:val="nil"/>
                    <w:left w:val="nil"/>
                    <w:bottom w:val="nil"/>
                    <w:right w:val="nil"/>
                  </w:tcBorders>
                  <w:shd w:val="clear" w:color="000000" w:fill="FFFFFF"/>
                  <w:noWrap/>
                  <w:vAlign w:val="bottom"/>
                  <w:hideMark/>
                </w:tcPr>
                <w:p w14:paraId="6FF0328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172.04</w:t>
                  </w:r>
                </w:p>
              </w:tc>
              <w:tc>
                <w:tcPr>
                  <w:tcW w:w="668" w:type="pct"/>
                  <w:tcBorders>
                    <w:top w:val="nil"/>
                    <w:left w:val="nil"/>
                    <w:bottom w:val="nil"/>
                    <w:right w:val="nil"/>
                  </w:tcBorders>
                  <w:shd w:val="clear" w:color="000000" w:fill="FFFFFF"/>
                  <w:noWrap/>
                  <w:vAlign w:val="bottom"/>
                  <w:hideMark/>
                </w:tcPr>
                <w:p w14:paraId="6CCEAF2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870.50</w:t>
                  </w:r>
                </w:p>
              </w:tc>
            </w:tr>
            <w:tr w:rsidR="00782C9E" w:rsidRPr="0077565D" w14:paraId="4682D3E9" w14:textId="77777777" w:rsidTr="00782C9E">
              <w:trPr>
                <w:trHeight w:val="264"/>
              </w:trPr>
              <w:tc>
                <w:tcPr>
                  <w:tcW w:w="750" w:type="pct"/>
                  <w:tcBorders>
                    <w:top w:val="nil"/>
                    <w:left w:val="nil"/>
                    <w:bottom w:val="nil"/>
                    <w:right w:val="nil"/>
                  </w:tcBorders>
                  <w:shd w:val="clear" w:color="000000" w:fill="FFFFFF"/>
                  <w:noWrap/>
                  <w:vAlign w:val="bottom"/>
                  <w:hideMark/>
                </w:tcPr>
                <w:p w14:paraId="670D4BF9"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So</w:t>
                  </w:r>
                </w:p>
              </w:tc>
              <w:tc>
                <w:tcPr>
                  <w:tcW w:w="750" w:type="pct"/>
                  <w:tcBorders>
                    <w:top w:val="nil"/>
                    <w:left w:val="nil"/>
                    <w:bottom w:val="nil"/>
                    <w:right w:val="nil"/>
                  </w:tcBorders>
                  <w:shd w:val="clear" w:color="000000" w:fill="FFFFFF"/>
                  <w:noWrap/>
                  <w:vAlign w:val="bottom"/>
                  <w:hideMark/>
                </w:tcPr>
                <w:p w14:paraId="04286AE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359.46</w:t>
                  </w:r>
                </w:p>
              </w:tc>
              <w:tc>
                <w:tcPr>
                  <w:tcW w:w="749" w:type="pct"/>
                  <w:tcBorders>
                    <w:top w:val="nil"/>
                    <w:left w:val="nil"/>
                    <w:bottom w:val="nil"/>
                    <w:right w:val="nil"/>
                  </w:tcBorders>
                  <w:shd w:val="clear" w:color="000000" w:fill="FFFFFF"/>
                  <w:noWrap/>
                  <w:vAlign w:val="bottom"/>
                  <w:hideMark/>
                </w:tcPr>
                <w:p w14:paraId="1D98B791"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361.12</w:t>
                  </w:r>
                </w:p>
              </w:tc>
              <w:tc>
                <w:tcPr>
                  <w:tcW w:w="749" w:type="pct"/>
                  <w:tcBorders>
                    <w:top w:val="nil"/>
                    <w:left w:val="nil"/>
                    <w:bottom w:val="nil"/>
                    <w:right w:val="nil"/>
                  </w:tcBorders>
                  <w:shd w:val="clear" w:color="000000" w:fill="FFFFFF"/>
                  <w:noWrap/>
                  <w:vAlign w:val="bottom"/>
                  <w:hideMark/>
                </w:tcPr>
                <w:p w14:paraId="06C70541"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359.32</w:t>
                  </w:r>
                </w:p>
              </w:tc>
              <w:tc>
                <w:tcPr>
                  <w:tcW w:w="668" w:type="pct"/>
                  <w:tcBorders>
                    <w:top w:val="nil"/>
                    <w:left w:val="nil"/>
                    <w:bottom w:val="nil"/>
                    <w:right w:val="nil"/>
                  </w:tcBorders>
                  <w:shd w:val="clear" w:color="000000" w:fill="FFFFFF"/>
                  <w:noWrap/>
                  <w:vAlign w:val="bottom"/>
                  <w:hideMark/>
                </w:tcPr>
                <w:p w14:paraId="1C213E58"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355.17</w:t>
                  </w:r>
                </w:p>
              </w:tc>
              <w:tc>
                <w:tcPr>
                  <w:tcW w:w="668" w:type="pct"/>
                  <w:tcBorders>
                    <w:top w:val="nil"/>
                    <w:left w:val="nil"/>
                    <w:bottom w:val="nil"/>
                    <w:right w:val="nil"/>
                  </w:tcBorders>
                  <w:shd w:val="clear" w:color="000000" w:fill="FFFFFF"/>
                  <w:noWrap/>
                  <w:vAlign w:val="bottom"/>
                  <w:hideMark/>
                </w:tcPr>
                <w:p w14:paraId="4261847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354.07</w:t>
                  </w:r>
                </w:p>
              </w:tc>
              <w:tc>
                <w:tcPr>
                  <w:tcW w:w="668" w:type="pct"/>
                  <w:tcBorders>
                    <w:top w:val="nil"/>
                    <w:left w:val="nil"/>
                    <w:bottom w:val="nil"/>
                    <w:right w:val="nil"/>
                  </w:tcBorders>
                  <w:shd w:val="clear" w:color="000000" w:fill="FFFFFF"/>
                  <w:noWrap/>
                  <w:vAlign w:val="bottom"/>
                  <w:hideMark/>
                </w:tcPr>
                <w:p w14:paraId="3224BD6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1,789.15</w:t>
                  </w:r>
                </w:p>
              </w:tc>
            </w:tr>
            <w:tr w:rsidR="00782C9E" w:rsidRPr="0077565D" w14:paraId="51F4EEF6" w14:textId="77777777" w:rsidTr="00782C9E">
              <w:trPr>
                <w:trHeight w:val="264"/>
              </w:trPr>
              <w:tc>
                <w:tcPr>
                  <w:tcW w:w="750" w:type="pct"/>
                  <w:tcBorders>
                    <w:top w:val="nil"/>
                    <w:left w:val="nil"/>
                    <w:bottom w:val="nil"/>
                    <w:right w:val="nil"/>
                  </w:tcBorders>
                  <w:shd w:val="clear" w:color="000000" w:fill="FFFFFF"/>
                  <w:noWrap/>
                  <w:vAlign w:val="bottom"/>
                  <w:hideMark/>
                </w:tcPr>
                <w:p w14:paraId="24087407"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WWU</w:t>
                  </w:r>
                </w:p>
              </w:tc>
              <w:tc>
                <w:tcPr>
                  <w:tcW w:w="750" w:type="pct"/>
                  <w:tcBorders>
                    <w:top w:val="nil"/>
                    <w:left w:val="nil"/>
                    <w:bottom w:val="nil"/>
                    <w:right w:val="nil"/>
                  </w:tcBorders>
                  <w:shd w:val="clear" w:color="000000" w:fill="FFFFFF"/>
                  <w:noWrap/>
                  <w:vAlign w:val="bottom"/>
                  <w:hideMark/>
                </w:tcPr>
                <w:p w14:paraId="7357F6F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236.32</w:t>
                  </w:r>
                </w:p>
              </w:tc>
              <w:tc>
                <w:tcPr>
                  <w:tcW w:w="749" w:type="pct"/>
                  <w:tcBorders>
                    <w:top w:val="nil"/>
                    <w:left w:val="nil"/>
                    <w:bottom w:val="nil"/>
                    <w:right w:val="nil"/>
                  </w:tcBorders>
                  <w:shd w:val="clear" w:color="000000" w:fill="FFFFFF"/>
                  <w:noWrap/>
                  <w:vAlign w:val="bottom"/>
                  <w:hideMark/>
                </w:tcPr>
                <w:p w14:paraId="10AAA4C6"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238.40</w:t>
                  </w:r>
                </w:p>
              </w:tc>
              <w:tc>
                <w:tcPr>
                  <w:tcW w:w="749" w:type="pct"/>
                  <w:tcBorders>
                    <w:top w:val="nil"/>
                    <w:left w:val="nil"/>
                    <w:bottom w:val="nil"/>
                    <w:right w:val="nil"/>
                  </w:tcBorders>
                  <w:shd w:val="clear" w:color="000000" w:fill="FFFFFF"/>
                  <w:noWrap/>
                  <w:vAlign w:val="bottom"/>
                  <w:hideMark/>
                </w:tcPr>
                <w:p w14:paraId="7D7FEC3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238.85</w:t>
                  </w:r>
                </w:p>
              </w:tc>
              <w:tc>
                <w:tcPr>
                  <w:tcW w:w="668" w:type="pct"/>
                  <w:tcBorders>
                    <w:top w:val="nil"/>
                    <w:left w:val="nil"/>
                    <w:bottom w:val="nil"/>
                    <w:right w:val="nil"/>
                  </w:tcBorders>
                  <w:shd w:val="clear" w:color="000000" w:fill="FFFFFF"/>
                  <w:noWrap/>
                  <w:vAlign w:val="bottom"/>
                  <w:hideMark/>
                </w:tcPr>
                <w:p w14:paraId="2F95BAD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237.77</w:t>
                  </w:r>
                </w:p>
              </w:tc>
              <w:tc>
                <w:tcPr>
                  <w:tcW w:w="668" w:type="pct"/>
                  <w:tcBorders>
                    <w:top w:val="nil"/>
                    <w:left w:val="nil"/>
                    <w:bottom w:val="nil"/>
                    <w:right w:val="nil"/>
                  </w:tcBorders>
                  <w:shd w:val="clear" w:color="000000" w:fill="FFFFFF"/>
                  <w:noWrap/>
                  <w:vAlign w:val="bottom"/>
                  <w:hideMark/>
                </w:tcPr>
                <w:p w14:paraId="1E2EBC2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237.02</w:t>
                  </w:r>
                </w:p>
              </w:tc>
              <w:tc>
                <w:tcPr>
                  <w:tcW w:w="668" w:type="pct"/>
                  <w:tcBorders>
                    <w:top w:val="nil"/>
                    <w:left w:val="nil"/>
                    <w:bottom w:val="nil"/>
                    <w:right w:val="nil"/>
                  </w:tcBorders>
                  <w:shd w:val="clear" w:color="000000" w:fill="FFFFFF"/>
                  <w:noWrap/>
                  <w:vAlign w:val="bottom"/>
                  <w:hideMark/>
                </w:tcPr>
                <w:p w14:paraId="01F5E8E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1,188.37</w:t>
                  </w:r>
                </w:p>
              </w:tc>
            </w:tr>
            <w:tr w:rsidR="00782C9E" w:rsidRPr="0077565D" w14:paraId="31B5017C" w14:textId="77777777" w:rsidTr="00782C9E">
              <w:trPr>
                <w:trHeight w:val="240"/>
              </w:trPr>
              <w:tc>
                <w:tcPr>
                  <w:tcW w:w="750" w:type="pct"/>
                  <w:tcBorders>
                    <w:top w:val="nil"/>
                    <w:left w:val="nil"/>
                    <w:bottom w:val="nil"/>
                    <w:right w:val="nil"/>
                  </w:tcBorders>
                  <w:shd w:val="clear" w:color="000000" w:fill="FFFFFF"/>
                  <w:noWrap/>
                  <w:vAlign w:val="bottom"/>
                  <w:hideMark/>
                </w:tcPr>
                <w:p w14:paraId="3C8035AD"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750" w:type="pct"/>
                  <w:tcBorders>
                    <w:top w:val="nil"/>
                    <w:left w:val="nil"/>
                    <w:bottom w:val="nil"/>
                    <w:right w:val="nil"/>
                  </w:tcBorders>
                  <w:shd w:val="clear" w:color="000000" w:fill="FFFFFF"/>
                  <w:noWrap/>
                  <w:vAlign w:val="bottom"/>
                  <w:hideMark/>
                </w:tcPr>
                <w:p w14:paraId="1D980451"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749" w:type="pct"/>
                  <w:tcBorders>
                    <w:top w:val="nil"/>
                    <w:left w:val="nil"/>
                    <w:bottom w:val="nil"/>
                    <w:right w:val="nil"/>
                  </w:tcBorders>
                  <w:shd w:val="clear" w:color="000000" w:fill="FFFFFF"/>
                  <w:noWrap/>
                  <w:vAlign w:val="bottom"/>
                  <w:hideMark/>
                </w:tcPr>
                <w:p w14:paraId="6BEA626D"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749" w:type="pct"/>
                  <w:tcBorders>
                    <w:top w:val="nil"/>
                    <w:left w:val="nil"/>
                    <w:bottom w:val="nil"/>
                    <w:right w:val="nil"/>
                  </w:tcBorders>
                  <w:shd w:val="clear" w:color="000000" w:fill="FFFFFF"/>
                  <w:noWrap/>
                  <w:vAlign w:val="bottom"/>
                  <w:hideMark/>
                </w:tcPr>
                <w:p w14:paraId="19CEE8FC"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31CCC8EA"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184489C9"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18669028"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r>
            <w:tr w:rsidR="00782C9E" w:rsidRPr="0077565D" w14:paraId="33F87483" w14:textId="77777777" w:rsidTr="00782C9E">
              <w:trPr>
                <w:trHeight w:val="264"/>
              </w:trPr>
              <w:tc>
                <w:tcPr>
                  <w:tcW w:w="2997" w:type="pct"/>
                  <w:gridSpan w:val="4"/>
                  <w:tcBorders>
                    <w:top w:val="nil"/>
                    <w:left w:val="nil"/>
                    <w:bottom w:val="nil"/>
                    <w:right w:val="nil"/>
                  </w:tcBorders>
                  <w:shd w:val="clear" w:color="000000" w:fill="FFFFFF"/>
                  <w:noWrap/>
                  <w:vAlign w:val="bottom"/>
                  <w:hideMark/>
                </w:tcPr>
                <w:p w14:paraId="0806B94F" w14:textId="77777777" w:rsidR="00782C9E" w:rsidRPr="0077565D" w:rsidRDefault="00782C9E" w:rsidP="00782C9E">
                  <w:pPr>
                    <w:spacing w:after="0" w:line="240" w:lineRule="auto"/>
                    <w:rPr>
                      <w:rFonts w:asciiTheme="minorHAnsi" w:eastAsia="Times New Roman" w:hAnsiTheme="minorHAnsi" w:cstheme="minorHAnsi"/>
                      <w:b/>
                      <w:bCs/>
                      <w:sz w:val="18"/>
                      <w:szCs w:val="18"/>
                      <w:u w:val="single"/>
                      <w:lang w:eastAsia="en-GB"/>
                    </w:rPr>
                  </w:pPr>
                  <w:r w:rsidRPr="0077565D">
                    <w:rPr>
                      <w:rFonts w:asciiTheme="minorHAnsi" w:eastAsia="Times New Roman" w:hAnsiTheme="minorHAnsi" w:cstheme="minorHAnsi"/>
                      <w:b/>
                      <w:bCs/>
                      <w:sz w:val="18"/>
                      <w:szCs w:val="18"/>
                      <w:u w:val="single"/>
                      <w:lang w:eastAsia="en-GB"/>
                    </w:rPr>
                    <w:t>Glidepath in Allowances sheets (e.g. Cal_EoE)</w:t>
                  </w:r>
                </w:p>
              </w:tc>
              <w:tc>
                <w:tcPr>
                  <w:tcW w:w="668" w:type="pct"/>
                  <w:tcBorders>
                    <w:top w:val="nil"/>
                    <w:left w:val="nil"/>
                    <w:bottom w:val="nil"/>
                    <w:right w:val="nil"/>
                  </w:tcBorders>
                  <w:shd w:val="clear" w:color="000000" w:fill="FFFFFF"/>
                  <w:noWrap/>
                  <w:vAlign w:val="bottom"/>
                  <w:hideMark/>
                </w:tcPr>
                <w:p w14:paraId="04FFB537"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60D7A438"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4BC3DCBF"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r>
            <w:tr w:rsidR="00782C9E" w:rsidRPr="0077565D" w14:paraId="30695097" w14:textId="77777777" w:rsidTr="00782C9E">
              <w:trPr>
                <w:trHeight w:val="264"/>
              </w:trPr>
              <w:tc>
                <w:tcPr>
                  <w:tcW w:w="750" w:type="pct"/>
                  <w:tcBorders>
                    <w:top w:val="nil"/>
                    <w:left w:val="nil"/>
                    <w:bottom w:val="nil"/>
                    <w:right w:val="nil"/>
                  </w:tcBorders>
                  <w:shd w:val="clear" w:color="000000" w:fill="FFFFFF"/>
                  <w:noWrap/>
                  <w:vAlign w:val="bottom"/>
                  <w:hideMark/>
                </w:tcPr>
                <w:p w14:paraId="5D9A995C"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EoE</w:t>
                  </w:r>
                </w:p>
              </w:tc>
              <w:tc>
                <w:tcPr>
                  <w:tcW w:w="750" w:type="pct"/>
                  <w:tcBorders>
                    <w:top w:val="nil"/>
                    <w:left w:val="nil"/>
                    <w:bottom w:val="nil"/>
                    <w:right w:val="nil"/>
                  </w:tcBorders>
                  <w:shd w:val="clear" w:color="000000" w:fill="FFFFFF"/>
                  <w:noWrap/>
                  <w:vAlign w:val="bottom"/>
                  <w:hideMark/>
                </w:tcPr>
                <w:p w14:paraId="0EFA3B1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319.31</w:t>
                  </w:r>
                </w:p>
              </w:tc>
              <w:tc>
                <w:tcPr>
                  <w:tcW w:w="749" w:type="pct"/>
                  <w:tcBorders>
                    <w:top w:val="nil"/>
                    <w:left w:val="nil"/>
                    <w:bottom w:val="nil"/>
                    <w:right w:val="nil"/>
                  </w:tcBorders>
                  <w:shd w:val="clear" w:color="000000" w:fill="FFFFFF"/>
                  <w:noWrap/>
                  <w:vAlign w:val="bottom"/>
                  <w:hideMark/>
                </w:tcPr>
                <w:p w14:paraId="30BA6F1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318.66</w:t>
                  </w:r>
                </w:p>
              </w:tc>
              <w:tc>
                <w:tcPr>
                  <w:tcW w:w="749" w:type="pct"/>
                  <w:tcBorders>
                    <w:top w:val="nil"/>
                    <w:left w:val="nil"/>
                    <w:bottom w:val="nil"/>
                    <w:right w:val="nil"/>
                  </w:tcBorders>
                  <w:shd w:val="clear" w:color="000000" w:fill="FFFFFF"/>
                  <w:noWrap/>
                  <w:vAlign w:val="bottom"/>
                  <w:hideMark/>
                </w:tcPr>
                <w:p w14:paraId="7B44E852"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319.03</w:t>
                  </w:r>
                </w:p>
              </w:tc>
              <w:tc>
                <w:tcPr>
                  <w:tcW w:w="668" w:type="pct"/>
                  <w:tcBorders>
                    <w:top w:val="nil"/>
                    <w:left w:val="nil"/>
                    <w:bottom w:val="nil"/>
                    <w:right w:val="nil"/>
                  </w:tcBorders>
                  <w:shd w:val="clear" w:color="000000" w:fill="FFFFFF"/>
                  <w:noWrap/>
                  <w:vAlign w:val="bottom"/>
                  <w:hideMark/>
                </w:tcPr>
                <w:p w14:paraId="1D91949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306.73</w:t>
                  </w:r>
                </w:p>
              </w:tc>
              <w:tc>
                <w:tcPr>
                  <w:tcW w:w="668" w:type="pct"/>
                  <w:tcBorders>
                    <w:top w:val="nil"/>
                    <w:left w:val="nil"/>
                    <w:bottom w:val="nil"/>
                    <w:right w:val="nil"/>
                  </w:tcBorders>
                  <w:shd w:val="clear" w:color="000000" w:fill="FFFFFF"/>
                  <w:noWrap/>
                  <w:vAlign w:val="bottom"/>
                  <w:hideMark/>
                </w:tcPr>
                <w:p w14:paraId="74FF2A91"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297.25</w:t>
                  </w:r>
                </w:p>
              </w:tc>
              <w:tc>
                <w:tcPr>
                  <w:tcW w:w="668" w:type="pct"/>
                  <w:tcBorders>
                    <w:top w:val="nil"/>
                    <w:left w:val="nil"/>
                    <w:bottom w:val="nil"/>
                    <w:right w:val="nil"/>
                  </w:tcBorders>
                  <w:shd w:val="clear" w:color="000000" w:fill="FFFFFF"/>
                  <w:noWrap/>
                  <w:vAlign w:val="bottom"/>
                  <w:hideMark/>
                </w:tcPr>
                <w:p w14:paraId="7C10ED3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1,560.98</w:t>
                  </w:r>
                </w:p>
              </w:tc>
            </w:tr>
            <w:tr w:rsidR="00782C9E" w:rsidRPr="0077565D" w14:paraId="2D51EFB3" w14:textId="77777777" w:rsidTr="00782C9E">
              <w:trPr>
                <w:trHeight w:val="264"/>
              </w:trPr>
              <w:tc>
                <w:tcPr>
                  <w:tcW w:w="750" w:type="pct"/>
                  <w:tcBorders>
                    <w:top w:val="nil"/>
                    <w:left w:val="nil"/>
                    <w:bottom w:val="nil"/>
                    <w:right w:val="nil"/>
                  </w:tcBorders>
                  <w:shd w:val="clear" w:color="000000" w:fill="FFFFFF"/>
                  <w:noWrap/>
                  <w:vAlign w:val="bottom"/>
                  <w:hideMark/>
                </w:tcPr>
                <w:p w14:paraId="53458333"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lastRenderedPageBreak/>
                    <w:t>Lon</w:t>
                  </w:r>
                </w:p>
              </w:tc>
              <w:tc>
                <w:tcPr>
                  <w:tcW w:w="750" w:type="pct"/>
                  <w:tcBorders>
                    <w:top w:val="nil"/>
                    <w:left w:val="nil"/>
                    <w:bottom w:val="nil"/>
                    <w:right w:val="nil"/>
                  </w:tcBorders>
                  <w:shd w:val="clear" w:color="000000" w:fill="FFFFFF"/>
                  <w:noWrap/>
                  <w:vAlign w:val="bottom"/>
                  <w:hideMark/>
                </w:tcPr>
                <w:p w14:paraId="2CC72D4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248.59</w:t>
                  </w:r>
                </w:p>
              </w:tc>
              <w:tc>
                <w:tcPr>
                  <w:tcW w:w="749" w:type="pct"/>
                  <w:tcBorders>
                    <w:top w:val="nil"/>
                    <w:left w:val="nil"/>
                    <w:bottom w:val="nil"/>
                    <w:right w:val="nil"/>
                  </w:tcBorders>
                  <w:shd w:val="clear" w:color="000000" w:fill="FFFFFF"/>
                  <w:noWrap/>
                  <w:vAlign w:val="bottom"/>
                  <w:hideMark/>
                </w:tcPr>
                <w:p w14:paraId="70207F9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248.67</w:t>
                  </w:r>
                </w:p>
              </w:tc>
              <w:tc>
                <w:tcPr>
                  <w:tcW w:w="749" w:type="pct"/>
                  <w:tcBorders>
                    <w:top w:val="nil"/>
                    <w:left w:val="nil"/>
                    <w:bottom w:val="nil"/>
                    <w:right w:val="nil"/>
                  </w:tcBorders>
                  <w:shd w:val="clear" w:color="000000" w:fill="FFFFFF"/>
                  <w:noWrap/>
                  <w:vAlign w:val="bottom"/>
                  <w:hideMark/>
                </w:tcPr>
                <w:p w14:paraId="29CAACC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246.97</w:t>
                  </w:r>
                </w:p>
              </w:tc>
              <w:tc>
                <w:tcPr>
                  <w:tcW w:w="668" w:type="pct"/>
                  <w:tcBorders>
                    <w:top w:val="nil"/>
                    <w:left w:val="nil"/>
                    <w:bottom w:val="nil"/>
                    <w:right w:val="nil"/>
                  </w:tcBorders>
                  <w:shd w:val="clear" w:color="000000" w:fill="FFFFFF"/>
                  <w:noWrap/>
                  <w:vAlign w:val="bottom"/>
                  <w:hideMark/>
                </w:tcPr>
                <w:p w14:paraId="5F54071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239.68</w:t>
                  </w:r>
                </w:p>
              </w:tc>
              <w:tc>
                <w:tcPr>
                  <w:tcW w:w="668" w:type="pct"/>
                  <w:tcBorders>
                    <w:top w:val="nil"/>
                    <w:left w:val="nil"/>
                    <w:bottom w:val="nil"/>
                    <w:right w:val="nil"/>
                  </w:tcBorders>
                  <w:shd w:val="clear" w:color="000000" w:fill="FFFFFF"/>
                  <w:noWrap/>
                  <w:vAlign w:val="bottom"/>
                  <w:hideMark/>
                </w:tcPr>
                <w:p w14:paraId="35A1F12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233.99</w:t>
                  </w:r>
                </w:p>
              </w:tc>
              <w:tc>
                <w:tcPr>
                  <w:tcW w:w="668" w:type="pct"/>
                  <w:tcBorders>
                    <w:top w:val="nil"/>
                    <w:left w:val="nil"/>
                    <w:bottom w:val="nil"/>
                    <w:right w:val="nil"/>
                  </w:tcBorders>
                  <w:shd w:val="clear" w:color="000000" w:fill="FFFFFF"/>
                  <w:noWrap/>
                  <w:vAlign w:val="bottom"/>
                  <w:hideMark/>
                </w:tcPr>
                <w:p w14:paraId="20AD242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1,217.89</w:t>
                  </w:r>
                </w:p>
              </w:tc>
            </w:tr>
            <w:tr w:rsidR="00782C9E" w:rsidRPr="0077565D" w14:paraId="319BC059" w14:textId="77777777" w:rsidTr="00782C9E">
              <w:trPr>
                <w:trHeight w:val="264"/>
              </w:trPr>
              <w:tc>
                <w:tcPr>
                  <w:tcW w:w="750" w:type="pct"/>
                  <w:tcBorders>
                    <w:top w:val="nil"/>
                    <w:left w:val="nil"/>
                    <w:bottom w:val="nil"/>
                    <w:right w:val="nil"/>
                  </w:tcBorders>
                  <w:shd w:val="clear" w:color="000000" w:fill="FFFFFF"/>
                  <w:noWrap/>
                  <w:vAlign w:val="bottom"/>
                  <w:hideMark/>
                </w:tcPr>
                <w:p w14:paraId="3B656A96"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NW</w:t>
                  </w:r>
                </w:p>
              </w:tc>
              <w:tc>
                <w:tcPr>
                  <w:tcW w:w="750" w:type="pct"/>
                  <w:tcBorders>
                    <w:top w:val="nil"/>
                    <w:left w:val="nil"/>
                    <w:bottom w:val="nil"/>
                    <w:right w:val="nil"/>
                  </w:tcBorders>
                  <w:shd w:val="clear" w:color="000000" w:fill="FFFFFF"/>
                  <w:noWrap/>
                  <w:vAlign w:val="bottom"/>
                  <w:hideMark/>
                </w:tcPr>
                <w:p w14:paraId="3CB6DE0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230.55</w:t>
                  </w:r>
                </w:p>
              </w:tc>
              <w:tc>
                <w:tcPr>
                  <w:tcW w:w="749" w:type="pct"/>
                  <w:tcBorders>
                    <w:top w:val="nil"/>
                    <w:left w:val="nil"/>
                    <w:bottom w:val="nil"/>
                    <w:right w:val="nil"/>
                  </w:tcBorders>
                  <w:shd w:val="clear" w:color="000000" w:fill="FFFFFF"/>
                  <w:noWrap/>
                  <w:vAlign w:val="bottom"/>
                  <w:hideMark/>
                </w:tcPr>
                <w:p w14:paraId="4E715F3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229.96</w:t>
                  </w:r>
                </w:p>
              </w:tc>
              <w:tc>
                <w:tcPr>
                  <w:tcW w:w="749" w:type="pct"/>
                  <w:tcBorders>
                    <w:top w:val="nil"/>
                    <w:left w:val="nil"/>
                    <w:bottom w:val="nil"/>
                    <w:right w:val="nil"/>
                  </w:tcBorders>
                  <w:shd w:val="clear" w:color="000000" w:fill="FFFFFF"/>
                  <w:noWrap/>
                  <w:vAlign w:val="bottom"/>
                  <w:hideMark/>
                </w:tcPr>
                <w:p w14:paraId="6E5F315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225.30</w:t>
                  </w:r>
                </w:p>
              </w:tc>
              <w:tc>
                <w:tcPr>
                  <w:tcW w:w="668" w:type="pct"/>
                  <w:tcBorders>
                    <w:top w:val="nil"/>
                    <w:left w:val="nil"/>
                    <w:bottom w:val="nil"/>
                    <w:right w:val="nil"/>
                  </w:tcBorders>
                  <w:shd w:val="clear" w:color="000000" w:fill="FFFFFF"/>
                  <w:noWrap/>
                  <w:vAlign w:val="bottom"/>
                  <w:hideMark/>
                </w:tcPr>
                <w:p w14:paraId="54F5182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213.80</w:t>
                  </w:r>
                </w:p>
              </w:tc>
              <w:tc>
                <w:tcPr>
                  <w:tcW w:w="668" w:type="pct"/>
                  <w:tcBorders>
                    <w:top w:val="nil"/>
                    <w:left w:val="nil"/>
                    <w:bottom w:val="nil"/>
                    <w:right w:val="nil"/>
                  </w:tcBorders>
                  <w:shd w:val="clear" w:color="000000" w:fill="FFFFFF"/>
                  <w:noWrap/>
                  <w:vAlign w:val="bottom"/>
                  <w:hideMark/>
                </w:tcPr>
                <w:p w14:paraId="59AC242C"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208.83</w:t>
                  </w:r>
                </w:p>
              </w:tc>
              <w:tc>
                <w:tcPr>
                  <w:tcW w:w="668" w:type="pct"/>
                  <w:tcBorders>
                    <w:top w:val="nil"/>
                    <w:left w:val="nil"/>
                    <w:bottom w:val="nil"/>
                    <w:right w:val="nil"/>
                  </w:tcBorders>
                  <w:shd w:val="clear" w:color="000000" w:fill="FFFFFF"/>
                  <w:noWrap/>
                  <w:vAlign w:val="bottom"/>
                  <w:hideMark/>
                </w:tcPr>
                <w:p w14:paraId="3BF498E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1,108.44</w:t>
                  </w:r>
                </w:p>
              </w:tc>
            </w:tr>
            <w:tr w:rsidR="00782C9E" w:rsidRPr="0077565D" w14:paraId="7886F222" w14:textId="77777777" w:rsidTr="00782C9E">
              <w:trPr>
                <w:trHeight w:val="264"/>
              </w:trPr>
              <w:tc>
                <w:tcPr>
                  <w:tcW w:w="750" w:type="pct"/>
                  <w:tcBorders>
                    <w:top w:val="nil"/>
                    <w:left w:val="nil"/>
                    <w:bottom w:val="nil"/>
                    <w:right w:val="nil"/>
                  </w:tcBorders>
                  <w:shd w:val="clear" w:color="000000" w:fill="FFFFFF"/>
                  <w:noWrap/>
                  <w:vAlign w:val="bottom"/>
                  <w:hideMark/>
                </w:tcPr>
                <w:p w14:paraId="3F2EE0A9"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WM</w:t>
                  </w:r>
                </w:p>
              </w:tc>
              <w:tc>
                <w:tcPr>
                  <w:tcW w:w="750" w:type="pct"/>
                  <w:tcBorders>
                    <w:top w:val="nil"/>
                    <w:left w:val="nil"/>
                    <w:bottom w:val="nil"/>
                    <w:right w:val="nil"/>
                  </w:tcBorders>
                  <w:shd w:val="clear" w:color="000000" w:fill="FFFFFF"/>
                  <w:noWrap/>
                  <w:vAlign w:val="bottom"/>
                  <w:hideMark/>
                </w:tcPr>
                <w:p w14:paraId="046D946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178.97</w:t>
                  </w:r>
                </w:p>
              </w:tc>
              <w:tc>
                <w:tcPr>
                  <w:tcW w:w="749" w:type="pct"/>
                  <w:tcBorders>
                    <w:top w:val="nil"/>
                    <w:left w:val="nil"/>
                    <w:bottom w:val="nil"/>
                    <w:right w:val="nil"/>
                  </w:tcBorders>
                  <w:shd w:val="clear" w:color="000000" w:fill="FFFFFF"/>
                  <w:noWrap/>
                  <w:vAlign w:val="bottom"/>
                  <w:hideMark/>
                </w:tcPr>
                <w:p w14:paraId="7AE3FC0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179.11</w:t>
                  </w:r>
                </w:p>
              </w:tc>
              <w:tc>
                <w:tcPr>
                  <w:tcW w:w="749" w:type="pct"/>
                  <w:tcBorders>
                    <w:top w:val="nil"/>
                    <w:left w:val="nil"/>
                    <w:bottom w:val="nil"/>
                    <w:right w:val="nil"/>
                  </w:tcBorders>
                  <w:shd w:val="clear" w:color="000000" w:fill="FFFFFF"/>
                  <w:noWrap/>
                  <w:vAlign w:val="bottom"/>
                  <w:hideMark/>
                </w:tcPr>
                <w:p w14:paraId="1749727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181.72</w:t>
                  </w:r>
                </w:p>
              </w:tc>
              <w:tc>
                <w:tcPr>
                  <w:tcW w:w="668" w:type="pct"/>
                  <w:tcBorders>
                    <w:top w:val="nil"/>
                    <w:left w:val="nil"/>
                    <w:bottom w:val="nil"/>
                    <w:right w:val="nil"/>
                  </w:tcBorders>
                  <w:shd w:val="clear" w:color="000000" w:fill="FFFFFF"/>
                  <w:noWrap/>
                  <w:vAlign w:val="bottom"/>
                  <w:hideMark/>
                </w:tcPr>
                <w:p w14:paraId="77B9F14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173.08</w:t>
                  </w:r>
                </w:p>
              </w:tc>
              <w:tc>
                <w:tcPr>
                  <w:tcW w:w="668" w:type="pct"/>
                  <w:tcBorders>
                    <w:top w:val="nil"/>
                    <w:left w:val="nil"/>
                    <w:bottom w:val="nil"/>
                    <w:right w:val="nil"/>
                  </w:tcBorders>
                  <w:shd w:val="clear" w:color="000000" w:fill="FFFFFF"/>
                  <w:noWrap/>
                  <w:vAlign w:val="bottom"/>
                  <w:hideMark/>
                </w:tcPr>
                <w:p w14:paraId="336B63FA"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170.99</w:t>
                  </w:r>
                </w:p>
              </w:tc>
              <w:tc>
                <w:tcPr>
                  <w:tcW w:w="668" w:type="pct"/>
                  <w:tcBorders>
                    <w:top w:val="nil"/>
                    <w:left w:val="nil"/>
                    <w:bottom w:val="nil"/>
                    <w:right w:val="nil"/>
                  </w:tcBorders>
                  <w:shd w:val="clear" w:color="000000" w:fill="FFFFFF"/>
                  <w:noWrap/>
                  <w:vAlign w:val="bottom"/>
                  <w:hideMark/>
                </w:tcPr>
                <w:p w14:paraId="39E74676"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883.88</w:t>
                  </w:r>
                </w:p>
              </w:tc>
            </w:tr>
            <w:tr w:rsidR="00782C9E" w:rsidRPr="0077565D" w14:paraId="46FABD05" w14:textId="77777777" w:rsidTr="00782C9E">
              <w:trPr>
                <w:trHeight w:val="264"/>
              </w:trPr>
              <w:tc>
                <w:tcPr>
                  <w:tcW w:w="750" w:type="pct"/>
                  <w:tcBorders>
                    <w:top w:val="nil"/>
                    <w:left w:val="nil"/>
                    <w:bottom w:val="nil"/>
                    <w:right w:val="nil"/>
                  </w:tcBorders>
                  <w:shd w:val="clear" w:color="000000" w:fill="FFFFFF"/>
                  <w:noWrap/>
                  <w:vAlign w:val="bottom"/>
                  <w:hideMark/>
                </w:tcPr>
                <w:p w14:paraId="6C03F750"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NGN</w:t>
                  </w:r>
                </w:p>
              </w:tc>
              <w:tc>
                <w:tcPr>
                  <w:tcW w:w="750" w:type="pct"/>
                  <w:tcBorders>
                    <w:top w:val="nil"/>
                    <w:left w:val="nil"/>
                    <w:bottom w:val="nil"/>
                    <w:right w:val="nil"/>
                  </w:tcBorders>
                  <w:shd w:val="clear" w:color="000000" w:fill="FFFFFF"/>
                  <w:noWrap/>
                  <w:vAlign w:val="bottom"/>
                  <w:hideMark/>
                </w:tcPr>
                <w:p w14:paraId="6F33A6B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239.10</w:t>
                  </w:r>
                </w:p>
              </w:tc>
              <w:tc>
                <w:tcPr>
                  <w:tcW w:w="749" w:type="pct"/>
                  <w:tcBorders>
                    <w:top w:val="nil"/>
                    <w:left w:val="nil"/>
                    <w:bottom w:val="nil"/>
                    <w:right w:val="nil"/>
                  </w:tcBorders>
                  <w:shd w:val="clear" w:color="000000" w:fill="FFFFFF"/>
                  <w:noWrap/>
                  <w:vAlign w:val="bottom"/>
                  <w:hideMark/>
                </w:tcPr>
                <w:p w14:paraId="2B9038B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241.49</w:t>
                  </w:r>
                </w:p>
              </w:tc>
              <w:tc>
                <w:tcPr>
                  <w:tcW w:w="749" w:type="pct"/>
                  <w:tcBorders>
                    <w:top w:val="nil"/>
                    <w:left w:val="nil"/>
                    <w:bottom w:val="nil"/>
                    <w:right w:val="nil"/>
                  </w:tcBorders>
                  <w:shd w:val="clear" w:color="000000" w:fill="FFFFFF"/>
                  <w:noWrap/>
                  <w:vAlign w:val="bottom"/>
                  <w:hideMark/>
                </w:tcPr>
                <w:p w14:paraId="56DC83C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239.10</w:t>
                  </w:r>
                </w:p>
              </w:tc>
              <w:tc>
                <w:tcPr>
                  <w:tcW w:w="668" w:type="pct"/>
                  <w:tcBorders>
                    <w:top w:val="nil"/>
                    <w:left w:val="nil"/>
                    <w:bottom w:val="nil"/>
                    <w:right w:val="nil"/>
                  </w:tcBorders>
                  <w:shd w:val="clear" w:color="000000" w:fill="FFFFFF"/>
                  <w:noWrap/>
                  <w:vAlign w:val="bottom"/>
                  <w:hideMark/>
                </w:tcPr>
                <w:p w14:paraId="64B8EF3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238.04</w:t>
                  </w:r>
                </w:p>
              </w:tc>
              <w:tc>
                <w:tcPr>
                  <w:tcW w:w="668" w:type="pct"/>
                  <w:tcBorders>
                    <w:top w:val="nil"/>
                    <w:left w:val="nil"/>
                    <w:bottom w:val="nil"/>
                    <w:right w:val="nil"/>
                  </w:tcBorders>
                  <w:shd w:val="clear" w:color="000000" w:fill="FFFFFF"/>
                  <w:noWrap/>
                  <w:vAlign w:val="bottom"/>
                  <w:hideMark/>
                </w:tcPr>
                <w:p w14:paraId="25BEF7F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235.79</w:t>
                  </w:r>
                </w:p>
              </w:tc>
              <w:tc>
                <w:tcPr>
                  <w:tcW w:w="668" w:type="pct"/>
                  <w:tcBorders>
                    <w:top w:val="nil"/>
                    <w:left w:val="nil"/>
                    <w:bottom w:val="nil"/>
                    <w:right w:val="nil"/>
                  </w:tcBorders>
                  <w:shd w:val="clear" w:color="000000" w:fill="FFFFFF"/>
                  <w:noWrap/>
                  <w:vAlign w:val="bottom"/>
                  <w:hideMark/>
                </w:tcPr>
                <w:p w14:paraId="2A3B7B6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1,193.53</w:t>
                  </w:r>
                </w:p>
              </w:tc>
            </w:tr>
            <w:tr w:rsidR="00782C9E" w:rsidRPr="0077565D" w14:paraId="3096CF08" w14:textId="77777777" w:rsidTr="00782C9E">
              <w:trPr>
                <w:trHeight w:val="264"/>
              </w:trPr>
              <w:tc>
                <w:tcPr>
                  <w:tcW w:w="750" w:type="pct"/>
                  <w:tcBorders>
                    <w:top w:val="nil"/>
                    <w:left w:val="nil"/>
                    <w:bottom w:val="nil"/>
                    <w:right w:val="nil"/>
                  </w:tcBorders>
                  <w:shd w:val="clear" w:color="000000" w:fill="FFFFFF"/>
                  <w:noWrap/>
                  <w:vAlign w:val="bottom"/>
                  <w:hideMark/>
                </w:tcPr>
                <w:p w14:paraId="1C323A0B"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Sc</w:t>
                  </w:r>
                </w:p>
              </w:tc>
              <w:tc>
                <w:tcPr>
                  <w:tcW w:w="750" w:type="pct"/>
                  <w:tcBorders>
                    <w:top w:val="nil"/>
                    <w:left w:val="nil"/>
                    <w:bottom w:val="nil"/>
                    <w:right w:val="nil"/>
                  </w:tcBorders>
                  <w:shd w:val="clear" w:color="000000" w:fill="FFFFFF"/>
                  <w:noWrap/>
                  <w:vAlign w:val="bottom"/>
                  <w:hideMark/>
                </w:tcPr>
                <w:p w14:paraId="4DE9679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174.91</w:t>
                  </w:r>
                </w:p>
              </w:tc>
              <w:tc>
                <w:tcPr>
                  <w:tcW w:w="749" w:type="pct"/>
                  <w:tcBorders>
                    <w:top w:val="nil"/>
                    <w:left w:val="nil"/>
                    <w:bottom w:val="nil"/>
                    <w:right w:val="nil"/>
                  </w:tcBorders>
                  <w:shd w:val="clear" w:color="000000" w:fill="FFFFFF"/>
                  <w:noWrap/>
                  <w:vAlign w:val="bottom"/>
                  <w:hideMark/>
                </w:tcPr>
                <w:p w14:paraId="0E37595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182.42</w:t>
                  </w:r>
                </w:p>
              </w:tc>
              <w:tc>
                <w:tcPr>
                  <w:tcW w:w="749" w:type="pct"/>
                  <w:tcBorders>
                    <w:top w:val="nil"/>
                    <w:left w:val="nil"/>
                    <w:bottom w:val="nil"/>
                    <w:right w:val="nil"/>
                  </w:tcBorders>
                  <w:shd w:val="clear" w:color="000000" w:fill="FFFFFF"/>
                  <w:noWrap/>
                  <w:vAlign w:val="bottom"/>
                  <w:hideMark/>
                </w:tcPr>
                <w:p w14:paraId="7C6BC18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174.62</w:t>
                  </w:r>
                </w:p>
              </w:tc>
              <w:tc>
                <w:tcPr>
                  <w:tcW w:w="668" w:type="pct"/>
                  <w:tcBorders>
                    <w:top w:val="nil"/>
                    <w:left w:val="nil"/>
                    <w:bottom w:val="nil"/>
                    <w:right w:val="nil"/>
                  </w:tcBorders>
                  <w:shd w:val="clear" w:color="000000" w:fill="FFFFFF"/>
                  <w:noWrap/>
                  <w:vAlign w:val="bottom"/>
                  <w:hideMark/>
                </w:tcPr>
                <w:p w14:paraId="4CED926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169.62</w:t>
                  </w:r>
                </w:p>
              </w:tc>
              <w:tc>
                <w:tcPr>
                  <w:tcW w:w="668" w:type="pct"/>
                  <w:tcBorders>
                    <w:top w:val="nil"/>
                    <w:left w:val="nil"/>
                    <w:bottom w:val="nil"/>
                    <w:right w:val="nil"/>
                  </w:tcBorders>
                  <w:shd w:val="clear" w:color="000000" w:fill="FFFFFF"/>
                  <w:noWrap/>
                  <w:vAlign w:val="bottom"/>
                  <w:hideMark/>
                </w:tcPr>
                <w:p w14:paraId="5116FC4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168.93</w:t>
                  </w:r>
                </w:p>
              </w:tc>
              <w:tc>
                <w:tcPr>
                  <w:tcW w:w="668" w:type="pct"/>
                  <w:tcBorders>
                    <w:top w:val="nil"/>
                    <w:left w:val="nil"/>
                    <w:bottom w:val="nil"/>
                    <w:right w:val="nil"/>
                  </w:tcBorders>
                  <w:shd w:val="clear" w:color="000000" w:fill="FFFFFF"/>
                  <w:noWrap/>
                  <w:vAlign w:val="bottom"/>
                  <w:hideMark/>
                </w:tcPr>
                <w:p w14:paraId="79D9B8E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870.50</w:t>
                  </w:r>
                </w:p>
              </w:tc>
            </w:tr>
            <w:tr w:rsidR="00782C9E" w:rsidRPr="0077565D" w14:paraId="3333F90E" w14:textId="77777777" w:rsidTr="00782C9E">
              <w:trPr>
                <w:trHeight w:val="264"/>
              </w:trPr>
              <w:tc>
                <w:tcPr>
                  <w:tcW w:w="750" w:type="pct"/>
                  <w:tcBorders>
                    <w:top w:val="nil"/>
                    <w:left w:val="nil"/>
                    <w:bottom w:val="nil"/>
                    <w:right w:val="nil"/>
                  </w:tcBorders>
                  <w:shd w:val="clear" w:color="000000" w:fill="FFFFFF"/>
                  <w:noWrap/>
                  <w:vAlign w:val="bottom"/>
                  <w:hideMark/>
                </w:tcPr>
                <w:p w14:paraId="24913568"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So</w:t>
                  </w:r>
                </w:p>
              </w:tc>
              <w:tc>
                <w:tcPr>
                  <w:tcW w:w="750" w:type="pct"/>
                  <w:tcBorders>
                    <w:top w:val="nil"/>
                    <w:left w:val="nil"/>
                    <w:bottom w:val="nil"/>
                    <w:right w:val="nil"/>
                  </w:tcBorders>
                  <w:shd w:val="clear" w:color="000000" w:fill="FFFFFF"/>
                  <w:noWrap/>
                  <w:vAlign w:val="bottom"/>
                  <w:hideMark/>
                </w:tcPr>
                <w:p w14:paraId="71BAA5E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350.21</w:t>
                  </w:r>
                </w:p>
              </w:tc>
              <w:tc>
                <w:tcPr>
                  <w:tcW w:w="749" w:type="pct"/>
                  <w:tcBorders>
                    <w:top w:val="nil"/>
                    <w:left w:val="nil"/>
                    <w:bottom w:val="nil"/>
                    <w:right w:val="nil"/>
                  </w:tcBorders>
                  <w:shd w:val="clear" w:color="000000" w:fill="FFFFFF"/>
                  <w:noWrap/>
                  <w:vAlign w:val="bottom"/>
                  <w:hideMark/>
                </w:tcPr>
                <w:p w14:paraId="207B87E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363.75</w:t>
                  </w:r>
                </w:p>
              </w:tc>
              <w:tc>
                <w:tcPr>
                  <w:tcW w:w="749" w:type="pct"/>
                  <w:tcBorders>
                    <w:top w:val="nil"/>
                    <w:left w:val="nil"/>
                    <w:bottom w:val="nil"/>
                    <w:right w:val="nil"/>
                  </w:tcBorders>
                  <w:shd w:val="clear" w:color="000000" w:fill="FFFFFF"/>
                  <w:noWrap/>
                  <w:vAlign w:val="bottom"/>
                  <w:hideMark/>
                </w:tcPr>
                <w:p w14:paraId="3E1A766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363.23</w:t>
                  </w:r>
                </w:p>
              </w:tc>
              <w:tc>
                <w:tcPr>
                  <w:tcW w:w="668" w:type="pct"/>
                  <w:tcBorders>
                    <w:top w:val="nil"/>
                    <w:left w:val="nil"/>
                    <w:bottom w:val="nil"/>
                    <w:right w:val="nil"/>
                  </w:tcBorders>
                  <w:shd w:val="clear" w:color="000000" w:fill="FFFFFF"/>
                  <w:noWrap/>
                  <w:vAlign w:val="bottom"/>
                  <w:hideMark/>
                </w:tcPr>
                <w:p w14:paraId="183DF99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356.99</w:t>
                  </w:r>
                </w:p>
              </w:tc>
              <w:tc>
                <w:tcPr>
                  <w:tcW w:w="668" w:type="pct"/>
                  <w:tcBorders>
                    <w:top w:val="nil"/>
                    <w:left w:val="nil"/>
                    <w:bottom w:val="nil"/>
                    <w:right w:val="nil"/>
                  </w:tcBorders>
                  <w:shd w:val="clear" w:color="000000" w:fill="FFFFFF"/>
                  <w:noWrap/>
                  <w:vAlign w:val="bottom"/>
                  <w:hideMark/>
                </w:tcPr>
                <w:p w14:paraId="1C9C95A2"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354.98</w:t>
                  </w:r>
                </w:p>
              </w:tc>
              <w:tc>
                <w:tcPr>
                  <w:tcW w:w="668" w:type="pct"/>
                  <w:tcBorders>
                    <w:top w:val="nil"/>
                    <w:left w:val="nil"/>
                    <w:bottom w:val="nil"/>
                    <w:right w:val="nil"/>
                  </w:tcBorders>
                  <w:shd w:val="clear" w:color="000000" w:fill="FFFFFF"/>
                  <w:noWrap/>
                  <w:vAlign w:val="bottom"/>
                  <w:hideMark/>
                </w:tcPr>
                <w:p w14:paraId="3E252CC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1,789.15</w:t>
                  </w:r>
                </w:p>
              </w:tc>
            </w:tr>
            <w:tr w:rsidR="00782C9E" w:rsidRPr="0077565D" w14:paraId="5224B943" w14:textId="77777777" w:rsidTr="00782C9E">
              <w:trPr>
                <w:trHeight w:val="264"/>
              </w:trPr>
              <w:tc>
                <w:tcPr>
                  <w:tcW w:w="750" w:type="pct"/>
                  <w:tcBorders>
                    <w:top w:val="nil"/>
                    <w:left w:val="nil"/>
                    <w:bottom w:val="nil"/>
                    <w:right w:val="nil"/>
                  </w:tcBorders>
                  <w:shd w:val="clear" w:color="000000" w:fill="FFFFFF"/>
                  <w:noWrap/>
                  <w:vAlign w:val="bottom"/>
                  <w:hideMark/>
                </w:tcPr>
                <w:p w14:paraId="6BE66659"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WWU</w:t>
                  </w:r>
                </w:p>
              </w:tc>
              <w:tc>
                <w:tcPr>
                  <w:tcW w:w="750" w:type="pct"/>
                  <w:tcBorders>
                    <w:top w:val="nil"/>
                    <w:left w:val="nil"/>
                    <w:bottom w:val="nil"/>
                    <w:right w:val="nil"/>
                  </w:tcBorders>
                  <w:shd w:val="clear" w:color="000000" w:fill="FFFFFF"/>
                  <w:noWrap/>
                  <w:vAlign w:val="bottom"/>
                  <w:hideMark/>
                </w:tcPr>
                <w:p w14:paraId="00F1637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247.28</w:t>
                  </w:r>
                </w:p>
              </w:tc>
              <w:tc>
                <w:tcPr>
                  <w:tcW w:w="749" w:type="pct"/>
                  <w:tcBorders>
                    <w:top w:val="nil"/>
                    <w:left w:val="nil"/>
                    <w:bottom w:val="nil"/>
                    <w:right w:val="nil"/>
                  </w:tcBorders>
                  <w:shd w:val="clear" w:color="000000" w:fill="FFFFFF"/>
                  <w:noWrap/>
                  <w:vAlign w:val="bottom"/>
                  <w:hideMark/>
                </w:tcPr>
                <w:p w14:paraId="47826F5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236.40</w:t>
                  </w:r>
                </w:p>
              </w:tc>
              <w:tc>
                <w:tcPr>
                  <w:tcW w:w="749" w:type="pct"/>
                  <w:tcBorders>
                    <w:top w:val="nil"/>
                    <w:left w:val="nil"/>
                    <w:bottom w:val="nil"/>
                    <w:right w:val="nil"/>
                  </w:tcBorders>
                  <w:shd w:val="clear" w:color="000000" w:fill="FFFFFF"/>
                  <w:noWrap/>
                  <w:vAlign w:val="bottom"/>
                  <w:hideMark/>
                </w:tcPr>
                <w:p w14:paraId="71F5B6D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232.62</w:t>
                  </w:r>
                </w:p>
              </w:tc>
              <w:tc>
                <w:tcPr>
                  <w:tcW w:w="668" w:type="pct"/>
                  <w:tcBorders>
                    <w:top w:val="nil"/>
                    <w:left w:val="nil"/>
                    <w:bottom w:val="nil"/>
                    <w:right w:val="nil"/>
                  </w:tcBorders>
                  <w:shd w:val="clear" w:color="000000" w:fill="FFFFFF"/>
                  <w:noWrap/>
                  <w:vAlign w:val="bottom"/>
                  <w:hideMark/>
                </w:tcPr>
                <w:p w14:paraId="7A744CCA"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235.06</w:t>
                  </w:r>
                </w:p>
              </w:tc>
              <w:tc>
                <w:tcPr>
                  <w:tcW w:w="668" w:type="pct"/>
                  <w:tcBorders>
                    <w:top w:val="nil"/>
                    <w:left w:val="nil"/>
                    <w:bottom w:val="nil"/>
                    <w:right w:val="nil"/>
                  </w:tcBorders>
                  <w:shd w:val="clear" w:color="000000" w:fill="FFFFFF"/>
                  <w:noWrap/>
                  <w:vAlign w:val="bottom"/>
                  <w:hideMark/>
                </w:tcPr>
                <w:p w14:paraId="5AB2D6C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237.02</w:t>
                  </w:r>
                </w:p>
              </w:tc>
              <w:tc>
                <w:tcPr>
                  <w:tcW w:w="668" w:type="pct"/>
                  <w:tcBorders>
                    <w:top w:val="nil"/>
                    <w:left w:val="nil"/>
                    <w:bottom w:val="nil"/>
                    <w:right w:val="nil"/>
                  </w:tcBorders>
                  <w:shd w:val="clear" w:color="000000" w:fill="FFFFFF"/>
                  <w:noWrap/>
                  <w:vAlign w:val="bottom"/>
                  <w:hideMark/>
                </w:tcPr>
                <w:p w14:paraId="19E71BD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1,188.37</w:t>
                  </w:r>
                </w:p>
              </w:tc>
            </w:tr>
            <w:tr w:rsidR="00782C9E" w:rsidRPr="0077565D" w14:paraId="24CDC653" w14:textId="77777777" w:rsidTr="00782C9E">
              <w:trPr>
                <w:trHeight w:val="240"/>
              </w:trPr>
              <w:tc>
                <w:tcPr>
                  <w:tcW w:w="750" w:type="pct"/>
                  <w:tcBorders>
                    <w:top w:val="nil"/>
                    <w:left w:val="nil"/>
                    <w:bottom w:val="nil"/>
                    <w:right w:val="nil"/>
                  </w:tcBorders>
                  <w:shd w:val="clear" w:color="000000" w:fill="FFFFFF"/>
                  <w:noWrap/>
                  <w:vAlign w:val="bottom"/>
                  <w:hideMark/>
                </w:tcPr>
                <w:p w14:paraId="65E42038"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750" w:type="pct"/>
                  <w:tcBorders>
                    <w:top w:val="nil"/>
                    <w:left w:val="nil"/>
                    <w:bottom w:val="nil"/>
                    <w:right w:val="nil"/>
                  </w:tcBorders>
                  <w:shd w:val="clear" w:color="000000" w:fill="FFFFFF"/>
                  <w:noWrap/>
                  <w:vAlign w:val="bottom"/>
                  <w:hideMark/>
                </w:tcPr>
                <w:p w14:paraId="7BB4FF39"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749" w:type="pct"/>
                  <w:tcBorders>
                    <w:top w:val="nil"/>
                    <w:left w:val="nil"/>
                    <w:bottom w:val="nil"/>
                    <w:right w:val="nil"/>
                  </w:tcBorders>
                  <w:shd w:val="clear" w:color="000000" w:fill="FFFFFF"/>
                  <w:noWrap/>
                  <w:vAlign w:val="bottom"/>
                  <w:hideMark/>
                </w:tcPr>
                <w:p w14:paraId="69B029B6"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749" w:type="pct"/>
                  <w:tcBorders>
                    <w:top w:val="nil"/>
                    <w:left w:val="nil"/>
                    <w:bottom w:val="nil"/>
                    <w:right w:val="nil"/>
                  </w:tcBorders>
                  <w:shd w:val="clear" w:color="000000" w:fill="FFFFFF"/>
                  <w:noWrap/>
                  <w:vAlign w:val="bottom"/>
                  <w:hideMark/>
                </w:tcPr>
                <w:p w14:paraId="263D1CA3"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118053D0"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031C07B1"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655FBC75"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r>
            <w:tr w:rsidR="00782C9E" w:rsidRPr="0077565D" w14:paraId="619BE8DF" w14:textId="77777777" w:rsidTr="00782C9E">
              <w:trPr>
                <w:trHeight w:val="240"/>
              </w:trPr>
              <w:tc>
                <w:tcPr>
                  <w:tcW w:w="750" w:type="pct"/>
                  <w:tcBorders>
                    <w:top w:val="nil"/>
                    <w:left w:val="nil"/>
                    <w:bottom w:val="nil"/>
                    <w:right w:val="nil"/>
                  </w:tcBorders>
                  <w:shd w:val="clear" w:color="000000" w:fill="FFFFFF"/>
                  <w:noWrap/>
                  <w:vAlign w:val="bottom"/>
                  <w:hideMark/>
                </w:tcPr>
                <w:p w14:paraId="053E2543" w14:textId="77777777" w:rsidR="00782C9E" w:rsidRPr="0077565D" w:rsidRDefault="00782C9E" w:rsidP="00782C9E">
                  <w:pPr>
                    <w:spacing w:after="0" w:line="240" w:lineRule="auto"/>
                    <w:rPr>
                      <w:rFonts w:asciiTheme="minorHAnsi" w:eastAsia="Times New Roman" w:hAnsiTheme="minorHAnsi" w:cstheme="minorHAnsi"/>
                      <w:b/>
                      <w:bCs/>
                      <w:sz w:val="18"/>
                      <w:szCs w:val="18"/>
                      <w:u w:val="single"/>
                      <w:lang w:eastAsia="en-GB"/>
                    </w:rPr>
                  </w:pPr>
                  <w:r w:rsidRPr="0077565D">
                    <w:rPr>
                      <w:rFonts w:asciiTheme="minorHAnsi" w:eastAsia="Times New Roman" w:hAnsiTheme="minorHAnsi" w:cstheme="minorHAnsi"/>
                      <w:b/>
                      <w:bCs/>
                      <w:sz w:val="18"/>
                      <w:szCs w:val="18"/>
                      <w:u w:val="single"/>
                      <w:lang w:eastAsia="en-GB"/>
                    </w:rPr>
                    <w:t>Difference</w:t>
                  </w:r>
                </w:p>
              </w:tc>
              <w:tc>
                <w:tcPr>
                  <w:tcW w:w="750" w:type="pct"/>
                  <w:tcBorders>
                    <w:top w:val="nil"/>
                    <w:left w:val="nil"/>
                    <w:bottom w:val="nil"/>
                    <w:right w:val="nil"/>
                  </w:tcBorders>
                  <w:shd w:val="clear" w:color="000000" w:fill="FFFFFF"/>
                  <w:noWrap/>
                  <w:vAlign w:val="bottom"/>
                  <w:hideMark/>
                </w:tcPr>
                <w:p w14:paraId="3C283D47"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749" w:type="pct"/>
                  <w:tcBorders>
                    <w:top w:val="nil"/>
                    <w:left w:val="nil"/>
                    <w:bottom w:val="nil"/>
                    <w:right w:val="nil"/>
                  </w:tcBorders>
                  <w:shd w:val="clear" w:color="000000" w:fill="FFFFFF"/>
                  <w:noWrap/>
                  <w:vAlign w:val="bottom"/>
                  <w:hideMark/>
                </w:tcPr>
                <w:p w14:paraId="6EC3A0A3"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749" w:type="pct"/>
                  <w:tcBorders>
                    <w:top w:val="nil"/>
                    <w:left w:val="nil"/>
                    <w:bottom w:val="nil"/>
                    <w:right w:val="nil"/>
                  </w:tcBorders>
                  <w:shd w:val="clear" w:color="000000" w:fill="FFFFFF"/>
                  <w:noWrap/>
                  <w:vAlign w:val="bottom"/>
                  <w:hideMark/>
                </w:tcPr>
                <w:p w14:paraId="61F670DE"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4654E4F7"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41E0BC49"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c>
                <w:tcPr>
                  <w:tcW w:w="668" w:type="pct"/>
                  <w:tcBorders>
                    <w:top w:val="nil"/>
                    <w:left w:val="nil"/>
                    <w:bottom w:val="nil"/>
                    <w:right w:val="nil"/>
                  </w:tcBorders>
                  <w:shd w:val="clear" w:color="000000" w:fill="FFFFFF"/>
                  <w:noWrap/>
                  <w:vAlign w:val="bottom"/>
                  <w:hideMark/>
                </w:tcPr>
                <w:p w14:paraId="65A40D37"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 </w:t>
                  </w:r>
                </w:p>
              </w:tc>
            </w:tr>
            <w:tr w:rsidR="00782C9E" w:rsidRPr="0077565D" w14:paraId="5CB86DAC" w14:textId="77777777" w:rsidTr="00782C9E">
              <w:trPr>
                <w:trHeight w:val="264"/>
              </w:trPr>
              <w:tc>
                <w:tcPr>
                  <w:tcW w:w="750" w:type="pct"/>
                  <w:tcBorders>
                    <w:top w:val="nil"/>
                    <w:left w:val="nil"/>
                    <w:bottom w:val="nil"/>
                    <w:right w:val="nil"/>
                  </w:tcBorders>
                  <w:shd w:val="clear" w:color="000000" w:fill="FFFFFF"/>
                  <w:noWrap/>
                  <w:vAlign w:val="bottom"/>
                  <w:hideMark/>
                </w:tcPr>
                <w:p w14:paraId="35419073"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EoE</w:t>
                  </w:r>
                </w:p>
              </w:tc>
              <w:tc>
                <w:tcPr>
                  <w:tcW w:w="750" w:type="pct"/>
                  <w:tcBorders>
                    <w:top w:val="nil"/>
                    <w:left w:val="nil"/>
                    <w:bottom w:val="nil"/>
                    <w:right w:val="nil"/>
                  </w:tcBorders>
                  <w:shd w:val="clear" w:color="000000" w:fill="FFFFFF"/>
                  <w:noWrap/>
                  <w:vAlign w:val="bottom"/>
                  <w:hideMark/>
                </w:tcPr>
                <w:p w14:paraId="2F4F52A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13.17</w:t>
                  </w:r>
                </w:p>
              </w:tc>
              <w:tc>
                <w:tcPr>
                  <w:tcW w:w="749" w:type="pct"/>
                  <w:tcBorders>
                    <w:top w:val="nil"/>
                    <w:left w:val="nil"/>
                    <w:bottom w:val="nil"/>
                    <w:right w:val="nil"/>
                  </w:tcBorders>
                  <w:shd w:val="clear" w:color="000000" w:fill="FFFFFF"/>
                  <w:noWrap/>
                  <w:vAlign w:val="bottom"/>
                  <w:hideMark/>
                </w:tcPr>
                <w:p w14:paraId="1122F0C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2.87</w:t>
                  </w:r>
                </w:p>
              </w:tc>
              <w:tc>
                <w:tcPr>
                  <w:tcW w:w="749" w:type="pct"/>
                  <w:tcBorders>
                    <w:top w:val="nil"/>
                    <w:left w:val="nil"/>
                    <w:bottom w:val="nil"/>
                    <w:right w:val="nil"/>
                  </w:tcBorders>
                  <w:shd w:val="clear" w:color="000000" w:fill="FFFFFF"/>
                  <w:noWrap/>
                  <w:vAlign w:val="bottom"/>
                  <w:hideMark/>
                </w:tcPr>
                <w:p w14:paraId="047C5598"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-5.73</w:t>
                  </w:r>
                </w:p>
              </w:tc>
              <w:tc>
                <w:tcPr>
                  <w:tcW w:w="668" w:type="pct"/>
                  <w:tcBorders>
                    <w:top w:val="nil"/>
                    <w:left w:val="nil"/>
                    <w:bottom w:val="nil"/>
                    <w:right w:val="nil"/>
                  </w:tcBorders>
                  <w:shd w:val="clear" w:color="000000" w:fill="FFFFFF"/>
                  <w:noWrap/>
                  <w:vAlign w:val="bottom"/>
                  <w:hideMark/>
                </w:tcPr>
                <w:p w14:paraId="30EC646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-8.46</w:t>
                  </w:r>
                </w:p>
              </w:tc>
              <w:tc>
                <w:tcPr>
                  <w:tcW w:w="668" w:type="pct"/>
                  <w:tcBorders>
                    <w:top w:val="nil"/>
                    <w:left w:val="nil"/>
                    <w:bottom w:val="nil"/>
                    <w:right w:val="nil"/>
                  </w:tcBorders>
                  <w:shd w:val="clear" w:color="000000" w:fill="FFFFFF"/>
                  <w:noWrap/>
                  <w:vAlign w:val="bottom"/>
                  <w:hideMark/>
                </w:tcPr>
                <w:p w14:paraId="77D3FE5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-1.86</w:t>
                  </w:r>
                </w:p>
              </w:tc>
              <w:tc>
                <w:tcPr>
                  <w:tcW w:w="668" w:type="pct"/>
                  <w:tcBorders>
                    <w:top w:val="nil"/>
                    <w:left w:val="nil"/>
                    <w:bottom w:val="nil"/>
                    <w:right w:val="nil"/>
                  </w:tcBorders>
                  <w:shd w:val="clear" w:color="000000" w:fill="FFFFFF"/>
                  <w:noWrap/>
                  <w:vAlign w:val="bottom"/>
                  <w:hideMark/>
                </w:tcPr>
                <w:p w14:paraId="1AD0F0F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0.00</w:t>
                  </w:r>
                </w:p>
              </w:tc>
            </w:tr>
            <w:tr w:rsidR="00782C9E" w:rsidRPr="0077565D" w14:paraId="3E7F976B" w14:textId="77777777" w:rsidTr="00782C9E">
              <w:trPr>
                <w:trHeight w:val="264"/>
              </w:trPr>
              <w:tc>
                <w:tcPr>
                  <w:tcW w:w="750" w:type="pct"/>
                  <w:tcBorders>
                    <w:top w:val="nil"/>
                    <w:left w:val="nil"/>
                    <w:bottom w:val="nil"/>
                    <w:right w:val="nil"/>
                  </w:tcBorders>
                  <w:shd w:val="clear" w:color="000000" w:fill="FFFFFF"/>
                  <w:noWrap/>
                  <w:vAlign w:val="bottom"/>
                  <w:hideMark/>
                </w:tcPr>
                <w:p w14:paraId="2A543FB2"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Lon</w:t>
                  </w:r>
                </w:p>
              </w:tc>
              <w:tc>
                <w:tcPr>
                  <w:tcW w:w="750" w:type="pct"/>
                  <w:tcBorders>
                    <w:top w:val="nil"/>
                    <w:left w:val="nil"/>
                    <w:bottom w:val="nil"/>
                    <w:right w:val="nil"/>
                  </w:tcBorders>
                  <w:shd w:val="clear" w:color="000000" w:fill="FFFFFF"/>
                  <w:noWrap/>
                  <w:vAlign w:val="bottom"/>
                  <w:hideMark/>
                </w:tcPr>
                <w:p w14:paraId="7D1C4BD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36.32</w:t>
                  </w:r>
                </w:p>
              </w:tc>
              <w:tc>
                <w:tcPr>
                  <w:tcW w:w="749" w:type="pct"/>
                  <w:tcBorders>
                    <w:top w:val="nil"/>
                    <w:left w:val="nil"/>
                    <w:bottom w:val="nil"/>
                    <w:right w:val="nil"/>
                  </w:tcBorders>
                  <w:shd w:val="clear" w:color="000000" w:fill="FFFFFF"/>
                  <w:noWrap/>
                  <w:vAlign w:val="bottom"/>
                  <w:hideMark/>
                </w:tcPr>
                <w:p w14:paraId="4195FEC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14.88</w:t>
                  </w:r>
                </w:p>
              </w:tc>
              <w:tc>
                <w:tcPr>
                  <w:tcW w:w="749" w:type="pct"/>
                  <w:tcBorders>
                    <w:top w:val="nil"/>
                    <w:left w:val="nil"/>
                    <w:bottom w:val="nil"/>
                    <w:right w:val="nil"/>
                  </w:tcBorders>
                  <w:shd w:val="clear" w:color="000000" w:fill="FFFFFF"/>
                  <w:noWrap/>
                  <w:vAlign w:val="bottom"/>
                  <w:hideMark/>
                </w:tcPr>
                <w:p w14:paraId="325AD39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-12.22</w:t>
                  </w:r>
                </w:p>
              </w:tc>
              <w:tc>
                <w:tcPr>
                  <w:tcW w:w="668" w:type="pct"/>
                  <w:tcBorders>
                    <w:top w:val="nil"/>
                    <w:left w:val="nil"/>
                    <w:bottom w:val="nil"/>
                    <w:right w:val="nil"/>
                  </w:tcBorders>
                  <w:shd w:val="clear" w:color="000000" w:fill="FFFFFF"/>
                  <w:noWrap/>
                  <w:vAlign w:val="bottom"/>
                  <w:hideMark/>
                </w:tcPr>
                <w:p w14:paraId="6174C29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-16.71</w:t>
                  </w:r>
                </w:p>
              </w:tc>
              <w:tc>
                <w:tcPr>
                  <w:tcW w:w="668" w:type="pct"/>
                  <w:tcBorders>
                    <w:top w:val="nil"/>
                    <w:left w:val="nil"/>
                    <w:bottom w:val="nil"/>
                    <w:right w:val="nil"/>
                  </w:tcBorders>
                  <w:shd w:val="clear" w:color="000000" w:fill="FFFFFF"/>
                  <w:noWrap/>
                  <w:vAlign w:val="bottom"/>
                  <w:hideMark/>
                </w:tcPr>
                <w:p w14:paraId="575905AC"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-22.27</w:t>
                  </w:r>
                </w:p>
              </w:tc>
              <w:tc>
                <w:tcPr>
                  <w:tcW w:w="668" w:type="pct"/>
                  <w:tcBorders>
                    <w:top w:val="nil"/>
                    <w:left w:val="nil"/>
                    <w:bottom w:val="nil"/>
                    <w:right w:val="nil"/>
                  </w:tcBorders>
                  <w:shd w:val="clear" w:color="000000" w:fill="FFFFFF"/>
                  <w:noWrap/>
                  <w:vAlign w:val="bottom"/>
                  <w:hideMark/>
                </w:tcPr>
                <w:p w14:paraId="0D3B7EE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0.00</w:t>
                  </w:r>
                </w:p>
              </w:tc>
            </w:tr>
            <w:tr w:rsidR="00782C9E" w:rsidRPr="0077565D" w14:paraId="21A68441" w14:textId="77777777" w:rsidTr="00782C9E">
              <w:trPr>
                <w:trHeight w:val="264"/>
              </w:trPr>
              <w:tc>
                <w:tcPr>
                  <w:tcW w:w="750" w:type="pct"/>
                  <w:tcBorders>
                    <w:top w:val="nil"/>
                    <w:left w:val="nil"/>
                    <w:bottom w:val="nil"/>
                    <w:right w:val="nil"/>
                  </w:tcBorders>
                  <w:shd w:val="clear" w:color="000000" w:fill="FFFFFF"/>
                  <w:noWrap/>
                  <w:vAlign w:val="bottom"/>
                  <w:hideMark/>
                </w:tcPr>
                <w:p w14:paraId="3FE0AC41"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NW</w:t>
                  </w:r>
                </w:p>
              </w:tc>
              <w:tc>
                <w:tcPr>
                  <w:tcW w:w="750" w:type="pct"/>
                  <w:tcBorders>
                    <w:top w:val="nil"/>
                    <w:left w:val="nil"/>
                    <w:bottom w:val="nil"/>
                    <w:right w:val="nil"/>
                  </w:tcBorders>
                  <w:shd w:val="clear" w:color="000000" w:fill="FFFFFF"/>
                  <w:noWrap/>
                  <w:vAlign w:val="bottom"/>
                  <w:hideMark/>
                </w:tcPr>
                <w:p w14:paraId="293CFEEC"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2.32</w:t>
                  </w:r>
                </w:p>
              </w:tc>
              <w:tc>
                <w:tcPr>
                  <w:tcW w:w="749" w:type="pct"/>
                  <w:tcBorders>
                    <w:top w:val="nil"/>
                    <w:left w:val="nil"/>
                    <w:bottom w:val="nil"/>
                    <w:right w:val="nil"/>
                  </w:tcBorders>
                  <w:shd w:val="clear" w:color="000000" w:fill="FFFFFF"/>
                  <w:noWrap/>
                  <w:vAlign w:val="bottom"/>
                  <w:hideMark/>
                </w:tcPr>
                <w:p w14:paraId="240C7E4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1.35</w:t>
                  </w:r>
                </w:p>
              </w:tc>
              <w:tc>
                <w:tcPr>
                  <w:tcW w:w="749" w:type="pct"/>
                  <w:tcBorders>
                    <w:top w:val="nil"/>
                    <w:left w:val="nil"/>
                    <w:bottom w:val="nil"/>
                    <w:right w:val="nil"/>
                  </w:tcBorders>
                  <w:shd w:val="clear" w:color="000000" w:fill="FFFFFF"/>
                  <w:noWrap/>
                  <w:vAlign w:val="bottom"/>
                  <w:hideMark/>
                </w:tcPr>
                <w:p w14:paraId="0E5420EA"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-4.79</w:t>
                  </w:r>
                </w:p>
              </w:tc>
              <w:tc>
                <w:tcPr>
                  <w:tcW w:w="668" w:type="pct"/>
                  <w:tcBorders>
                    <w:top w:val="nil"/>
                    <w:left w:val="nil"/>
                    <w:bottom w:val="nil"/>
                    <w:right w:val="nil"/>
                  </w:tcBorders>
                  <w:shd w:val="clear" w:color="000000" w:fill="FFFFFF"/>
                  <w:noWrap/>
                  <w:vAlign w:val="bottom"/>
                  <w:hideMark/>
                </w:tcPr>
                <w:p w14:paraId="4C7F654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-6.83</w:t>
                  </w:r>
                </w:p>
              </w:tc>
              <w:tc>
                <w:tcPr>
                  <w:tcW w:w="668" w:type="pct"/>
                  <w:tcBorders>
                    <w:top w:val="nil"/>
                    <w:left w:val="nil"/>
                    <w:bottom w:val="nil"/>
                    <w:right w:val="nil"/>
                  </w:tcBorders>
                  <w:shd w:val="clear" w:color="000000" w:fill="FFFFFF"/>
                  <w:noWrap/>
                  <w:vAlign w:val="bottom"/>
                  <w:hideMark/>
                </w:tcPr>
                <w:p w14:paraId="4E5E594C"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7.96</w:t>
                  </w:r>
                </w:p>
              </w:tc>
              <w:tc>
                <w:tcPr>
                  <w:tcW w:w="668" w:type="pct"/>
                  <w:tcBorders>
                    <w:top w:val="nil"/>
                    <w:left w:val="nil"/>
                    <w:bottom w:val="nil"/>
                    <w:right w:val="nil"/>
                  </w:tcBorders>
                  <w:shd w:val="clear" w:color="000000" w:fill="FFFFFF"/>
                  <w:noWrap/>
                  <w:vAlign w:val="bottom"/>
                  <w:hideMark/>
                </w:tcPr>
                <w:p w14:paraId="14948B0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0.00</w:t>
                  </w:r>
                </w:p>
              </w:tc>
            </w:tr>
            <w:tr w:rsidR="00782C9E" w:rsidRPr="0077565D" w14:paraId="531B5BF7" w14:textId="77777777" w:rsidTr="00782C9E">
              <w:trPr>
                <w:trHeight w:val="264"/>
              </w:trPr>
              <w:tc>
                <w:tcPr>
                  <w:tcW w:w="750" w:type="pct"/>
                  <w:tcBorders>
                    <w:top w:val="nil"/>
                    <w:left w:val="nil"/>
                    <w:bottom w:val="nil"/>
                    <w:right w:val="nil"/>
                  </w:tcBorders>
                  <w:shd w:val="clear" w:color="000000" w:fill="FFFFFF"/>
                  <w:noWrap/>
                  <w:vAlign w:val="bottom"/>
                  <w:hideMark/>
                </w:tcPr>
                <w:p w14:paraId="0C2C7CFF"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WM</w:t>
                  </w:r>
                </w:p>
              </w:tc>
              <w:tc>
                <w:tcPr>
                  <w:tcW w:w="750" w:type="pct"/>
                  <w:tcBorders>
                    <w:top w:val="nil"/>
                    <w:left w:val="nil"/>
                    <w:bottom w:val="nil"/>
                    <w:right w:val="nil"/>
                  </w:tcBorders>
                  <w:shd w:val="clear" w:color="000000" w:fill="FFFFFF"/>
                  <w:noWrap/>
                  <w:vAlign w:val="bottom"/>
                  <w:hideMark/>
                </w:tcPr>
                <w:p w14:paraId="21C3EBC6"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18.37</w:t>
                  </w:r>
                </w:p>
              </w:tc>
              <w:tc>
                <w:tcPr>
                  <w:tcW w:w="749" w:type="pct"/>
                  <w:tcBorders>
                    <w:top w:val="nil"/>
                    <w:left w:val="nil"/>
                    <w:bottom w:val="nil"/>
                    <w:right w:val="nil"/>
                  </w:tcBorders>
                  <w:shd w:val="clear" w:color="000000" w:fill="FFFFFF"/>
                  <w:noWrap/>
                  <w:vAlign w:val="bottom"/>
                  <w:hideMark/>
                </w:tcPr>
                <w:p w14:paraId="7438DA0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8.50</w:t>
                  </w:r>
                </w:p>
              </w:tc>
              <w:tc>
                <w:tcPr>
                  <w:tcW w:w="749" w:type="pct"/>
                  <w:tcBorders>
                    <w:top w:val="nil"/>
                    <w:left w:val="nil"/>
                    <w:bottom w:val="nil"/>
                    <w:right w:val="nil"/>
                  </w:tcBorders>
                  <w:shd w:val="clear" w:color="000000" w:fill="FFFFFF"/>
                  <w:noWrap/>
                  <w:vAlign w:val="bottom"/>
                  <w:hideMark/>
                </w:tcPr>
                <w:p w14:paraId="44121DBB"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-6.47</w:t>
                  </w:r>
                </w:p>
              </w:tc>
              <w:tc>
                <w:tcPr>
                  <w:tcW w:w="668" w:type="pct"/>
                  <w:tcBorders>
                    <w:top w:val="nil"/>
                    <w:left w:val="nil"/>
                    <w:bottom w:val="nil"/>
                    <w:right w:val="nil"/>
                  </w:tcBorders>
                  <w:shd w:val="clear" w:color="000000" w:fill="FFFFFF"/>
                  <w:noWrap/>
                  <w:vAlign w:val="bottom"/>
                  <w:hideMark/>
                </w:tcPr>
                <w:p w14:paraId="060B764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-11.43</w:t>
                  </w:r>
                </w:p>
              </w:tc>
              <w:tc>
                <w:tcPr>
                  <w:tcW w:w="668" w:type="pct"/>
                  <w:tcBorders>
                    <w:top w:val="nil"/>
                    <w:left w:val="nil"/>
                    <w:bottom w:val="nil"/>
                    <w:right w:val="nil"/>
                  </w:tcBorders>
                  <w:shd w:val="clear" w:color="000000" w:fill="FFFFFF"/>
                  <w:noWrap/>
                  <w:vAlign w:val="bottom"/>
                  <w:hideMark/>
                </w:tcPr>
                <w:p w14:paraId="00C4AE54"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-8.98</w:t>
                  </w:r>
                </w:p>
              </w:tc>
              <w:tc>
                <w:tcPr>
                  <w:tcW w:w="668" w:type="pct"/>
                  <w:tcBorders>
                    <w:top w:val="nil"/>
                    <w:left w:val="nil"/>
                    <w:bottom w:val="nil"/>
                    <w:right w:val="nil"/>
                  </w:tcBorders>
                  <w:shd w:val="clear" w:color="000000" w:fill="FFFFFF"/>
                  <w:noWrap/>
                  <w:vAlign w:val="bottom"/>
                  <w:hideMark/>
                </w:tcPr>
                <w:p w14:paraId="146072A8"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0.00</w:t>
                  </w:r>
                </w:p>
              </w:tc>
            </w:tr>
            <w:tr w:rsidR="00782C9E" w:rsidRPr="0077565D" w14:paraId="0A4206DA" w14:textId="77777777" w:rsidTr="00782C9E">
              <w:trPr>
                <w:trHeight w:val="264"/>
              </w:trPr>
              <w:tc>
                <w:tcPr>
                  <w:tcW w:w="750" w:type="pct"/>
                  <w:tcBorders>
                    <w:top w:val="nil"/>
                    <w:left w:val="nil"/>
                    <w:bottom w:val="nil"/>
                    <w:right w:val="nil"/>
                  </w:tcBorders>
                  <w:shd w:val="clear" w:color="000000" w:fill="FFFFFF"/>
                  <w:noWrap/>
                  <w:vAlign w:val="bottom"/>
                  <w:hideMark/>
                </w:tcPr>
                <w:p w14:paraId="5BA3FC44"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NGN</w:t>
                  </w:r>
                </w:p>
              </w:tc>
              <w:tc>
                <w:tcPr>
                  <w:tcW w:w="750" w:type="pct"/>
                  <w:tcBorders>
                    <w:top w:val="nil"/>
                    <w:left w:val="nil"/>
                    <w:bottom w:val="nil"/>
                    <w:right w:val="nil"/>
                  </w:tcBorders>
                  <w:shd w:val="clear" w:color="000000" w:fill="FFFFFF"/>
                  <w:noWrap/>
                  <w:vAlign w:val="bottom"/>
                  <w:hideMark/>
                </w:tcPr>
                <w:p w14:paraId="3D11A3A8"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-1.67</w:t>
                  </w:r>
                </w:p>
              </w:tc>
              <w:tc>
                <w:tcPr>
                  <w:tcW w:w="749" w:type="pct"/>
                  <w:tcBorders>
                    <w:top w:val="nil"/>
                    <w:left w:val="nil"/>
                    <w:bottom w:val="nil"/>
                    <w:right w:val="nil"/>
                  </w:tcBorders>
                  <w:shd w:val="clear" w:color="000000" w:fill="FFFFFF"/>
                  <w:noWrap/>
                  <w:vAlign w:val="bottom"/>
                  <w:hideMark/>
                </w:tcPr>
                <w:p w14:paraId="68C02D8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1.71</w:t>
                  </w:r>
                </w:p>
              </w:tc>
              <w:tc>
                <w:tcPr>
                  <w:tcW w:w="749" w:type="pct"/>
                  <w:tcBorders>
                    <w:top w:val="nil"/>
                    <w:left w:val="nil"/>
                    <w:bottom w:val="nil"/>
                    <w:right w:val="nil"/>
                  </w:tcBorders>
                  <w:shd w:val="clear" w:color="000000" w:fill="FFFFFF"/>
                  <w:noWrap/>
                  <w:vAlign w:val="bottom"/>
                  <w:hideMark/>
                </w:tcPr>
                <w:p w14:paraId="2F9FC1E1"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-0.50</w:t>
                  </w:r>
                </w:p>
              </w:tc>
              <w:tc>
                <w:tcPr>
                  <w:tcW w:w="668" w:type="pct"/>
                  <w:tcBorders>
                    <w:top w:val="nil"/>
                    <w:left w:val="nil"/>
                    <w:bottom w:val="nil"/>
                    <w:right w:val="nil"/>
                  </w:tcBorders>
                  <w:shd w:val="clear" w:color="000000" w:fill="FFFFFF"/>
                  <w:noWrap/>
                  <w:vAlign w:val="bottom"/>
                  <w:hideMark/>
                </w:tcPr>
                <w:p w14:paraId="1EDD97CD"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-1.20</w:t>
                  </w:r>
                </w:p>
              </w:tc>
              <w:tc>
                <w:tcPr>
                  <w:tcW w:w="668" w:type="pct"/>
                  <w:tcBorders>
                    <w:top w:val="nil"/>
                    <w:left w:val="nil"/>
                    <w:bottom w:val="nil"/>
                    <w:right w:val="nil"/>
                  </w:tcBorders>
                  <w:shd w:val="clear" w:color="000000" w:fill="FFFFFF"/>
                  <w:noWrap/>
                  <w:vAlign w:val="bottom"/>
                  <w:hideMark/>
                </w:tcPr>
                <w:p w14:paraId="36155CC1"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1.67</w:t>
                  </w:r>
                </w:p>
              </w:tc>
              <w:tc>
                <w:tcPr>
                  <w:tcW w:w="668" w:type="pct"/>
                  <w:tcBorders>
                    <w:top w:val="nil"/>
                    <w:left w:val="nil"/>
                    <w:bottom w:val="nil"/>
                    <w:right w:val="nil"/>
                  </w:tcBorders>
                  <w:shd w:val="clear" w:color="000000" w:fill="FFFFFF"/>
                  <w:noWrap/>
                  <w:vAlign w:val="bottom"/>
                  <w:hideMark/>
                </w:tcPr>
                <w:p w14:paraId="6C94245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0.00</w:t>
                  </w:r>
                </w:p>
              </w:tc>
            </w:tr>
            <w:tr w:rsidR="00782C9E" w:rsidRPr="0077565D" w14:paraId="28FD11AA" w14:textId="77777777" w:rsidTr="00782C9E">
              <w:trPr>
                <w:trHeight w:val="264"/>
              </w:trPr>
              <w:tc>
                <w:tcPr>
                  <w:tcW w:w="750" w:type="pct"/>
                  <w:tcBorders>
                    <w:top w:val="nil"/>
                    <w:left w:val="nil"/>
                    <w:bottom w:val="nil"/>
                    <w:right w:val="nil"/>
                  </w:tcBorders>
                  <w:shd w:val="clear" w:color="000000" w:fill="FFFFFF"/>
                  <w:noWrap/>
                  <w:vAlign w:val="bottom"/>
                  <w:hideMark/>
                </w:tcPr>
                <w:p w14:paraId="220DA15A"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Sc</w:t>
                  </w:r>
                </w:p>
              </w:tc>
              <w:tc>
                <w:tcPr>
                  <w:tcW w:w="750" w:type="pct"/>
                  <w:tcBorders>
                    <w:top w:val="nil"/>
                    <w:left w:val="nil"/>
                    <w:bottom w:val="nil"/>
                    <w:right w:val="nil"/>
                  </w:tcBorders>
                  <w:shd w:val="clear" w:color="000000" w:fill="FFFFFF"/>
                  <w:noWrap/>
                  <w:vAlign w:val="bottom"/>
                  <w:hideMark/>
                </w:tcPr>
                <w:p w14:paraId="7FF3D07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0.67</w:t>
                  </w:r>
                </w:p>
              </w:tc>
              <w:tc>
                <w:tcPr>
                  <w:tcW w:w="749" w:type="pct"/>
                  <w:tcBorders>
                    <w:top w:val="nil"/>
                    <w:left w:val="nil"/>
                    <w:bottom w:val="nil"/>
                    <w:right w:val="nil"/>
                  </w:tcBorders>
                  <w:shd w:val="clear" w:color="000000" w:fill="FFFFFF"/>
                  <w:noWrap/>
                  <w:vAlign w:val="bottom"/>
                  <w:hideMark/>
                </w:tcPr>
                <w:p w14:paraId="479125B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7.16</w:t>
                  </w:r>
                </w:p>
              </w:tc>
              <w:tc>
                <w:tcPr>
                  <w:tcW w:w="749" w:type="pct"/>
                  <w:tcBorders>
                    <w:top w:val="nil"/>
                    <w:left w:val="nil"/>
                    <w:bottom w:val="nil"/>
                    <w:right w:val="nil"/>
                  </w:tcBorders>
                  <w:shd w:val="clear" w:color="000000" w:fill="FFFFFF"/>
                  <w:noWrap/>
                  <w:vAlign w:val="bottom"/>
                  <w:hideMark/>
                </w:tcPr>
                <w:p w14:paraId="2661D30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-0.50</w:t>
                  </w:r>
                </w:p>
              </w:tc>
              <w:tc>
                <w:tcPr>
                  <w:tcW w:w="668" w:type="pct"/>
                  <w:tcBorders>
                    <w:top w:val="nil"/>
                    <w:left w:val="nil"/>
                    <w:bottom w:val="nil"/>
                    <w:right w:val="nil"/>
                  </w:tcBorders>
                  <w:shd w:val="clear" w:color="000000" w:fill="FFFFFF"/>
                  <w:noWrap/>
                  <w:vAlign w:val="bottom"/>
                  <w:hideMark/>
                </w:tcPr>
                <w:p w14:paraId="11E86CD6"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-4.23</w:t>
                  </w:r>
                </w:p>
              </w:tc>
              <w:tc>
                <w:tcPr>
                  <w:tcW w:w="668" w:type="pct"/>
                  <w:tcBorders>
                    <w:top w:val="nil"/>
                    <w:left w:val="nil"/>
                    <w:bottom w:val="nil"/>
                    <w:right w:val="nil"/>
                  </w:tcBorders>
                  <w:shd w:val="clear" w:color="000000" w:fill="FFFFFF"/>
                  <w:noWrap/>
                  <w:vAlign w:val="bottom"/>
                  <w:hideMark/>
                </w:tcPr>
                <w:p w14:paraId="1CA40C4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-3.11</w:t>
                  </w:r>
                </w:p>
              </w:tc>
              <w:tc>
                <w:tcPr>
                  <w:tcW w:w="668" w:type="pct"/>
                  <w:tcBorders>
                    <w:top w:val="nil"/>
                    <w:left w:val="nil"/>
                    <w:bottom w:val="nil"/>
                    <w:right w:val="nil"/>
                  </w:tcBorders>
                  <w:shd w:val="clear" w:color="000000" w:fill="FFFFFF"/>
                  <w:noWrap/>
                  <w:vAlign w:val="bottom"/>
                  <w:hideMark/>
                </w:tcPr>
                <w:p w14:paraId="5C78FFE0"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0.00</w:t>
                  </w:r>
                </w:p>
              </w:tc>
            </w:tr>
            <w:tr w:rsidR="00782C9E" w:rsidRPr="0077565D" w14:paraId="33FF67B7" w14:textId="77777777" w:rsidTr="00782C9E">
              <w:trPr>
                <w:trHeight w:val="264"/>
              </w:trPr>
              <w:tc>
                <w:tcPr>
                  <w:tcW w:w="750" w:type="pct"/>
                  <w:tcBorders>
                    <w:top w:val="nil"/>
                    <w:left w:val="nil"/>
                    <w:bottom w:val="nil"/>
                    <w:right w:val="nil"/>
                  </w:tcBorders>
                  <w:shd w:val="clear" w:color="000000" w:fill="FFFFFF"/>
                  <w:noWrap/>
                  <w:vAlign w:val="bottom"/>
                  <w:hideMark/>
                </w:tcPr>
                <w:p w14:paraId="0F9B5FB5"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So</w:t>
                  </w:r>
                </w:p>
              </w:tc>
              <w:tc>
                <w:tcPr>
                  <w:tcW w:w="750" w:type="pct"/>
                  <w:tcBorders>
                    <w:top w:val="nil"/>
                    <w:left w:val="nil"/>
                    <w:bottom w:val="nil"/>
                    <w:right w:val="nil"/>
                  </w:tcBorders>
                  <w:shd w:val="clear" w:color="000000" w:fill="FFFFFF"/>
                  <w:noWrap/>
                  <w:vAlign w:val="bottom"/>
                  <w:hideMark/>
                </w:tcPr>
                <w:p w14:paraId="56B35807"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-9.25</w:t>
                  </w:r>
                </w:p>
              </w:tc>
              <w:tc>
                <w:tcPr>
                  <w:tcW w:w="749" w:type="pct"/>
                  <w:tcBorders>
                    <w:top w:val="nil"/>
                    <w:left w:val="nil"/>
                    <w:bottom w:val="nil"/>
                    <w:right w:val="nil"/>
                  </w:tcBorders>
                  <w:shd w:val="clear" w:color="000000" w:fill="FFFFFF"/>
                  <w:noWrap/>
                  <w:vAlign w:val="bottom"/>
                  <w:hideMark/>
                </w:tcPr>
                <w:p w14:paraId="3944E401"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2.62</w:t>
                  </w:r>
                </w:p>
              </w:tc>
              <w:tc>
                <w:tcPr>
                  <w:tcW w:w="749" w:type="pct"/>
                  <w:tcBorders>
                    <w:top w:val="nil"/>
                    <w:left w:val="nil"/>
                    <w:bottom w:val="nil"/>
                    <w:right w:val="nil"/>
                  </w:tcBorders>
                  <w:shd w:val="clear" w:color="000000" w:fill="FFFFFF"/>
                  <w:noWrap/>
                  <w:vAlign w:val="bottom"/>
                  <w:hideMark/>
                </w:tcPr>
                <w:p w14:paraId="22EBBD93"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3.90</w:t>
                  </w:r>
                </w:p>
              </w:tc>
              <w:tc>
                <w:tcPr>
                  <w:tcW w:w="668" w:type="pct"/>
                  <w:tcBorders>
                    <w:top w:val="nil"/>
                    <w:left w:val="nil"/>
                    <w:bottom w:val="nil"/>
                    <w:right w:val="nil"/>
                  </w:tcBorders>
                  <w:shd w:val="clear" w:color="000000" w:fill="FFFFFF"/>
                  <w:noWrap/>
                  <w:vAlign w:val="bottom"/>
                  <w:hideMark/>
                </w:tcPr>
                <w:p w14:paraId="48D4879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1.82</w:t>
                  </w:r>
                </w:p>
              </w:tc>
              <w:tc>
                <w:tcPr>
                  <w:tcW w:w="668" w:type="pct"/>
                  <w:tcBorders>
                    <w:top w:val="nil"/>
                    <w:left w:val="nil"/>
                    <w:bottom w:val="nil"/>
                    <w:right w:val="nil"/>
                  </w:tcBorders>
                  <w:shd w:val="clear" w:color="000000" w:fill="FFFFFF"/>
                  <w:noWrap/>
                  <w:vAlign w:val="bottom"/>
                  <w:hideMark/>
                </w:tcPr>
                <w:p w14:paraId="1C63A2B9"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0.91</w:t>
                  </w:r>
                </w:p>
              </w:tc>
              <w:tc>
                <w:tcPr>
                  <w:tcW w:w="668" w:type="pct"/>
                  <w:tcBorders>
                    <w:top w:val="nil"/>
                    <w:left w:val="nil"/>
                    <w:bottom w:val="nil"/>
                    <w:right w:val="nil"/>
                  </w:tcBorders>
                  <w:shd w:val="clear" w:color="000000" w:fill="FFFFFF"/>
                  <w:noWrap/>
                  <w:vAlign w:val="bottom"/>
                  <w:hideMark/>
                </w:tcPr>
                <w:p w14:paraId="35666362"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0.00</w:t>
                  </w:r>
                </w:p>
              </w:tc>
            </w:tr>
            <w:tr w:rsidR="00782C9E" w:rsidRPr="0077565D" w14:paraId="24A2AA5C" w14:textId="77777777" w:rsidTr="00782C9E">
              <w:trPr>
                <w:trHeight w:val="264"/>
              </w:trPr>
              <w:tc>
                <w:tcPr>
                  <w:tcW w:w="750" w:type="pct"/>
                  <w:tcBorders>
                    <w:top w:val="nil"/>
                    <w:left w:val="nil"/>
                    <w:bottom w:val="nil"/>
                    <w:right w:val="nil"/>
                  </w:tcBorders>
                  <w:shd w:val="clear" w:color="000000" w:fill="FFFFFF"/>
                  <w:noWrap/>
                  <w:vAlign w:val="bottom"/>
                  <w:hideMark/>
                </w:tcPr>
                <w:p w14:paraId="683AAB66" w14:textId="77777777" w:rsidR="00782C9E" w:rsidRPr="0077565D" w:rsidRDefault="00782C9E" w:rsidP="00782C9E">
                  <w:pPr>
                    <w:spacing w:after="0" w:line="240" w:lineRule="auto"/>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WWU</w:t>
                  </w:r>
                </w:p>
              </w:tc>
              <w:tc>
                <w:tcPr>
                  <w:tcW w:w="750" w:type="pct"/>
                  <w:tcBorders>
                    <w:top w:val="nil"/>
                    <w:left w:val="nil"/>
                    <w:bottom w:val="nil"/>
                    <w:right w:val="nil"/>
                  </w:tcBorders>
                  <w:shd w:val="clear" w:color="000000" w:fill="FFFFFF"/>
                  <w:noWrap/>
                  <w:vAlign w:val="bottom"/>
                  <w:hideMark/>
                </w:tcPr>
                <w:p w14:paraId="2DCE52A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10.96</w:t>
                  </w:r>
                </w:p>
              </w:tc>
              <w:tc>
                <w:tcPr>
                  <w:tcW w:w="749" w:type="pct"/>
                  <w:tcBorders>
                    <w:top w:val="nil"/>
                    <w:left w:val="nil"/>
                    <w:bottom w:val="nil"/>
                    <w:right w:val="nil"/>
                  </w:tcBorders>
                  <w:shd w:val="clear" w:color="000000" w:fill="FFFFFF"/>
                  <w:noWrap/>
                  <w:vAlign w:val="bottom"/>
                  <w:hideMark/>
                </w:tcPr>
                <w:p w14:paraId="5F46A2E5"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-2.01</w:t>
                  </w:r>
                </w:p>
              </w:tc>
              <w:tc>
                <w:tcPr>
                  <w:tcW w:w="749" w:type="pct"/>
                  <w:tcBorders>
                    <w:top w:val="nil"/>
                    <w:left w:val="nil"/>
                    <w:bottom w:val="nil"/>
                    <w:right w:val="nil"/>
                  </w:tcBorders>
                  <w:shd w:val="clear" w:color="000000" w:fill="FFFFFF"/>
                  <w:noWrap/>
                  <w:vAlign w:val="bottom"/>
                  <w:hideMark/>
                </w:tcPr>
                <w:p w14:paraId="33E4022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-6.23</w:t>
                  </w:r>
                </w:p>
              </w:tc>
              <w:tc>
                <w:tcPr>
                  <w:tcW w:w="668" w:type="pct"/>
                  <w:tcBorders>
                    <w:top w:val="nil"/>
                    <w:left w:val="nil"/>
                    <w:bottom w:val="nil"/>
                    <w:right w:val="nil"/>
                  </w:tcBorders>
                  <w:shd w:val="clear" w:color="000000" w:fill="FFFFFF"/>
                  <w:noWrap/>
                  <w:vAlign w:val="bottom"/>
                  <w:hideMark/>
                </w:tcPr>
                <w:p w14:paraId="4D349A7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-2.71</w:t>
                  </w:r>
                </w:p>
              </w:tc>
              <w:tc>
                <w:tcPr>
                  <w:tcW w:w="668" w:type="pct"/>
                  <w:tcBorders>
                    <w:top w:val="nil"/>
                    <w:left w:val="nil"/>
                    <w:bottom w:val="nil"/>
                    <w:right w:val="nil"/>
                  </w:tcBorders>
                  <w:shd w:val="clear" w:color="000000" w:fill="FFFFFF"/>
                  <w:noWrap/>
                  <w:vAlign w:val="bottom"/>
                  <w:hideMark/>
                </w:tcPr>
                <w:p w14:paraId="7617B04F"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-0.01</w:t>
                  </w:r>
                </w:p>
              </w:tc>
              <w:tc>
                <w:tcPr>
                  <w:tcW w:w="668" w:type="pct"/>
                  <w:tcBorders>
                    <w:top w:val="nil"/>
                    <w:left w:val="nil"/>
                    <w:bottom w:val="nil"/>
                    <w:right w:val="nil"/>
                  </w:tcBorders>
                  <w:shd w:val="clear" w:color="000000" w:fill="FFFFFF"/>
                  <w:noWrap/>
                  <w:vAlign w:val="bottom"/>
                  <w:hideMark/>
                </w:tcPr>
                <w:p w14:paraId="05D3AD0E" w14:textId="77777777" w:rsidR="00782C9E" w:rsidRPr="0077565D" w:rsidRDefault="00782C9E" w:rsidP="00782C9E">
                  <w:pPr>
                    <w:spacing w:after="0" w:line="240" w:lineRule="auto"/>
                    <w:jc w:val="right"/>
                    <w:rPr>
                      <w:rFonts w:asciiTheme="minorHAnsi" w:eastAsia="Times New Roman" w:hAnsiTheme="minorHAnsi" w:cstheme="minorHAnsi"/>
                      <w:sz w:val="18"/>
                      <w:szCs w:val="18"/>
                      <w:lang w:eastAsia="en-GB"/>
                    </w:rPr>
                  </w:pPr>
                  <w:r w:rsidRPr="0077565D">
                    <w:rPr>
                      <w:rFonts w:asciiTheme="minorHAnsi" w:eastAsia="Times New Roman" w:hAnsiTheme="minorHAnsi" w:cstheme="minorHAnsi"/>
                      <w:sz w:val="18"/>
                      <w:szCs w:val="18"/>
                      <w:lang w:eastAsia="en-GB"/>
                    </w:rPr>
                    <w:t>0.00</w:t>
                  </w:r>
                </w:p>
              </w:tc>
            </w:tr>
          </w:tbl>
          <w:p w14:paraId="29C0149C" w14:textId="77777777" w:rsidR="0077565D" w:rsidRDefault="0077565D">
            <w:pPr>
              <w:pStyle w:val="NormalWeb"/>
              <w:spacing w:before="0" w:beforeAutospacing="0" w:after="200" w:afterAutospacing="0" w:line="276" w:lineRule="auto"/>
              <w:rPr>
                <w:rFonts w:ascii="Verdana" w:hAnsi="Verdana"/>
                <w:sz w:val="20"/>
                <w:szCs w:val="20"/>
                <w:lang w:eastAsia="en-US"/>
              </w:rPr>
            </w:pPr>
          </w:p>
          <w:p w14:paraId="55B67018" w14:textId="7EB6C4F3" w:rsidR="0077565D" w:rsidRDefault="004274B6">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Could you please confirm this is an error and provide a corrected allowances file. </w:t>
            </w:r>
          </w:p>
          <w:p w14:paraId="4E32D44A" w14:textId="48E35EBE" w:rsidR="0077565D" w:rsidRPr="00EA1559" w:rsidRDefault="0077565D">
            <w:pPr>
              <w:pStyle w:val="NormalWeb"/>
              <w:spacing w:before="0" w:beforeAutospacing="0" w:after="200" w:afterAutospacing="0" w:line="276" w:lineRule="auto"/>
              <w:rPr>
                <w:rFonts w:ascii="Verdana" w:hAnsi="Verdana"/>
                <w:sz w:val="20"/>
                <w:szCs w:val="20"/>
                <w:lang w:eastAsia="en-US"/>
              </w:rPr>
            </w:pPr>
          </w:p>
        </w:tc>
      </w:tr>
      <w:tr w:rsidR="00EA1559" w:rsidRPr="00EA1559" w14:paraId="62245FD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1834F6E6"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F0A1E8"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801EA5" w14:textId="05B1C42C" w:rsidR="00EA1559" w:rsidRPr="00EA1559" w:rsidRDefault="004274B6">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EA1559" w:rsidRPr="00EA1559" w14:paraId="54B81D4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287E2C1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6DB4BD"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ABB765A" w14:textId="1883DF26" w:rsidR="00EA1559" w:rsidRPr="00EA1559" w:rsidRDefault="004274B6">
            <w:pPr>
              <w:pStyle w:val="NormalWeb"/>
              <w:spacing w:after="200" w:afterAutospacing="0" w:line="276" w:lineRule="auto"/>
              <w:rPr>
                <w:rFonts w:ascii="Verdana" w:hAnsi="Verdana"/>
                <w:sz w:val="20"/>
                <w:szCs w:val="20"/>
                <w:lang w:eastAsia="en-US"/>
              </w:rPr>
            </w:pPr>
            <w:r>
              <w:rPr>
                <w:rFonts w:ascii="Verdana" w:hAnsi="Verdana"/>
                <w:sz w:val="20"/>
                <w:szCs w:val="20"/>
                <w:lang w:eastAsia="en-US"/>
              </w:rPr>
              <w:t>Kate Haycock</w:t>
            </w:r>
          </w:p>
        </w:tc>
      </w:tr>
      <w:tr w:rsidR="00EA1559" w:rsidRPr="00EA1559" w14:paraId="0EB58529"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6492589"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31B756"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1532B6C" w14:textId="35965096" w:rsidR="00EA1559" w:rsidRPr="00EA1559" w:rsidRDefault="00E624C6">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11</w:t>
            </w:r>
            <w:r w:rsidR="004274B6">
              <w:rPr>
                <w:rFonts w:ascii="Verdana" w:hAnsi="Verdana"/>
                <w:sz w:val="20"/>
                <w:szCs w:val="20"/>
                <w:lang w:eastAsia="en-US"/>
              </w:rPr>
              <w:t xml:space="preserve"> January 2021</w:t>
            </w:r>
          </w:p>
        </w:tc>
      </w:tr>
      <w:tr w:rsidR="00EA1559" w:rsidRPr="00EA1559" w14:paraId="7C5A2141"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64C22ED7"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8BC9B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5C75D7B" w14:textId="7181A24A" w:rsidR="00EA1559" w:rsidRPr="00EA1559" w:rsidRDefault="004274B6">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w:t>
            </w:r>
            <w:r w:rsidR="00E624C6">
              <w:rPr>
                <w:rFonts w:ascii="Verdana" w:hAnsi="Verdana"/>
                <w:sz w:val="20"/>
                <w:szCs w:val="20"/>
                <w:lang w:eastAsia="en-US"/>
              </w:rPr>
              <w:t>4</w:t>
            </w:r>
            <w:r>
              <w:rPr>
                <w:rFonts w:ascii="Verdana" w:hAnsi="Verdana"/>
                <w:sz w:val="20"/>
                <w:szCs w:val="20"/>
                <w:lang w:eastAsia="en-US"/>
              </w:rPr>
              <w:t xml:space="preserve"> January 2021</w:t>
            </w:r>
          </w:p>
        </w:tc>
      </w:tr>
      <w:tr w:rsidR="00EA1559" w:rsidRPr="00EA1559" w14:paraId="7DF5578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28BAB845" w14:textId="77777777" w:rsidR="00EA1559" w:rsidRPr="00EA1559" w:rsidRDefault="00EA1559">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3BFA12" w14:textId="5A49EBAF" w:rsidR="00EA1559" w:rsidRPr="00281066"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EA1559" w:rsidRPr="00EA1559" w14:paraId="278938EA" w14:textId="77777777" w:rsidTr="004664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482CECAE" w14:textId="77777777" w:rsidR="00EA1559" w:rsidRPr="00EA1559" w:rsidRDefault="00EA1559">
            <w:pPr>
              <w:rPr>
                <w:rFonts w:ascii="Calibri" w:hAnsi="Calibri" w:cs="Calibri"/>
                <w:sz w:val="22"/>
              </w:rPr>
            </w:pPr>
            <w:r w:rsidRPr="00EA1559">
              <w:t> </w:t>
            </w:r>
          </w:p>
        </w:tc>
        <w:tc>
          <w:tcPr>
            <w:tcW w:w="9654" w:type="dxa"/>
            <w:gridSpan w:val="3"/>
            <w:tcBorders>
              <w:top w:val="nil"/>
              <w:left w:val="single" w:sz="8" w:space="0" w:color="auto"/>
              <w:bottom w:val="nil"/>
              <w:right w:val="single" w:sz="8" w:space="0" w:color="auto"/>
            </w:tcBorders>
            <w:tcMar>
              <w:top w:w="0" w:type="dxa"/>
              <w:left w:w="108" w:type="dxa"/>
              <w:bottom w:w="0" w:type="dxa"/>
              <w:right w:w="108" w:type="dxa"/>
            </w:tcMar>
            <w:vAlign w:val="center"/>
            <w:hideMark/>
          </w:tcPr>
          <w:p w14:paraId="2D43903D" w14:textId="77777777" w:rsidR="00EA1559" w:rsidRDefault="00EA1559">
            <w:pPr>
              <w:rPr>
                <w:rFonts w:ascii="Arial" w:hAnsi="Arial" w:cs="Arial"/>
                <w:b/>
                <w:bCs/>
                <w:szCs w:val="20"/>
              </w:rPr>
            </w:pPr>
            <w:r w:rsidRPr="00EA1559">
              <w:rPr>
                <w:rFonts w:ascii="Arial" w:hAnsi="Arial" w:cs="Arial"/>
                <w:b/>
                <w:bCs/>
                <w:szCs w:val="20"/>
              </w:rPr>
              <w:t xml:space="preserve">Response to Cadent: </w:t>
            </w:r>
          </w:p>
          <w:p w14:paraId="7E80A00E" w14:textId="72F20C35" w:rsidR="00603398" w:rsidRPr="00603398" w:rsidRDefault="00603398">
            <w:pPr>
              <w:rPr>
                <w:rFonts w:ascii="Arial" w:hAnsi="Arial" w:cs="Arial"/>
                <w:szCs w:val="20"/>
              </w:rPr>
            </w:pPr>
            <w:r>
              <w:rPr>
                <w:rFonts w:ascii="Arial" w:hAnsi="Arial" w:cs="Arial"/>
                <w:szCs w:val="20"/>
              </w:rPr>
              <w:t xml:space="preserve">Our application of a scaling factor to submitted costs results in a time profile </w:t>
            </w:r>
            <w:r w:rsidR="006C0A8D">
              <w:rPr>
                <w:rFonts w:ascii="Arial" w:hAnsi="Arial" w:cs="Arial"/>
                <w:szCs w:val="20"/>
              </w:rPr>
              <w:t xml:space="preserve">for the allowances </w:t>
            </w:r>
            <w:r>
              <w:rPr>
                <w:rFonts w:ascii="Arial" w:hAnsi="Arial" w:cs="Arial"/>
                <w:szCs w:val="20"/>
              </w:rPr>
              <w:t xml:space="preserve">in line with submitted costs. We deemed this </w:t>
            </w:r>
            <w:r w:rsidR="00A95C57">
              <w:rPr>
                <w:rFonts w:ascii="Arial" w:hAnsi="Arial" w:cs="Arial"/>
                <w:szCs w:val="20"/>
              </w:rPr>
              <w:t xml:space="preserve">approach </w:t>
            </w:r>
            <w:r>
              <w:rPr>
                <w:rFonts w:ascii="Arial" w:hAnsi="Arial" w:cs="Arial"/>
                <w:szCs w:val="20"/>
              </w:rPr>
              <w:t>to be appropriate.</w:t>
            </w:r>
            <w:r w:rsidR="007E55C3">
              <w:rPr>
                <w:rFonts w:ascii="Arial" w:hAnsi="Arial" w:cs="Arial"/>
                <w:szCs w:val="20"/>
              </w:rPr>
              <w:t xml:space="preserve"> </w:t>
            </w:r>
            <w:r w:rsidR="007E55C3" w:rsidRPr="007E55C3">
              <w:rPr>
                <w:rFonts w:ascii="Arial" w:hAnsi="Arial" w:cs="Arial"/>
                <w:szCs w:val="20"/>
              </w:rPr>
              <w:t>Therefore, our view is this is not an error.</w:t>
            </w:r>
          </w:p>
        </w:tc>
      </w:tr>
      <w:tr w:rsidR="004664B3" w:rsidRPr="00EA1559" w14:paraId="27ABEF84" w14:textId="77777777" w:rsidTr="004B6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tcPr>
          <w:p w14:paraId="179052E3" w14:textId="77777777" w:rsidR="004664B3" w:rsidRPr="00EA1559" w:rsidRDefault="004664B3"/>
        </w:tc>
        <w:tc>
          <w:tcPr>
            <w:tcW w:w="9654" w:type="dxa"/>
            <w:gridSpan w:val="3"/>
            <w:tcBorders>
              <w:top w:val="nil"/>
              <w:left w:val="single" w:sz="8" w:space="0" w:color="auto"/>
              <w:bottom w:val="nil"/>
              <w:right w:val="single" w:sz="8" w:space="0" w:color="auto"/>
            </w:tcBorders>
            <w:tcMar>
              <w:top w:w="0" w:type="dxa"/>
              <w:left w:w="108" w:type="dxa"/>
              <w:bottom w:w="0" w:type="dxa"/>
              <w:right w:w="108" w:type="dxa"/>
            </w:tcMar>
            <w:vAlign w:val="center"/>
          </w:tcPr>
          <w:p w14:paraId="427564C1" w14:textId="77777777" w:rsidR="004664B3" w:rsidRDefault="004664B3">
            <w:pPr>
              <w:rPr>
                <w:rFonts w:ascii="Arial" w:hAnsi="Arial" w:cs="Arial"/>
                <w:b/>
                <w:bCs/>
                <w:szCs w:val="20"/>
              </w:rPr>
            </w:pPr>
            <w:r>
              <w:rPr>
                <w:rFonts w:ascii="Arial" w:hAnsi="Arial" w:cs="Arial"/>
                <w:b/>
                <w:bCs/>
                <w:szCs w:val="20"/>
              </w:rPr>
              <w:t>Further response from Cadent:</w:t>
            </w:r>
          </w:p>
          <w:p w14:paraId="56C9A3CC" w14:textId="76B56B59" w:rsidR="00D701F5" w:rsidRDefault="004664B3">
            <w:pPr>
              <w:rPr>
                <w:rFonts w:ascii="Arial" w:hAnsi="Arial" w:cs="Arial"/>
                <w:szCs w:val="20"/>
              </w:rPr>
            </w:pPr>
            <w:r w:rsidRPr="004664B3">
              <w:rPr>
                <w:rFonts w:ascii="Arial" w:hAnsi="Arial" w:cs="Arial"/>
                <w:szCs w:val="20"/>
              </w:rPr>
              <w:t xml:space="preserve">Could you please reconsider this </w:t>
            </w:r>
            <w:r w:rsidR="00D701F5">
              <w:rPr>
                <w:rFonts w:ascii="Arial" w:hAnsi="Arial" w:cs="Arial"/>
                <w:szCs w:val="20"/>
              </w:rPr>
              <w:t>issue, as the approach you have taken is inconsistent</w:t>
            </w:r>
            <w:r w:rsidRPr="004664B3">
              <w:rPr>
                <w:rFonts w:ascii="Arial" w:hAnsi="Arial" w:cs="Arial"/>
                <w:szCs w:val="20"/>
              </w:rPr>
              <w:t xml:space="preserve"> with the statements in the GD anne</w:t>
            </w:r>
            <w:r w:rsidR="00D701F5">
              <w:rPr>
                <w:rFonts w:ascii="Arial" w:hAnsi="Arial" w:cs="Arial"/>
                <w:szCs w:val="20"/>
              </w:rPr>
              <w:t>x regarding the approach to the glidepath, in particular</w:t>
            </w:r>
            <w:r w:rsidR="002908E9">
              <w:rPr>
                <w:rFonts w:ascii="Arial" w:hAnsi="Arial" w:cs="Arial"/>
                <w:szCs w:val="20"/>
              </w:rPr>
              <w:t>,</w:t>
            </w:r>
            <w:r w:rsidR="00D701F5">
              <w:rPr>
                <w:rFonts w:ascii="Arial" w:hAnsi="Arial" w:cs="Arial"/>
                <w:szCs w:val="20"/>
              </w:rPr>
              <w:t xml:space="preserve"> paragraph </w:t>
            </w:r>
            <w:r w:rsidRPr="004664B3">
              <w:rPr>
                <w:rFonts w:ascii="Arial" w:hAnsi="Arial" w:cs="Arial"/>
                <w:szCs w:val="20"/>
              </w:rPr>
              <w:t>3.25</w:t>
            </w:r>
            <w:r w:rsidR="00D701F5">
              <w:rPr>
                <w:rFonts w:ascii="Arial" w:hAnsi="Arial" w:cs="Arial"/>
                <w:szCs w:val="20"/>
              </w:rPr>
              <w:t xml:space="preserve"> of the GD Annex states:</w:t>
            </w:r>
          </w:p>
          <w:p w14:paraId="585A3010" w14:textId="77777777" w:rsidR="004664B3" w:rsidRDefault="00D701F5">
            <w:pPr>
              <w:rPr>
                <w:rFonts w:ascii="Arial" w:hAnsi="Arial" w:cs="Arial"/>
                <w:b/>
                <w:bCs/>
                <w:i/>
                <w:iCs/>
                <w:color w:val="000000"/>
                <w:shd w:val="clear" w:color="auto" w:fill="FFFFFF"/>
              </w:rPr>
            </w:pPr>
            <w:r>
              <w:rPr>
                <w:rFonts w:ascii="Arial" w:hAnsi="Arial" w:cs="Arial"/>
                <w:i/>
                <w:iCs/>
                <w:color w:val="000000"/>
                <w:shd w:val="clear" w:color="auto" w:fill="FFFFFF"/>
              </w:rPr>
              <w:t>“</w:t>
            </w:r>
            <w:r w:rsidR="004664B3" w:rsidRPr="004664B3">
              <w:rPr>
                <w:rFonts w:ascii="Arial" w:hAnsi="Arial" w:cs="Arial"/>
                <w:i/>
                <w:iCs/>
                <w:color w:val="000000"/>
                <w:shd w:val="clear" w:color="auto" w:fill="FFFFFF"/>
              </w:rPr>
              <w:t xml:space="preserve">However, after further consideration since Draft Determinations, we have decided to set benchmarking efficiency as a glide path from the 75th percentile in the first year of RIIO-GD2 to the 85th percentile over a three-year period. </w:t>
            </w:r>
            <w:r w:rsidR="004664B3" w:rsidRPr="00D701F5">
              <w:rPr>
                <w:rFonts w:ascii="Arial" w:hAnsi="Arial" w:cs="Arial"/>
                <w:b/>
                <w:bCs/>
                <w:i/>
                <w:iCs/>
                <w:color w:val="000000"/>
                <w:shd w:val="clear" w:color="auto" w:fill="FFFFFF"/>
              </w:rPr>
              <w:t>This will provide a continuum from the level of efficient performance the GDN’s committed to achieve by the end of RIIO-GD1 and the 85th percentile will thus only apply to the last two years of the price control</w:t>
            </w:r>
            <w:r>
              <w:rPr>
                <w:rFonts w:ascii="Arial" w:hAnsi="Arial" w:cs="Arial"/>
                <w:b/>
                <w:bCs/>
                <w:i/>
                <w:iCs/>
                <w:color w:val="000000"/>
                <w:shd w:val="clear" w:color="auto" w:fill="FFFFFF"/>
              </w:rPr>
              <w:t>.”</w:t>
            </w:r>
          </w:p>
          <w:p w14:paraId="5047F48C" w14:textId="77777777" w:rsidR="00373AC9" w:rsidRPr="00373AC9" w:rsidRDefault="00373AC9">
            <w:pPr>
              <w:rPr>
                <w:rFonts w:ascii="Arial" w:hAnsi="Arial" w:cs="Arial"/>
                <w:szCs w:val="20"/>
              </w:rPr>
            </w:pPr>
            <w:r w:rsidRPr="00373AC9">
              <w:rPr>
                <w:rFonts w:ascii="Arial" w:hAnsi="Arial" w:cs="Arial"/>
                <w:szCs w:val="20"/>
              </w:rPr>
              <w:t>The consequences of the treatment you have outlined are as follows:</w:t>
            </w:r>
          </w:p>
          <w:p w14:paraId="7072780C" w14:textId="79A1A1FA" w:rsidR="00373AC9" w:rsidRPr="00373AC9" w:rsidRDefault="00373AC9" w:rsidP="00373AC9">
            <w:pPr>
              <w:pStyle w:val="ListParagraph"/>
              <w:numPr>
                <w:ilvl w:val="0"/>
                <w:numId w:val="6"/>
              </w:numPr>
              <w:rPr>
                <w:rFonts w:ascii="Arial" w:hAnsi="Arial" w:cs="Arial"/>
                <w:szCs w:val="20"/>
              </w:rPr>
            </w:pPr>
            <w:r>
              <w:rPr>
                <w:rFonts w:ascii="Arial" w:hAnsi="Arial" w:cs="Arial"/>
                <w:szCs w:val="20"/>
              </w:rPr>
              <w:t xml:space="preserve">It means that </w:t>
            </w:r>
            <w:r w:rsidRPr="00373AC9">
              <w:rPr>
                <w:rFonts w:ascii="Arial" w:hAnsi="Arial" w:cs="Arial"/>
                <w:szCs w:val="20"/>
              </w:rPr>
              <w:t>customers pay t</w:t>
            </w:r>
            <w:r>
              <w:rPr>
                <w:rFonts w:ascii="Arial" w:hAnsi="Arial" w:cs="Arial"/>
                <w:szCs w:val="20"/>
              </w:rPr>
              <w:t>o</w:t>
            </w:r>
            <w:r w:rsidRPr="00373AC9">
              <w:rPr>
                <w:rFonts w:ascii="Arial" w:hAnsi="Arial" w:cs="Arial"/>
                <w:szCs w:val="20"/>
              </w:rPr>
              <w:t xml:space="preserve">o much for the first half of RIIO2 and to little for the second half of the price control.  </w:t>
            </w:r>
          </w:p>
          <w:p w14:paraId="76BF718B" w14:textId="451D48A1" w:rsidR="00373AC9" w:rsidRPr="00373AC9" w:rsidRDefault="00373AC9" w:rsidP="00373AC9">
            <w:pPr>
              <w:pStyle w:val="ListParagraph"/>
              <w:numPr>
                <w:ilvl w:val="0"/>
                <w:numId w:val="6"/>
              </w:numPr>
              <w:rPr>
                <w:rFonts w:ascii="Arial" w:hAnsi="Arial" w:cs="Arial"/>
                <w:szCs w:val="20"/>
              </w:rPr>
            </w:pPr>
            <w:r w:rsidRPr="00373AC9">
              <w:rPr>
                <w:rFonts w:ascii="Arial" w:hAnsi="Arial" w:cs="Arial"/>
                <w:szCs w:val="20"/>
              </w:rPr>
              <w:t>this also creates problems for reporting of performances against allowances which will be distorted</w:t>
            </w:r>
            <w:r>
              <w:rPr>
                <w:rFonts w:ascii="Arial" w:hAnsi="Arial" w:cs="Arial"/>
                <w:szCs w:val="20"/>
              </w:rPr>
              <w:t xml:space="preserve"> creating issues for Ofgem and Networks in explaining and justifying performance</w:t>
            </w:r>
          </w:p>
          <w:p w14:paraId="555A7E10" w14:textId="691A0E4D" w:rsidR="00373AC9" w:rsidRPr="00373AC9" w:rsidRDefault="00373AC9" w:rsidP="00373AC9">
            <w:pPr>
              <w:pStyle w:val="ListParagraph"/>
              <w:numPr>
                <w:ilvl w:val="0"/>
                <w:numId w:val="6"/>
              </w:numPr>
              <w:rPr>
                <w:rFonts w:ascii="Arial" w:hAnsi="Arial" w:cs="Arial"/>
                <w:szCs w:val="20"/>
              </w:rPr>
            </w:pPr>
            <w:r w:rsidRPr="00373AC9">
              <w:rPr>
                <w:rFonts w:ascii="Arial" w:hAnsi="Arial" w:cs="Arial"/>
                <w:szCs w:val="20"/>
              </w:rPr>
              <w:t>it creates potential cliff edges in bills for RIIO3 where the costs would likely need to increase to the corrected level again impacting customers.</w:t>
            </w:r>
          </w:p>
          <w:p w14:paraId="1D123610" w14:textId="4E7B3345" w:rsidR="00373AC9" w:rsidRPr="00373AC9" w:rsidRDefault="00373AC9" w:rsidP="00373AC9">
            <w:pPr>
              <w:rPr>
                <w:rFonts w:ascii="Arial" w:hAnsi="Arial" w:cs="Arial"/>
                <w:szCs w:val="20"/>
              </w:rPr>
            </w:pPr>
            <w:r w:rsidRPr="00373AC9">
              <w:rPr>
                <w:rFonts w:ascii="Arial" w:hAnsi="Arial" w:cs="Arial"/>
                <w:szCs w:val="20"/>
              </w:rPr>
              <w:t>Through the course of our engagement our customers placed a great deal of focus on predictable and stable bills over time and given this (and the wider changes that are needed to charges via the errata process) we do not understand the logic for not correcting the error.</w:t>
            </w:r>
          </w:p>
          <w:p w14:paraId="16C89294" w14:textId="16F2AC0F" w:rsidR="00373AC9" w:rsidRPr="004664B3" w:rsidRDefault="00373AC9">
            <w:pPr>
              <w:rPr>
                <w:rFonts w:ascii="Arial" w:hAnsi="Arial" w:cs="Arial"/>
                <w:szCs w:val="20"/>
              </w:rPr>
            </w:pPr>
          </w:p>
        </w:tc>
      </w:tr>
      <w:tr w:rsidR="004B608C" w:rsidRPr="00EA1559" w14:paraId="620999F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tcPr>
          <w:p w14:paraId="19E2D2E3" w14:textId="77777777" w:rsidR="004B608C" w:rsidRPr="00EA1559" w:rsidRDefault="004B608C"/>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C1E1571" w14:textId="77777777" w:rsidR="004B608C" w:rsidRDefault="004B608C">
            <w:pPr>
              <w:rPr>
                <w:rFonts w:ascii="Arial" w:hAnsi="Arial" w:cs="Arial"/>
                <w:b/>
                <w:bCs/>
                <w:szCs w:val="20"/>
              </w:rPr>
            </w:pPr>
            <w:r>
              <w:rPr>
                <w:rFonts w:ascii="Arial" w:hAnsi="Arial" w:cs="Arial"/>
                <w:b/>
                <w:bCs/>
                <w:szCs w:val="20"/>
              </w:rPr>
              <w:t>Response to Cadent:</w:t>
            </w:r>
          </w:p>
          <w:p w14:paraId="2DC10C82" w14:textId="5B905962" w:rsidR="004B608C" w:rsidRPr="004B608C" w:rsidRDefault="004B608C">
            <w:pPr>
              <w:rPr>
                <w:rFonts w:ascii="Arial" w:hAnsi="Arial" w:cs="Arial"/>
                <w:szCs w:val="20"/>
              </w:rPr>
            </w:pPr>
            <w:r>
              <w:rPr>
                <w:rFonts w:ascii="Arial" w:hAnsi="Arial" w:cs="Arial"/>
                <w:szCs w:val="20"/>
              </w:rPr>
              <w:t>O</w:t>
            </w:r>
            <w:r w:rsidRPr="004B608C">
              <w:rPr>
                <w:rFonts w:ascii="Arial" w:hAnsi="Arial" w:cs="Arial"/>
                <w:szCs w:val="20"/>
              </w:rPr>
              <w:t>n the call</w:t>
            </w:r>
            <w:r>
              <w:rPr>
                <w:rFonts w:ascii="Arial" w:hAnsi="Arial" w:cs="Arial"/>
                <w:szCs w:val="20"/>
              </w:rPr>
              <w:t xml:space="preserve"> on the 14</w:t>
            </w:r>
            <w:r w:rsidRPr="004B608C">
              <w:rPr>
                <w:rFonts w:ascii="Arial" w:hAnsi="Arial" w:cs="Arial"/>
                <w:szCs w:val="20"/>
                <w:vertAlign w:val="superscript"/>
              </w:rPr>
              <w:t>th</w:t>
            </w:r>
            <w:r>
              <w:rPr>
                <w:rFonts w:ascii="Arial" w:hAnsi="Arial" w:cs="Arial"/>
                <w:szCs w:val="20"/>
              </w:rPr>
              <w:t xml:space="preserve"> of January 2021, we further clarified that </w:t>
            </w:r>
            <w:r w:rsidR="00E80CFD">
              <w:rPr>
                <w:rFonts w:ascii="Arial" w:hAnsi="Arial" w:cs="Arial"/>
                <w:szCs w:val="20"/>
              </w:rPr>
              <w:t>this is not an error.</w:t>
            </w:r>
            <w:r>
              <w:rPr>
                <w:rFonts w:ascii="Arial" w:hAnsi="Arial" w:cs="Arial"/>
                <w:szCs w:val="20"/>
              </w:rPr>
              <w:t xml:space="preserve"> </w:t>
            </w:r>
            <w:r w:rsidR="00E80CFD">
              <w:rPr>
                <w:rFonts w:ascii="Arial" w:hAnsi="Arial" w:cs="Arial"/>
                <w:szCs w:val="20"/>
              </w:rPr>
              <w:t>O</w:t>
            </w:r>
            <w:r>
              <w:rPr>
                <w:rFonts w:ascii="Arial" w:hAnsi="Arial" w:cs="Arial"/>
                <w:szCs w:val="20"/>
              </w:rPr>
              <w:t>ur approach</w:t>
            </w:r>
            <w:r w:rsidR="00501E47">
              <w:rPr>
                <w:rFonts w:ascii="Arial" w:hAnsi="Arial" w:cs="Arial"/>
                <w:szCs w:val="20"/>
              </w:rPr>
              <w:t xml:space="preserve"> for Final Determinations ensures that the time profile of the allowance is consistent with that of submitted costs, and thus with the GDNs’ level of work in each year of RIIO-GD2.</w:t>
            </w:r>
            <w:r>
              <w:rPr>
                <w:rFonts w:ascii="Arial" w:hAnsi="Arial" w:cs="Arial"/>
                <w:szCs w:val="20"/>
              </w:rPr>
              <w:t xml:space="preserve"> </w:t>
            </w:r>
          </w:p>
        </w:tc>
      </w:tr>
    </w:tbl>
    <w:p w14:paraId="373E21F4"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A50D0B" w14:textId="77777777" w:rsidR="00392623" w:rsidRDefault="00392623" w:rsidP="00526623">
      <w:pPr>
        <w:spacing w:after="0" w:line="240" w:lineRule="auto"/>
      </w:pPr>
      <w:r>
        <w:separator/>
      </w:r>
    </w:p>
  </w:endnote>
  <w:endnote w:type="continuationSeparator" w:id="0">
    <w:p w14:paraId="2ED7B9CF" w14:textId="77777777" w:rsidR="00392623" w:rsidRDefault="00392623"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9CF3EA" w14:textId="77777777" w:rsidR="00392623" w:rsidRDefault="00392623" w:rsidP="00526623">
      <w:pPr>
        <w:spacing w:after="0" w:line="240" w:lineRule="auto"/>
      </w:pPr>
      <w:r>
        <w:separator/>
      </w:r>
    </w:p>
  </w:footnote>
  <w:footnote w:type="continuationSeparator" w:id="0">
    <w:p w14:paraId="10F60361" w14:textId="77777777" w:rsidR="00392623" w:rsidRDefault="00392623"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387727"/>
    <w:multiLevelType w:val="hybridMultilevel"/>
    <w:tmpl w:val="BA281A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41711"/>
    <w:rsid w:val="000436C2"/>
    <w:rsid w:val="000473D3"/>
    <w:rsid w:val="00050C54"/>
    <w:rsid w:val="0006495F"/>
    <w:rsid w:val="000B0536"/>
    <w:rsid w:val="000E5B6D"/>
    <w:rsid w:val="0010126C"/>
    <w:rsid w:val="00107296"/>
    <w:rsid w:val="00133BD9"/>
    <w:rsid w:val="00133CFC"/>
    <w:rsid w:val="00172809"/>
    <w:rsid w:val="001D0151"/>
    <w:rsid w:val="00206D5F"/>
    <w:rsid w:val="002707B1"/>
    <w:rsid w:val="00281066"/>
    <w:rsid w:val="002908E9"/>
    <w:rsid w:val="00291D51"/>
    <w:rsid w:val="00293724"/>
    <w:rsid w:val="002A4AD8"/>
    <w:rsid w:val="002B4955"/>
    <w:rsid w:val="002E3EFB"/>
    <w:rsid w:val="00300FB4"/>
    <w:rsid w:val="003043A4"/>
    <w:rsid w:val="00342E6F"/>
    <w:rsid w:val="003452B0"/>
    <w:rsid w:val="00360385"/>
    <w:rsid w:val="00373AC9"/>
    <w:rsid w:val="00385085"/>
    <w:rsid w:val="00392623"/>
    <w:rsid w:val="003B3576"/>
    <w:rsid w:val="003F465C"/>
    <w:rsid w:val="00400822"/>
    <w:rsid w:val="004274B6"/>
    <w:rsid w:val="004664B3"/>
    <w:rsid w:val="0047108D"/>
    <w:rsid w:val="004B608C"/>
    <w:rsid w:val="004C4D2B"/>
    <w:rsid w:val="004C67C5"/>
    <w:rsid w:val="004D0311"/>
    <w:rsid w:val="004D1F2F"/>
    <w:rsid w:val="00501E47"/>
    <w:rsid w:val="00503895"/>
    <w:rsid w:val="00526623"/>
    <w:rsid w:val="00526A8E"/>
    <w:rsid w:val="00534E92"/>
    <w:rsid w:val="00536220"/>
    <w:rsid w:val="00584F30"/>
    <w:rsid w:val="00586A8E"/>
    <w:rsid w:val="005927B6"/>
    <w:rsid w:val="005A506C"/>
    <w:rsid w:val="005A74DE"/>
    <w:rsid w:val="005E2894"/>
    <w:rsid w:val="00603398"/>
    <w:rsid w:val="0060723D"/>
    <w:rsid w:val="006224F4"/>
    <w:rsid w:val="006279ED"/>
    <w:rsid w:val="006847DA"/>
    <w:rsid w:val="006B26DE"/>
    <w:rsid w:val="006C0A8D"/>
    <w:rsid w:val="006E4411"/>
    <w:rsid w:val="00716508"/>
    <w:rsid w:val="00721734"/>
    <w:rsid w:val="007400B7"/>
    <w:rsid w:val="00747F08"/>
    <w:rsid w:val="00753976"/>
    <w:rsid w:val="007572D8"/>
    <w:rsid w:val="00760719"/>
    <w:rsid w:val="007649AC"/>
    <w:rsid w:val="00772D1E"/>
    <w:rsid w:val="0077565D"/>
    <w:rsid w:val="00782C9E"/>
    <w:rsid w:val="00793DE1"/>
    <w:rsid w:val="007974DA"/>
    <w:rsid w:val="007B29A9"/>
    <w:rsid w:val="007C2E37"/>
    <w:rsid w:val="007D7648"/>
    <w:rsid w:val="007E30C4"/>
    <w:rsid w:val="007E55C3"/>
    <w:rsid w:val="008170C7"/>
    <w:rsid w:val="00845396"/>
    <w:rsid w:val="0085400C"/>
    <w:rsid w:val="008A5062"/>
    <w:rsid w:val="008B3636"/>
    <w:rsid w:val="008B7043"/>
    <w:rsid w:val="008C5A35"/>
    <w:rsid w:val="008E436D"/>
    <w:rsid w:val="008F4A24"/>
    <w:rsid w:val="00924DEC"/>
    <w:rsid w:val="00935000"/>
    <w:rsid w:val="00937BF5"/>
    <w:rsid w:val="00942721"/>
    <w:rsid w:val="00945C7C"/>
    <w:rsid w:val="00946125"/>
    <w:rsid w:val="009762C9"/>
    <w:rsid w:val="009845A8"/>
    <w:rsid w:val="0098479A"/>
    <w:rsid w:val="009B26A0"/>
    <w:rsid w:val="009B7577"/>
    <w:rsid w:val="009D4F56"/>
    <w:rsid w:val="00A054D1"/>
    <w:rsid w:val="00A0584E"/>
    <w:rsid w:val="00A06191"/>
    <w:rsid w:val="00A56CF3"/>
    <w:rsid w:val="00A77899"/>
    <w:rsid w:val="00A922CF"/>
    <w:rsid w:val="00A95C57"/>
    <w:rsid w:val="00AC6418"/>
    <w:rsid w:val="00AE2C71"/>
    <w:rsid w:val="00AF2854"/>
    <w:rsid w:val="00B33B74"/>
    <w:rsid w:val="00B33BDA"/>
    <w:rsid w:val="00B35E40"/>
    <w:rsid w:val="00B378CC"/>
    <w:rsid w:val="00B41AEB"/>
    <w:rsid w:val="00B82400"/>
    <w:rsid w:val="00B86DDF"/>
    <w:rsid w:val="00BA4154"/>
    <w:rsid w:val="00BA5A79"/>
    <w:rsid w:val="00BB4793"/>
    <w:rsid w:val="00BB56A8"/>
    <w:rsid w:val="00BB682C"/>
    <w:rsid w:val="00BD48A8"/>
    <w:rsid w:val="00C10D99"/>
    <w:rsid w:val="00C57345"/>
    <w:rsid w:val="00C814D0"/>
    <w:rsid w:val="00C81B4C"/>
    <w:rsid w:val="00CA4297"/>
    <w:rsid w:val="00CC7214"/>
    <w:rsid w:val="00CF22EF"/>
    <w:rsid w:val="00D1736D"/>
    <w:rsid w:val="00D50036"/>
    <w:rsid w:val="00D53135"/>
    <w:rsid w:val="00D701F5"/>
    <w:rsid w:val="00D81399"/>
    <w:rsid w:val="00D815E6"/>
    <w:rsid w:val="00DA18CD"/>
    <w:rsid w:val="00DA4D94"/>
    <w:rsid w:val="00DA67E5"/>
    <w:rsid w:val="00DA7406"/>
    <w:rsid w:val="00DC440E"/>
    <w:rsid w:val="00E040EA"/>
    <w:rsid w:val="00E11C0E"/>
    <w:rsid w:val="00E346B6"/>
    <w:rsid w:val="00E525E0"/>
    <w:rsid w:val="00E55A7F"/>
    <w:rsid w:val="00E566F5"/>
    <w:rsid w:val="00E624C6"/>
    <w:rsid w:val="00E80CFD"/>
    <w:rsid w:val="00E83200"/>
    <w:rsid w:val="00EA1559"/>
    <w:rsid w:val="00EB123E"/>
    <w:rsid w:val="00EB179A"/>
    <w:rsid w:val="00EB2613"/>
    <w:rsid w:val="00EE1C79"/>
    <w:rsid w:val="00EE2493"/>
    <w:rsid w:val="00F129C1"/>
    <w:rsid w:val="00F20F23"/>
    <w:rsid w:val="00F23B18"/>
    <w:rsid w:val="00F31270"/>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semiHidden/>
    <w:unhideWhenUsed/>
    <w:rsid w:val="00EA1559"/>
    <w:pPr>
      <w:spacing w:before="100" w:beforeAutospacing="1" w:after="100" w:afterAutospacing="1" w:line="240" w:lineRule="auto"/>
    </w:pPr>
    <w:rPr>
      <w:rFonts w:ascii="Calibri" w:hAnsi="Calibri" w:cs="Calibri"/>
      <w:sz w:val="22"/>
      <w:lang w:eastAsia="en-GB"/>
    </w:rPr>
  </w:style>
  <w:style w:type="paragraph" w:styleId="BalloonText">
    <w:name w:val="Balloon Text"/>
    <w:basedOn w:val="Normal"/>
    <w:link w:val="BalloonTextChar"/>
    <w:uiPriority w:val="99"/>
    <w:semiHidden/>
    <w:unhideWhenUsed/>
    <w:rsid w:val="00D701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01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69030953">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2021-01-14T18:03:32+00:00</Publication_x0020_Date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schemas.microsoft.com/sharepoint/v3/fields"/>
    <ds:schemaRef ds:uri="http://www.w3.org/XML/1998/namespace"/>
    <ds:schemaRef ds:uri="http://purl.org/dc/terms/"/>
    <ds:schemaRef ds:uri="http://purl.org/dc/elements/1.1/"/>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631298fc-6a88-4548-b7d9-3b164918c4a3"/>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8A317E51-6A35-4CF2-A8DF-DD3D21358D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DAE4B7-DC91-4699-ABD3-6CDF2FBCEA06}">
  <ds:schemaRefs>
    <ds:schemaRef ds:uri="Microsoft.SharePoint.Taxonomy.ContentTypeSync"/>
  </ds:schemaRefs>
</ds:datastoreItem>
</file>

<file path=customXml/itemProps5.xml><?xml version="1.0" encoding="utf-8"?>
<ds:datastoreItem xmlns:ds="http://schemas.openxmlformats.org/officeDocument/2006/customXml" ds:itemID="{CE10D098-3FA9-4FB2-B334-DDAFDD63837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760</Words>
  <Characters>4333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4</cp:revision>
  <dcterms:created xsi:type="dcterms:W3CDTF">2021-01-14T18:03:00Z</dcterms:created>
  <dcterms:modified xsi:type="dcterms:W3CDTF">2021-01-14T18:26:00Z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Choose an Organisation</vt:lpwstr>
  </property>
  <property fmtid="{D5CDD505-2E9C-101B-9397-08002B2CF9AE}" pid="23" name="Publication Date:">
    <vt:filetime>2020-07-28T23:00:00Z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29cbfd4b-80de-467e-b1d4-4e74bc7b81dc</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