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10089"/>
      </w:tblGrid>
      <w:tr w:rsidR="009648AB" w:rsidRPr="009C3515" w14:paraId="373E21CB" w14:textId="77777777" w:rsidTr="00B52C0B">
        <w:trPr>
          <w:trHeight w:hRule="exact" w:val="397"/>
        </w:trPr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4DF5BBF3" w:rsidR="00133BD9" w:rsidRPr="009C3515" w:rsidRDefault="00C87C24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SGN </w:t>
            </w:r>
            <w:r w:rsidR="000511F1">
              <w:rPr>
                <w:rFonts w:asciiTheme="minorHAnsi" w:hAnsiTheme="minorHAnsi"/>
                <w:b/>
                <w:bCs/>
                <w:szCs w:val="24"/>
              </w:rPr>
              <w:t>Final Determination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</w:tr>
      <w:tr w:rsidR="009648AB" w:rsidRPr="009C3515" w14:paraId="373E21CD" w14:textId="77777777" w:rsidTr="00B52C0B">
        <w:trPr>
          <w:trHeight w:hRule="exact" w:val="397"/>
        </w:trPr>
        <w:tc>
          <w:tcPr>
            <w:tcW w:w="111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77FDE572" w:rsidR="00BB682C" w:rsidRPr="009C3515" w:rsidRDefault="000511F1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Query</w:t>
            </w:r>
          </w:p>
        </w:tc>
      </w:tr>
      <w:tr w:rsidR="009648AB" w:rsidRPr="009C3515" w14:paraId="373E21D0" w14:textId="77777777" w:rsidTr="00B52C0B">
        <w:trPr>
          <w:trHeight w:hRule="exact" w:val="397"/>
        </w:trPr>
        <w:tc>
          <w:tcPr>
            <w:tcW w:w="1560" w:type="dxa"/>
            <w:shd w:val="clear" w:color="auto" w:fill="auto"/>
            <w:hideMark/>
          </w:tcPr>
          <w:p w14:paraId="373E21CE" w14:textId="2AA7F661" w:rsidR="00133BD9" w:rsidRPr="00B52C0B" w:rsidRDefault="00A0584E" w:rsidP="00D6488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SQ </w:t>
            </w:r>
            <w:r w:rsidR="00133BD9"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>Reference</w:t>
            </w:r>
            <w:r w:rsidR="00A06191"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number</w:t>
            </w:r>
          </w:p>
        </w:tc>
        <w:tc>
          <w:tcPr>
            <w:tcW w:w="9639" w:type="dxa"/>
            <w:shd w:val="clear" w:color="auto" w:fill="auto"/>
          </w:tcPr>
          <w:p w14:paraId="373E21CF" w14:textId="66C3DA35" w:rsidR="00133BD9" w:rsidRPr="00B52C0B" w:rsidRDefault="006673BA" w:rsidP="00D64880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>SGN_</w:t>
            </w:r>
            <w:r w:rsidR="009344A8" w:rsidRPr="00B52C0B">
              <w:rPr>
                <w:rFonts w:asciiTheme="minorHAnsi" w:hAnsiTheme="minorHAnsi"/>
                <w:sz w:val="20"/>
                <w:szCs w:val="20"/>
              </w:rPr>
              <w:t>FD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>Q_</w:t>
            </w:r>
            <w:r w:rsidR="00211B9A" w:rsidRPr="00B52C0B">
              <w:rPr>
                <w:rFonts w:asciiTheme="minorHAnsi" w:hAnsiTheme="minorHAnsi"/>
                <w:sz w:val="20"/>
                <w:szCs w:val="20"/>
              </w:rPr>
              <w:t>032</w:t>
            </w:r>
          </w:p>
        </w:tc>
      </w:tr>
      <w:tr w:rsidR="009648AB" w:rsidRPr="009C3515" w14:paraId="373E21D3" w14:textId="77777777" w:rsidTr="00B52C0B">
        <w:trPr>
          <w:trHeight w:hRule="exact" w:val="523"/>
        </w:trPr>
        <w:tc>
          <w:tcPr>
            <w:tcW w:w="1560" w:type="dxa"/>
            <w:shd w:val="clear" w:color="auto" w:fill="auto"/>
          </w:tcPr>
          <w:p w14:paraId="373E21D1" w14:textId="4B4CA9B7" w:rsidR="00A06191" w:rsidRPr="00B52C0B" w:rsidRDefault="00B61E2C" w:rsidP="00D6488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>Document name</w:t>
            </w:r>
          </w:p>
        </w:tc>
        <w:tc>
          <w:tcPr>
            <w:tcW w:w="9639" w:type="dxa"/>
            <w:shd w:val="clear" w:color="auto" w:fill="auto"/>
          </w:tcPr>
          <w:p w14:paraId="373E21D2" w14:textId="71CB252F" w:rsidR="00A06191" w:rsidRPr="00B52C0B" w:rsidRDefault="008364B9" w:rsidP="00D64880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color w:val="000000"/>
                <w:sz w:val="20"/>
                <w:szCs w:val="20"/>
                <w:lang w:eastAsia="en-GB"/>
              </w:rPr>
              <w:t>Revised modelling files 22</w:t>
            </w:r>
            <w:r w:rsidRPr="00B52C0B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  <w:lang w:eastAsia="en-GB"/>
              </w:rPr>
              <w:t>nd</w:t>
            </w:r>
            <w:r w:rsidRPr="00B52C0B">
              <w:rPr>
                <w:rFonts w:asciiTheme="minorHAnsi" w:hAnsiTheme="minorHAnsi"/>
                <w:color w:val="000000"/>
                <w:sz w:val="20"/>
                <w:szCs w:val="20"/>
                <w:lang w:eastAsia="en-GB"/>
              </w:rPr>
              <w:t xml:space="preserve"> December</w:t>
            </w:r>
          </w:p>
        </w:tc>
      </w:tr>
      <w:tr w:rsidR="009648AB" w:rsidRPr="009C3515" w14:paraId="373E21D6" w14:textId="77777777" w:rsidTr="00B52C0B">
        <w:trPr>
          <w:trHeight w:hRule="exact" w:val="397"/>
        </w:trPr>
        <w:tc>
          <w:tcPr>
            <w:tcW w:w="1560" w:type="dxa"/>
            <w:shd w:val="clear" w:color="auto" w:fill="auto"/>
          </w:tcPr>
          <w:p w14:paraId="373E21D4" w14:textId="77777777" w:rsidR="00A06191" w:rsidRPr="00B52C0B" w:rsidRDefault="00A06191" w:rsidP="00D6488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>Topic/Activity:</w:t>
            </w:r>
          </w:p>
        </w:tc>
        <w:tc>
          <w:tcPr>
            <w:tcW w:w="9639" w:type="dxa"/>
            <w:shd w:val="clear" w:color="auto" w:fill="auto"/>
          </w:tcPr>
          <w:p w14:paraId="373E21D5" w14:textId="2F2FB2A8" w:rsidR="00A06191" w:rsidRPr="00B52C0B" w:rsidRDefault="00307D1C" w:rsidP="00D64880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 xml:space="preserve">Changes </w:t>
            </w:r>
            <w:r w:rsidR="008364B9" w:rsidRPr="00B52C0B">
              <w:rPr>
                <w:rFonts w:asciiTheme="minorHAnsi" w:hAnsiTheme="minorHAnsi"/>
                <w:sz w:val="20"/>
                <w:szCs w:val="20"/>
              </w:rPr>
              <w:t>in revised modelling files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 xml:space="preserve"> not identified in the log</w:t>
            </w:r>
          </w:p>
        </w:tc>
      </w:tr>
      <w:tr w:rsidR="009648AB" w:rsidRPr="009C3515" w14:paraId="373E21D9" w14:textId="77777777" w:rsidTr="00B52C0B">
        <w:trPr>
          <w:trHeight w:val="1134"/>
        </w:trPr>
        <w:tc>
          <w:tcPr>
            <w:tcW w:w="1560" w:type="dxa"/>
            <w:shd w:val="clear" w:color="auto" w:fill="auto"/>
          </w:tcPr>
          <w:p w14:paraId="373E21D7" w14:textId="77777777" w:rsidR="00A06191" w:rsidRPr="00B52C0B" w:rsidRDefault="00A06191" w:rsidP="00D6488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>Question:</w:t>
            </w:r>
          </w:p>
        </w:tc>
        <w:tc>
          <w:tcPr>
            <w:tcW w:w="9639" w:type="dxa"/>
            <w:shd w:val="clear" w:color="auto" w:fill="auto"/>
          </w:tcPr>
          <w:p w14:paraId="4C6029A9" w14:textId="7BCA5629" w:rsidR="00307D1C" w:rsidRPr="00B52C0B" w:rsidRDefault="00307D1C" w:rsidP="00307D1C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>We have identified variances in the modelling suit</w:t>
            </w:r>
            <w:r w:rsidR="00D6131F" w:rsidRPr="00B52C0B">
              <w:rPr>
                <w:rFonts w:asciiTheme="minorHAnsi" w:hAnsiTheme="minorHAnsi"/>
                <w:sz w:val="20"/>
                <w:szCs w:val="20"/>
              </w:rPr>
              <w:t>e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 xml:space="preserve"> provided on the 8</w:t>
            </w:r>
            <w:r w:rsidRPr="00B52C0B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 xml:space="preserve"> December versus the updated model</w:t>
            </w:r>
            <w:r w:rsidR="00D6131F" w:rsidRPr="00B52C0B">
              <w:rPr>
                <w:rFonts w:asciiTheme="minorHAnsi" w:hAnsiTheme="minorHAnsi"/>
                <w:sz w:val="20"/>
                <w:szCs w:val="20"/>
              </w:rPr>
              <w:t>ling files provided on the 22</w:t>
            </w:r>
            <w:r w:rsidR="00D6131F" w:rsidRPr="00B52C0B">
              <w:rPr>
                <w:rFonts w:asciiTheme="minorHAnsi" w:hAnsiTheme="minorHAnsi"/>
                <w:sz w:val="20"/>
                <w:szCs w:val="20"/>
                <w:vertAlign w:val="superscript"/>
              </w:rPr>
              <w:t>nd</w:t>
            </w:r>
            <w:r w:rsidR="00D6131F" w:rsidRPr="00B52C0B">
              <w:rPr>
                <w:rFonts w:asciiTheme="minorHAnsi" w:hAnsiTheme="minorHAnsi"/>
                <w:sz w:val="20"/>
                <w:szCs w:val="20"/>
              </w:rPr>
              <w:t xml:space="preserve"> December of which are in addition to the 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>correction of the five errors</w:t>
            </w:r>
            <w:r w:rsidR="00D6131F" w:rsidRPr="00B52C0B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>Could you please clarify the reason for these additional variations?</w:t>
            </w:r>
          </w:p>
          <w:p w14:paraId="306A0DD5" w14:textId="01C1E54D" w:rsidR="00307D1C" w:rsidRPr="00B52C0B" w:rsidRDefault="00307D1C" w:rsidP="00307D1C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 xml:space="preserve">We believe that these further changes lead to a material impact on results, beyond the impact of correcting the five errors. </w:t>
            </w:r>
            <w:r w:rsidR="00211B9A" w:rsidRPr="00B52C0B">
              <w:rPr>
                <w:rFonts w:asciiTheme="minorHAnsi" w:hAnsiTheme="minorHAnsi"/>
                <w:sz w:val="20"/>
                <w:szCs w:val="20"/>
              </w:rPr>
              <w:t>Can you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 xml:space="preserve"> please clarify the reasons for this discrepancy?</w:t>
            </w:r>
          </w:p>
          <w:p w14:paraId="1D8BA906" w14:textId="2E52D208" w:rsidR="00307D1C" w:rsidRPr="00B52C0B" w:rsidRDefault="00307D1C" w:rsidP="00307D1C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 xml:space="preserve"> Finally, </w:t>
            </w:r>
            <w:r w:rsidR="00211B9A" w:rsidRPr="00B52C0B">
              <w:rPr>
                <w:rFonts w:asciiTheme="minorHAnsi" w:hAnsiTheme="minorHAnsi"/>
                <w:sz w:val="20"/>
                <w:szCs w:val="20"/>
              </w:rPr>
              <w:t>please can you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 xml:space="preserve"> share a full log of changes alongside any future amended file?</w:t>
            </w:r>
          </w:p>
          <w:p w14:paraId="3AB4C334" w14:textId="1ABE9033" w:rsidR="0084010A" w:rsidRPr="00B52C0B" w:rsidRDefault="00307D1C" w:rsidP="00307D1C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> </w:t>
            </w:r>
            <w:r w:rsidRPr="00B52C0B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Examples of differences between the FD files released on 8</w:t>
            </w:r>
            <w:r w:rsidRPr="00B52C0B">
              <w:rPr>
                <w:rFonts w:asciiTheme="minorHAnsi" w:hAnsiTheme="minorHAnsi"/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Pr="00B52C0B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 xml:space="preserve"> December and 22</w:t>
            </w:r>
            <w:r w:rsidR="00211B9A" w:rsidRPr="00B52C0B">
              <w:rPr>
                <w:rFonts w:asciiTheme="minorHAnsi" w:hAnsiTheme="minorHAnsi"/>
                <w:b/>
                <w:bCs/>
                <w:sz w:val="20"/>
                <w:szCs w:val="20"/>
                <w:u w:val="single"/>
                <w:vertAlign w:val="superscript"/>
              </w:rPr>
              <w:t>nd</w:t>
            </w:r>
            <w:r w:rsidR="00211B9A" w:rsidRPr="00B52C0B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 xml:space="preserve"> December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6"/>
              <w:gridCol w:w="2412"/>
              <w:gridCol w:w="2023"/>
              <w:gridCol w:w="2212"/>
              <w:gridCol w:w="1247"/>
            </w:tblGrid>
            <w:tr w:rsidR="00515A77" w:rsidRPr="00B52C0B" w14:paraId="099369D6" w14:textId="77777777" w:rsidTr="00B52C0B">
              <w:tc>
                <w:tcPr>
                  <w:tcW w:w="1916" w:type="dxa"/>
                </w:tcPr>
                <w:p w14:paraId="0D5FED15" w14:textId="5AD8B2C4" w:rsidR="0084010A" w:rsidRPr="00B52C0B" w:rsidRDefault="00211B9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  <w:r w:rsidR="0084010A" w:rsidRPr="00B52C0B">
                    <w:rPr>
                      <w:rFonts w:asciiTheme="minorHAnsi" w:hAnsiTheme="minorHAnsi"/>
                      <w:sz w:val="20"/>
                      <w:szCs w:val="20"/>
                    </w:rPr>
                    <w:t>Files</w:t>
                  </w:r>
                </w:p>
              </w:tc>
              <w:tc>
                <w:tcPr>
                  <w:tcW w:w="1645" w:type="dxa"/>
                </w:tcPr>
                <w:p w14:paraId="3416E5F8" w14:textId="1A1419D6" w:rsidR="0084010A" w:rsidRPr="00B52C0B" w:rsidRDefault="0084010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Tabs</w:t>
                  </w:r>
                </w:p>
              </w:tc>
              <w:tc>
                <w:tcPr>
                  <w:tcW w:w="2023" w:type="dxa"/>
                </w:tcPr>
                <w:p w14:paraId="6D811C6E" w14:textId="65C0BA90" w:rsidR="0084010A" w:rsidRPr="00B52C0B" w:rsidRDefault="0084010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Cell range</w:t>
                  </w:r>
                </w:p>
              </w:tc>
              <w:tc>
                <w:tcPr>
                  <w:tcW w:w="2212" w:type="dxa"/>
                </w:tcPr>
                <w:p w14:paraId="0D2C90CA" w14:textId="2B9E28ED" w:rsidR="0084010A" w:rsidRPr="00B52C0B" w:rsidRDefault="009C2523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Content in Files released on 8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  <w:vertAlign w:val="superscript"/>
                    </w:rPr>
                    <w:t>th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 xml:space="preserve"> December</w:t>
                  </w:r>
                </w:p>
              </w:tc>
              <w:tc>
                <w:tcPr>
                  <w:tcW w:w="1247" w:type="dxa"/>
                </w:tcPr>
                <w:p w14:paraId="01BB4D5C" w14:textId="7FFB6A75" w:rsidR="0084010A" w:rsidRPr="00B52C0B" w:rsidRDefault="009C2523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Content in files released on 22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  <w:vertAlign w:val="superscript"/>
                    </w:rPr>
                    <w:t>nd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 xml:space="preserve"> December</w:t>
                  </w:r>
                </w:p>
              </w:tc>
            </w:tr>
            <w:tr w:rsidR="00515A77" w:rsidRPr="00B52C0B" w14:paraId="2F937054" w14:textId="77777777" w:rsidTr="00B52C0B">
              <w:tc>
                <w:tcPr>
                  <w:tcW w:w="1916" w:type="dxa"/>
                </w:tcPr>
                <w:p w14:paraId="774FFF0C" w14:textId="6E5E22CF" w:rsidR="0084010A" w:rsidRPr="00B52C0B" w:rsidRDefault="009C2523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EoE and WM Normalisation</w:t>
                  </w:r>
                </w:p>
              </w:tc>
              <w:tc>
                <w:tcPr>
                  <w:tcW w:w="1645" w:type="dxa"/>
                </w:tcPr>
                <w:p w14:paraId="52F86B0E" w14:textId="3F033E1D" w:rsidR="0084010A" w:rsidRPr="00B52C0B" w:rsidRDefault="00EC5F6F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Cal_SubmittedCostsOEAdj</w:t>
                  </w:r>
                </w:p>
              </w:tc>
              <w:tc>
                <w:tcPr>
                  <w:tcW w:w="2023" w:type="dxa"/>
                </w:tcPr>
                <w:p w14:paraId="1F2FE4CF" w14:textId="74B5AC28" w:rsidR="0084010A" w:rsidRPr="00B52C0B" w:rsidRDefault="00EC5F6F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Cells referring to Non-controllable opex (Y49:AK51 and Y133:AK135)</w:t>
                  </w:r>
                </w:p>
              </w:tc>
              <w:tc>
                <w:tcPr>
                  <w:tcW w:w="2212" w:type="dxa"/>
                </w:tcPr>
                <w:p w14:paraId="0B69A22F" w14:textId="43F2CADA" w:rsidR="0084010A" w:rsidRPr="00B52C0B" w:rsidRDefault="00894699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The cells contain</w:t>
                  </w:r>
                  <w:r w:rsidR="00E441B8" w:rsidRPr="00B52C0B">
                    <w:rPr>
                      <w:rFonts w:asciiTheme="minorHAnsi" w:hAnsiTheme="minorHAnsi"/>
                      <w:sz w:val="20"/>
                      <w:szCs w:val="20"/>
                    </w:rPr>
                    <w:t xml:space="preserve"> references to the tab Cal_SubmittedCost. E.g in cell Y49 the formula is Cal_SubmittedCosts!Y49</w:t>
                  </w:r>
                </w:p>
              </w:tc>
              <w:tc>
                <w:tcPr>
                  <w:tcW w:w="1247" w:type="dxa"/>
                </w:tcPr>
                <w:p w14:paraId="6E7F9567" w14:textId="07E48276" w:rsidR="0084010A" w:rsidRPr="00B52C0B" w:rsidRDefault="00E441B8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These cells are blank</w:t>
                  </w:r>
                </w:p>
              </w:tc>
            </w:tr>
            <w:tr w:rsidR="00515A77" w:rsidRPr="00B52C0B" w14:paraId="43AF3F18" w14:textId="77777777" w:rsidTr="00B52C0B">
              <w:tc>
                <w:tcPr>
                  <w:tcW w:w="1916" w:type="dxa"/>
                </w:tcPr>
                <w:p w14:paraId="46490D2C" w14:textId="0ECDE1C4" w:rsidR="0084010A" w:rsidRPr="00B52C0B" w:rsidRDefault="00B52DD8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All Normalisation files except for EoE</w:t>
                  </w:r>
                </w:p>
              </w:tc>
              <w:tc>
                <w:tcPr>
                  <w:tcW w:w="1645" w:type="dxa"/>
                </w:tcPr>
                <w:p w14:paraId="172552A4" w14:textId="77777777" w:rsidR="00B52DD8" w:rsidRPr="00B52C0B" w:rsidRDefault="00B52DD8" w:rsidP="00B52DD8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Inp_RepexBespokeTACosts</w:t>
                  </w:r>
                </w:p>
                <w:p w14:paraId="7B8B35D6" w14:textId="77777777" w:rsidR="0084010A" w:rsidRPr="00B52C0B" w:rsidRDefault="0084010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23" w:type="dxa"/>
                </w:tcPr>
                <w:p w14:paraId="269D3F51" w14:textId="657D603C" w:rsidR="0084010A" w:rsidRPr="00B52C0B" w:rsidRDefault="00B52DD8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G22</w:t>
                  </w:r>
                </w:p>
              </w:tc>
              <w:tc>
                <w:tcPr>
                  <w:tcW w:w="2212" w:type="dxa"/>
                </w:tcPr>
                <w:p w14:paraId="7992C18B" w14:textId="69F747F8" w:rsidR="0084010A" w:rsidRPr="00B52C0B" w:rsidRDefault="00B52DD8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The cell contains the value "TA - EoE_Rep_01"</w:t>
                  </w:r>
                </w:p>
              </w:tc>
              <w:tc>
                <w:tcPr>
                  <w:tcW w:w="1247" w:type="dxa"/>
                </w:tcPr>
                <w:p w14:paraId="50C91223" w14:textId="77777777" w:rsidR="00C251D2" w:rsidRPr="00B52C0B" w:rsidRDefault="00C251D2" w:rsidP="00C251D2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The cell contains the value "TA - Lowersoft"</w:t>
                  </w:r>
                </w:p>
                <w:p w14:paraId="0E17D767" w14:textId="77777777" w:rsidR="0084010A" w:rsidRPr="00B52C0B" w:rsidRDefault="0084010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  <w:tr w:rsidR="00515A77" w:rsidRPr="00B52C0B" w14:paraId="7F7F263A" w14:textId="77777777" w:rsidTr="00B52C0B">
              <w:tc>
                <w:tcPr>
                  <w:tcW w:w="1916" w:type="dxa"/>
                </w:tcPr>
                <w:p w14:paraId="351449CC" w14:textId="514078C0" w:rsidR="0084010A" w:rsidRPr="00B52C0B" w:rsidRDefault="00C251D2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CSV_File</w:t>
                  </w:r>
                </w:p>
              </w:tc>
              <w:tc>
                <w:tcPr>
                  <w:tcW w:w="1645" w:type="dxa"/>
                </w:tcPr>
                <w:p w14:paraId="665FD4EC" w14:textId="225C8333" w:rsidR="0084010A" w:rsidRPr="00B52C0B" w:rsidRDefault="00C251D2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Out_CSVDrivers and Out_CSVAdjDrivers</w:t>
                  </w:r>
                </w:p>
              </w:tc>
              <w:tc>
                <w:tcPr>
                  <w:tcW w:w="2023" w:type="dxa"/>
                </w:tcPr>
                <w:p w14:paraId="05785C52" w14:textId="0A4127C4" w:rsidR="0084010A" w:rsidRPr="00B52C0B" w:rsidRDefault="00C251D2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Y22:AK28</w:t>
                  </w:r>
                </w:p>
              </w:tc>
              <w:tc>
                <w:tcPr>
                  <w:tcW w:w="2212" w:type="dxa"/>
                </w:tcPr>
                <w:p w14:paraId="757A6F8E" w14:textId="20BA3135" w:rsidR="0084010A" w:rsidRPr="00B52C0B" w:rsidRDefault="005D6B70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Rows related to CSV Opex, CSV capex, CSV Business Support costs, CSV Totex (smoothed), CSV Emergency Econometric and CSV Customers are intentionally left blank</w:t>
                  </w:r>
                </w:p>
              </w:tc>
              <w:tc>
                <w:tcPr>
                  <w:tcW w:w="1247" w:type="dxa"/>
                </w:tcPr>
                <w:p w14:paraId="6697EBA1" w14:textId="77777777" w:rsidR="005D6B70" w:rsidRPr="00B52C0B" w:rsidRDefault="005D6B70" w:rsidP="005D6B70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These rows are filled with hardcoded values</w:t>
                  </w:r>
                </w:p>
                <w:p w14:paraId="75169C82" w14:textId="77777777" w:rsidR="0084010A" w:rsidRPr="00B52C0B" w:rsidRDefault="0084010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  <w:tr w:rsidR="00515A77" w:rsidRPr="00B52C0B" w14:paraId="0DB52D94" w14:textId="77777777" w:rsidTr="00B52C0B">
              <w:tc>
                <w:tcPr>
                  <w:tcW w:w="1916" w:type="dxa"/>
                </w:tcPr>
                <w:p w14:paraId="4BEA7AC7" w14:textId="3EBE62FA" w:rsidR="0084010A" w:rsidRPr="00B52C0B" w:rsidRDefault="005D6B70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CostAssessment_File</w:t>
                  </w:r>
                </w:p>
              </w:tc>
              <w:tc>
                <w:tcPr>
                  <w:tcW w:w="1645" w:type="dxa"/>
                </w:tcPr>
                <w:p w14:paraId="7D74F9EF" w14:textId="21832E92" w:rsidR="0084010A" w:rsidRPr="00B52C0B" w:rsidRDefault="00515A77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Inp_Drivers and Inp_AdjDrivers</w:t>
                  </w:r>
                </w:p>
              </w:tc>
              <w:tc>
                <w:tcPr>
                  <w:tcW w:w="2023" w:type="dxa"/>
                </w:tcPr>
                <w:p w14:paraId="16281E02" w14:textId="77777777" w:rsidR="0084010A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T35:AK35</w:t>
                  </w:r>
                </w:p>
                <w:p w14:paraId="253AD1C6" w14:textId="77777777" w:rsidR="003334B6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Y36:AK36</w:t>
                  </w:r>
                </w:p>
                <w:p w14:paraId="5169E923" w14:textId="77777777" w:rsidR="003334B6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T68:AK68</w:t>
                  </w:r>
                </w:p>
                <w:p w14:paraId="70CE6C36" w14:textId="77777777" w:rsidR="003334B6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Y69:AK69</w:t>
                  </w:r>
                </w:p>
                <w:p w14:paraId="3A570497" w14:textId="77777777" w:rsidR="003334B6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T101:AK101</w:t>
                  </w:r>
                </w:p>
                <w:p w14:paraId="75457F03" w14:textId="77777777" w:rsidR="003334B6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Y102:AK102</w:t>
                  </w:r>
                </w:p>
                <w:p w14:paraId="161AB516" w14:textId="77777777" w:rsidR="003334B6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T134:AK134</w:t>
                  </w:r>
                </w:p>
                <w:p w14:paraId="054061D7" w14:textId="77777777" w:rsidR="003334B6" w:rsidRPr="00B52C0B" w:rsidRDefault="003334B6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</w:t>
                  </w:r>
                  <w:r w:rsidR="00A16138"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135:AK135</w:t>
                  </w:r>
                </w:p>
                <w:p w14:paraId="7505D232" w14:textId="77777777" w:rsidR="00A16138" w:rsidRPr="00B52C0B" w:rsidRDefault="00A16138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T167:AK167</w:t>
                  </w:r>
                </w:p>
                <w:p w14:paraId="4AD08BF1" w14:textId="77777777" w:rsidR="00A16138" w:rsidRPr="00B52C0B" w:rsidRDefault="00A16138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Y168:AK168</w:t>
                  </w:r>
                </w:p>
                <w:p w14:paraId="3C3452E6" w14:textId="77777777" w:rsidR="00A16138" w:rsidRPr="00B52C0B" w:rsidRDefault="00A16138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T200:AK200</w:t>
                  </w:r>
                </w:p>
                <w:p w14:paraId="67C495C4" w14:textId="77777777" w:rsidR="00A16138" w:rsidRPr="00B52C0B" w:rsidRDefault="00A16138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Y202:AK2</w:t>
                  </w:r>
                  <w:r w:rsidR="00C2668F"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02</w:t>
                  </w:r>
                </w:p>
                <w:p w14:paraId="012B6CA8" w14:textId="77777777" w:rsidR="00C2668F" w:rsidRPr="00B52C0B" w:rsidRDefault="00C2668F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T233:AK233</w:t>
                  </w:r>
                </w:p>
                <w:p w14:paraId="716FEBB2" w14:textId="77777777" w:rsidR="00C2668F" w:rsidRPr="00B52C0B" w:rsidRDefault="00C2668F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lastRenderedPageBreak/>
                    <w:t>Y234:AK234</w:t>
                  </w:r>
                </w:p>
                <w:p w14:paraId="55923B03" w14:textId="77777777" w:rsidR="00C2668F" w:rsidRPr="00B52C0B" w:rsidRDefault="00C2668F" w:rsidP="00307D1C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T266:AK266</w:t>
                  </w:r>
                </w:p>
                <w:p w14:paraId="0BA53745" w14:textId="2FAF27CA" w:rsidR="00C2668F" w:rsidRPr="00B52C0B" w:rsidRDefault="00C2668F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Y267:AK267</w:t>
                  </w:r>
                </w:p>
              </w:tc>
              <w:tc>
                <w:tcPr>
                  <w:tcW w:w="2212" w:type="dxa"/>
                </w:tcPr>
                <w:p w14:paraId="62D0A89B" w14:textId="77777777" w:rsidR="00515A77" w:rsidRPr="00B52C0B" w:rsidRDefault="00515A77" w:rsidP="00515A77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  <w:lang w:val="fr-FR"/>
                    </w:rPr>
                    <w:lastRenderedPageBreak/>
                    <w:t>Contain hardcoded values.</w:t>
                  </w:r>
                </w:p>
                <w:p w14:paraId="79E127FC" w14:textId="77777777" w:rsidR="00515A77" w:rsidRPr="00B52C0B" w:rsidRDefault="00515A77" w:rsidP="00515A77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All these rows refer to “Capex Synthetic Costs - MainsSmooth7years”.</w:t>
                  </w:r>
                </w:p>
                <w:p w14:paraId="5C4605D7" w14:textId="77777777" w:rsidR="0084010A" w:rsidRPr="00B52C0B" w:rsidRDefault="0084010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247" w:type="dxa"/>
                </w:tcPr>
                <w:p w14:paraId="7323A0CD" w14:textId="77777777" w:rsidR="00515A77" w:rsidRPr="00B52C0B" w:rsidRDefault="00515A77" w:rsidP="00515A77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  <w:lang w:val="fr-FR"/>
                    </w:rPr>
                    <w:t>Contain #N/A error.</w:t>
                  </w:r>
                </w:p>
                <w:p w14:paraId="38DCD8D3" w14:textId="77777777" w:rsidR="00515A77" w:rsidRPr="00B52C0B" w:rsidRDefault="00515A77" w:rsidP="00515A77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All these rows refer to “Capex synthetic costs - mains (smoothed)”</w:t>
                  </w:r>
                </w:p>
                <w:p w14:paraId="055AF6A8" w14:textId="77777777" w:rsidR="0084010A" w:rsidRPr="00B52C0B" w:rsidRDefault="0084010A" w:rsidP="00307D1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14:paraId="373E21D8" w14:textId="46BDF0FC" w:rsidR="001C72A4" w:rsidRPr="00B52C0B" w:rsidRDefault="001C72A4" w:rsidP="00D64880">
            <w:pPr>
              <w:rPr>
                <w:rFonts w:asciiTheme="minorHAnsi" w:hAnsi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9648AB" w:rsidRPr="009C3515" w14:paraId="373E21DC" w14:textId="77777777" w:rsidTr="00B52C0B">
        <w:trPr>
          <w:trHeight w:hRule="exact" w:val="397"/>
        </w:trPr>
        <w:tc>
          <w:tcPr>
            <w:tcW w:w="1560" w:type="dxa"/>
            <w:shd w:val="clear" w:color="auto" w:fill="auto"/>
          </w:tcPr>
          <w:p w14:paraId="373E21DA" w14:textId="0BEE60E0" w:rsidR="00A06191" w:rsidRPr="00B52C0B" w:rsidRDefault="00B61E2C" w:rsidP="00D6488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Confidential</w:t>
            </w:r>
            <w:r w:rsidR="00A0584E"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shd w:val="clear" w:color="auto" w:fill="auto"/>
          </w:tcPr>
          <w:p w14:paraId="373E21DB" w14:textId="5E8EA040" w:rsidR="00A06191" w:rsidRPr="00B52C0B" w:rsidRDefault="00B61E2C" w:rsidP="00D64880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</w:tr>
      <w:tr w:rsidR="00D46682" w:rsidRPr="009C3515" w14:paraId="5FA7EDFA" w14:textId="77777777" w:rsidTr="00B52C0B">
        <w:trPr>
          <w:trHeight w:hRule="exact" w:val="397"/>
        </w:trPr>
        <w:tc>
          <w:tcPr>
            <w:tcW w:w="1560" w:type="dxa"/>
            <w:shd w:val="clear" w:color="auto" w:fill="auto"/>
          </w:tcPr>
          <w:p w14:paraId="67F30DBE" w14:textId="5D181879" w:rsidR="00D46682" w:rsidRPr="00B52C0B" w:rsidRDefault="00D46682" w:rsidP="00D6488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>FDQ Raised by</w:t>
            </w:r>
          </w:p>
        </w:tc>
        <w:tc>
          <w:tcPr>
            <w:tcW w:w="9639" w:type="dxa"/>
            <w:shd w:val="clear" w:color="auto" w:fill="auto"/>
          </w:tcPr>
          <w:p w14:paraId="72631EF7" w14:textId="34774A3B" w:rsidR="00D46682" w:rsidRPr="00B52C0B" w:rsidRDefault="00D46682" w:rsidP="00D64880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>SGN</w:t>
            </w:r>
          </w:p>
        </w:tc>
      </w:tr>
      <w:tr w:rsidR="009648AB" w:rsidRPr="009C3515" w14:paraId="373E21DF" w14:textId="77777777" w:rsidTr="00B52C0B">
        <w:trPr>
          <w:trHeight w:hRule="exact" w:val="397"/>
        </w:trPr>
        <w:tc>
          <w:tcPr>
            <w:tcW w:w="1560" w:type="dxa"/>
            <w:shd w:val="clear" w:color="auto" w:fill="auto"/>
          </w:tcPr>
          <w:p w14:paraId="373E21DD" w14:textId="7073A150" w:rsidR="00A06191" w:rsidRPr="00B52C0B" w:rsidRDefault="00A06191" w:rsidP="00D6488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Date </w:t>
            </w:r>
            <w:r w:rsidR="00D64880"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>sent</w:t>
            </w:r>
          </w:p>
        </w:tc>
        <w:tc>
          <w:tcPr>
            <w:tcW w:w="9639" w:type="dxa"/>
            <w:shd w:val="clear" w:color="auto" w:fill="auto"/>
          </w:tcPr>
          <w:p w14:paraId="373E21DE" w14:textId="41272CC1" w:rsidR="00A06191" w:rsidRPr="00B52C0B" w:rsidRDefault="00307D1C" w:rsidP="00D64880">
            <w:pPr>
              <w:rPr>
                <w:rFonts w:asciiTheme="minorHAnsi" w:hAnsiTheme="minorHAnsi"/>
                <w:sz w:val="20"/>
                <w:szCs w:val="20"/>
              </w:rPr>
            </w:pPr>
            <w:r w:rsidRPr="00B52C0B">
              <w:rPr>
                <w:rFonts w:asciiTheme="minorHAnsi" w:hAnsiTheme="minorHAnsi"/>
                <w:sz w:val="20"/>
                <w:szCs w:val="20"/>
              </w:rPr>
              <w:t>07</w:t>
            </w:r>
            <w:r w:rsidR="006673BA" w:rsidRPr="00B52C0B">
              <w:rPr>
                <w:rFonts w:asciiTheme="minorHAnsi" w:hAnsiTheme="minorHAnsi"/>
                <w:sz w:val="20"/>
                <w:szCs w:val="20"/>
              </w:rPr>
              <w:t>/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>01</w:t>
            </w:r>
            <w:r w:rsidR="006673BA" w:rsidRPr="00B52C0B">
              <w:rPr>
                <w:rFonts w:asciiTheme="minorHAnsi" w:hAnsiTheme="minorHAnsi"/>
                <w:sz w:val="20"/>
                <w:szCs w:val="20"/>
              </w:rPr>
              <w:t>/202</w:t>
            </w:r>
            <w:r w:rsidRPr="00B52C0B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9648AB" w:rsidRPr="009C3515" w14:paraId="373E21F0" w14:textId="77777777" w:rsidTr="00B52C0B">
        <w:trPr>
          <w:trHeight w:val="2967"/>
        </w:trPr>
        <w:tc>
          <w:tcPr>
            <w:tcW w:w="11199" w:type="dxa"/>
            <w:gridSpan w:val="2"/>
            <w:shd w:val="clear" w:color="auto" w:fill="auto"/>
            <w:hideMark/>
          </w:tcPr>
          <w:p w14:paraId="42402ADD" w14:textId="7ABE462D" w:rsidR="002707B1" w:rsidRDefault="00D64880" w:rsidP="008E4E4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Ofgem </w:t>
            </w:r>
            <w:r w:rsidR="00133BD9" w:rsidRPr="00B52C0B">
              <w:rPr>
                <w:rFonts w:asciiTheme="minorHAnsi" w:hAnsiTheme="minorHAnsi"/>
                <w:b/>
                <w:bCs/>
                <w:sz w:val="20"/>
                <w:szCs w:val="20"/>
              </w:rPr>
              <w:t>Response:</w:t>
            </w:r>
          </w:p>
          <w:p w14:paraId="709714CC" w14:textId="4AA18CDD" w:rsidR="00880927" w:rsidRDefault="00880927" w:rsidP="008E4E42">
            <w:pPr>
              <w:rPr>
                <w:rFonts w:asciiTheme="minorHAnsi" w:hAnsiTheme="minorHAnsi"/>
                <w:sz w:val="20"/>
                <w:szCs w:val="20"/>
              </w:rPr>
            </w:pPr>
            <w:r w:rsidRPr="00880927">
              <w:rPr>
                <w:rFonts w:asciiTheme="minorHAnsi" w:hAnsiTheme="minorHAnsi"/>
                <w:sz w:val="20"/>
                <w:szCs w:val="20"/>
              </w:rPr>
              <w:t>Thank you for pointing out the discrepancies</w:t>
            </w:r>
            <w:r>
              <w:rPr>
                <w:rFonts w:asciiTheme="minorHAnsi" w:hAnsiTheme="minorHAnsi"/>
                <w:sz w:val="20"/>
                <w:szCs w:val="20"/>
              </w:rPr>
              <w:t>, which we believe are related to redactions made before sharing the updated models</w:t>
            </w:r>
            <w:r w:rsidRPr="00880927">
              <w:rPr>
                <w:rFonts w:asciiTheme="minorHAnsi" w:hAnsiTheme="minorHAnsi"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B6278">
              <w:rPr>
                <w:rFonts w:asciiTheme="minorHAnsi" w:hAnsiTheme="minorHAnsi"/>
                <w:sz w:val="20"/>
                <w:szCs w:val="20"/>
              </w:rPr>
              <w:t>We will share with all GDNs the full log of changes alongside the updated model run.</w:t>
            </w:r>
          </w:p>
          <w:p w14:paraId="7633F867" w14:textId="3538DCCC" w:rsidR="00880927" w:rsidRPr="00880927" w:rsidRDefault="00880927" w:rsidP="008E4E4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Please find here below our responses to the specific examples.</w:t>
            </w:r>
          </w:p>
          <w:p w14:paraId="22932D87" w14:textId="224AA092" w:rsidR="009A39D1" w:rsidRDefault="009A39D1" w:rsidP="009A39D1">
            <w:pPr>
              <w:pStyle w:val="Caption"/>
              <w:keepNext/>
            </w:pPr>
            <w:r>
              <w:t xml:space="preserve">Table </w:t>
            </w:r>
            <w:r w:rsidR="00551AFB">
              <w:fldChar w:fldCharType="begin"/>
            </w:r>
            <w:r w:rsidR="00551AFB">
              <w:instrText xml:space="preserve"> SEQ Table \* ARABIC </w:instrText>
            </w:r>
            <w:r w:rsidR="00551AFB">
              <w:fldChar w:fldCharType="separate"/>
            </w:r>
            <w:r>
              <w:rPr>
                <w:noProof/>
              </w:rPr>
              <w:t>1</w:t>
            </w:r>
            <w:r w:rsidR="00551AFB">
              <w:rPr>
                <w:noProof/>
              </w:rPr>
              <w:fldChar w:fldCharType="end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6"/>
              <w:gridCol w:w="2412"/>
              <w:gridCol w:w="1256"/>
              <w:gridCol w:w="2212"/>
              <w:gridCol w:w="1247"/>
              <w:gridCol w:w="2453"/>
            </w:tblGrid>
            <w:tr w:rsidR="00DB6278" w:rsidRPr="00B52C0B" w14:paraId="14B58E5B" w14:textId="212F5FB6" w:rsidTr="009A39D1">
              <w:tc>
                <w:tcPr>
                  <w:tcW w:w="1916" w:type="dxa"/>
                </w:tcPr>
                <w:p w14:paraId="1C514519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Files</w:t>
                  </w:r>
                </w:p>
              </w:tc>
              <w:tc>
                <w:tcPr>
                  <w:tcW w:w="2412" w:type="dxa"/>
                </w:tcPr>
                <w:p w14:paraId="74D49AEF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Tabs</w:t>
                  </w:r>
                </w:p>
              </w:tc>
              <w:tc>
                <w:tcPr>
                  <w:tcW w:w="1648" w:type="dxa"/>
                </w:tcPr>
                <w:p w14:paraId="1B48AE46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Cell range</w:t>
                  </w:r>
                </w:p>
              </w:tc>
              <w:tc>
                <w:tcPr>
                  <w:tcW w:w="2212" w:type="dxa"/>
                </w:tcPr>
                <w:p w14:paraId="4E527930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Content in Files released on 8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  <w:vertAlign w:val="superscript"/>
                    </w:rPr>
                    <w:t>th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 xml:space="preserve"> December</w:t>
                  </w:r>
                </w:p>
              </w:tc>
              <w:tc>
                <w:tcPr>
                  <w:tcW w:w="631" w:type="dxa"/>
                </w:tcPr>
                <w:p w14:paraId="4D000466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Content in files released on 22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  <w:vertAlign w:val="superscript"/>
                    </w:rPr>
                    <w:t>nd</w:t>
                  </w: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 xml:space="preserve"> December</w:t>
                  </w:r>
                </w:p>
              </w:tc>
              <w:tc>
                <w:tcPr>
                  <w:tcW w:w="2154" w:type="dxa"/>
                </w:tcPr>
                <w:p w14:paraId="3177807E" w14:textId="0DE3DC15" w:rsidR="009A39D1" w:rsidRPr="009A39D1" w:rsidRDefault="009A39D1" w:rsidP="009A39D1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A39D1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Response</w:t>
                  </w:r>
                </w:p>
              </w:tc>
            </w:tr>
            <w:tr w:rsidR="00DB6278" w:rsidRPr="00B52C0B" w14:paraId="4DE44300" w14:textId="50891E2A" w:rsidTr="009A39D1">
              <w:tc>
                <w:tcPr>
                  <w:tcW w:w="1916" w:type="dxa"/>
                </w:tcPr>
                <w:p w14:paraId="1422EF9C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EoE and WM Normalisation</w:t>
                  </w:r>
                </w:p>
              </w:tc>
              <w:tc>
                <w:tcPr>
                  <w:tcW w:w="2412" w:type="dxa"/>
                </w:tcPr>
                <w:p w14:paraId="1B4EF024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Cal_SubmittedCostsOEAdj</w:t>
                  </w:r>
                </w:p>
              </w:tc>
              <w:tc>
                <w:tcPr>
                  <w:tcW w:w="1648" w:type="dxa"/>
                </w:tcPr>
                <w:p w14:paraId="3E5F5EF5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Cells referring to Non-controllable opex (Y49:AK51 and Y133:AK135)</w:t>
                  </w:r>
                </w:p>
              </w:tc>
              <w:tc>
                <w:tcPr>
                  <w:tcW w:w="2212" w:type="dxa"/>
                </w:tcPr>
                <w:p w14:paraId="6BCABA96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The cells contain references to the tab Cal_SubmittedCost. E.g in cell Y49 the formula is Cal_SubmittedCosts!Y49</w:t>
                  </w:r>
                </w:p>
              </w:tc>
              <w:tc>
                <w:tcPr>
                  <w:tcW w:w="631" w:type="dxa"/>
                </w:tcPr>
                <w:p w14:paraId="5B6507AC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These cells are blank</w:t>
                  </w:r>
                </w:p>
              </w:tc>
              <w:tc>
                <w:tcPr>
                  <w:tcW w:w="2154" w:type="dxa"/>
                </w:tcPr>
                <w:p w14:paraId="37571A88" w14:textId="6E3FB2D8" w:rsidR="009A39D1" w:rsidRPr="00B52C0B" w:rsidRDefault="00DB6278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Redaction issue. </w:t>
                  </w: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The final model will refer to these costs as per 8 December publication.</w:t>
                  </w:r>
                </w:p>
              </w:tc>
            </w:tr>
            <w:tr w:rsidR="00DB6278" w:rsidRPr="00B52C0B" w14:paraId="1322E1FD" w14:textId="23A1B51D" w:rsidTr="009A39D1">
              <w:tc>
                <w:tcPr>
                  <w:tcW w:w="1916" w:type="dxa"/>
                </w:tcPr>
                <w:p w14:paraId="48EB37F5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All Normalisation files except for EoE</w:t>
                  </w:r>
                </w:p>
              </w:tc>
              <w:tc>
                <w:tcPr>
                  <w:tcW w:w="2412" w:type="dxa"/>
                </w:tcPr>
                <w:p w14:paraId="02CE8D7F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Inp_RepexBespokeTACosts</w:t>
                  </w:r>
                </w:p>
                <w:p w14:paraId="4916EC4C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648" w:type="dxa"/>
                </w:tcPr>
                <w:p w14:paraId="0F73EB11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G22</w:t>
                  </w:r>
                </w:p>
              </w:tc>
              <w:tc>
                <w:tcPr>
                  <w:tcW w:w="2212" w:type="dxa"/>
                </w:tcPr>
                <w:p w14:paraId="6D0DB248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The cell contains the value "TA - EoE_Rep_01"</w:t>
                  </w:r>
                </w:p>
              </w:tc>
              <w:tc>
                <w:tcPr>
                  <w:tcW w:w="631" w:type="dxa"/>
                </w:tcPr>
                <w:p w14:paraId="417D5C75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The cell contains the value "TA - Lowersoft"</w:t>
                  </w:r>
                </w:p>
                <w:p w14:paraId="0150C85A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54" w:type="dxa"/>
                </w:tcPr>
                <w:p w14:paraId="0DADEDFC" w14:textId="7E343655" w:rsidR="009A39D1" w:rsidRPr="00B52C0B" w:rsidRDefault="00DB6278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Redaction issue. The final model will refer to the Bespoke as per 8 December publication.</w:t>
                  </w:r>
                </w:p>
              </w:tc>
            </w:tr>
            <w:tr w:rsidR="00DB6278" w:rsidRPr="00B52C0B" w14:paraId="1D87AC66" w14:textId="648F84DB" w:rsidTr="009A39D1">
              <w:tc>
                <w:tcPr>
                  <w:tcW w:w="1916" w:type="dxa"/>
                </w:tcPr>
                <w:p w14:paraId="3C4470B7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/>
                      <w:sz w:val="20"/>
                      <w:szCs w:val="20"/>
                    </w:rPr>
                    <w:t>CSV_File</w:t>
                  </w:r>
                </w:p>
              </w:tc>
              <w:tc>
                <w:tcPr>
                  <w:tcW w:w="2412" w:type="dxa"/>
                </w:tcPr>
                <w:p w14:paraId="28A4FE9A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Out_CSVDrivers and Out_CSVAdjDrivers</w:t>
                  </w:r>
                </w:p>
              </w:tc>
              <w:tc>
                <w:tcPr>
                  <w:tcW w:w="1648" w:type="dxa"/>
                </w:tcPr>
                <w:p w14:paraId="5CC81B22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Y22:AK28</w:t>
                  </w:r>
                </w:p>
              </w:tc>
              <w:tc>
                <w:tcPr>
                  <w:tcW w:w="2212" w:type="dxa"/>
                </w:tcPr>
                <w:p w14:paraId="03C5C23E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Rows related to CSV Opex, CSV capex, CSV Business Support costs, CSV Totex (smoothed), CSV Emergency Econometric and CSV Customers are intentionally left blank</w:t>
                  </w:r>
                </w:p>
              </w:tc>
              <w:tc>
                <w:tcPr>
                  <w:tcW w:w="631" w:type="dxa"/>
                </w:tcPr>
                <w:p w14:paraId="54B984A9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These rows are filled with hardcoded values</w:t>
                  </w:r>
                </w:p>
                <w:p w14:paraId="6C2333D0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54" w:type="dxa"/>
                </w:tcPr>
                <w:p w14:paraId="70E8BB1E" w14:textId="339922D5" w:rsidR="009A39D1" w:rsidRPr="00B52C0B" w:rsidRDefault="00DB6278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Redaction issue – we intentionally left </w:t>
                  </w:r>
                  <w:r w:rsidR="00D604CD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blank cells referring to </w:t>
                  </w:r>
                  <w:r w:rsidR="00551AF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obsolete </w:t>
                  </w: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drivers</w:t>
                  </w:r>
                  <w:r w:rsidR="00D604CD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 (</w:t>
                  </w:r>
                  <w:r w:rsidR="00D604CD"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CSV Opex, CSV capex, CSV Business Support costs, CSV </w:t>
                  </w:r>
                  <w:r w:rsidR="00D604CD" w:rsidRPr="00D604CD">
                    <w:rPr>
                      <w:rFonts w:asciiTheme="minorHAnsi" w:hAnsiTheme="minorHAnsi" w:cs="Arial"/>
                      <w:i/>
                      <w:iCs/>
                      <w:color w:val="37424A"/>
                      <w:sz w:val="20"/>
                      <w:szCs w:val="20"/>
                    </w:rPr>
                    <w:t>Capex</w:t>
                  </w:r>
                  <w:r w:rsidR="00D604CD"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 (smoothed), CSV Emergency Econometric and CSV Customers</w:t>
                  </w:r>
                  <w:r w:rsidR="00D604CD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)</w:t>
                  </w: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. The final model will </w:t>
                  </w:r>
                  <w:r w:rsidR="00D604CD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have these drivers blanked out</w:t>
                  </w: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 as per 8 December publication.</w:t>
                  </w:r>
                </w:p>
              </w:tc>
            </w:tr>
            <w:tr w:rsidR="00DB6278" w:rsidRPr="00B52C0B" w14:paraId="5B31DA5E" w14:textId="2B5F6DE1" w:rsidTr="009A39D1">
              <w:tc>
                <w:tcPr>
                  <w:tcW w:w="1916" w:type="dxa"/>
                </w:tcPr>
                <w:p w14:paraId="78ED8604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CostAssessment_File</w:t>
                  </w:r>
                </w:p>
              </w:tc>
              <w:tc>
                <w:tcPr>
                  <w:tcW w:w="2412" w:type="dxa"/>
                </w:tcPr>
                <w:p w14:paraId="4B3B33CD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Inp_Drivers and Inp_AdjDrivers</w:t>
                  </w:r>
                </w:p>
              </w:tc>
              <w:tc>
                <w:tcPr>
                  <w:tcW w:w="1648" w:type="dxa"/>
                </w:tcPr>
                <w:p w14:paraId="393F0C20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T35:AK35</w:t>
                  </w:r>
                </w:p>
                <w:p w14:paraId="42C0FA7F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Y36:AK36</w:t>
                  </w:r>
                </w:p>
                <w:p w14:paraId="0056AFEF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T68:AK68</w:t>
                  </w:r>
                </w:p>
                <w:p w14:paraId="18A8167A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Y69:AK69</w:t>
                  </w:r>
                </w:p>
                <w:p w14:paraId="03731813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T101:AK101</w:t>
                  </w:r>
                </w:p>
                <w:p w14:paraId="716F32E6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Y102:AK102</w:t>
                  </w:r>
                </w:p>
                <w:p w14:paraId="52009513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T134:AK134</w:t>
                  </w:r>
                </w:p>
                <w:p w14:paraId="7B63DF21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Y135:AK135</w:t>
                  </w:r>
                </w:p>
                <w:p w14:paraId="4173DE0A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lastRenderedPageBreak/>
                    <w:t>T167:AK167</w:t>
                  </w:r>
                </w:p>
                <w:p w14:paraId="1519F296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Y168:AK168</w:t>
                  </w:r>
                </w:p>
                <w:p w14:paraId="1F7C2CE0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T200:AK200</w:t>
                  </w:r>
                </w:p>
                <w:p w14:paraId="79D252AE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Y202:AK202</w:t>
                  </w:r>
                </w:p>
                <w:p w14:paraId="14BADE17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T233:AK233</w:t>
                  </w:r>
                </w:p>
                <w:p w14:paraId="5FE6DC04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Y234:AK234</w:t>
                  </w:r>
                </w:p>
                <w:p w14:paraId="3693601E" w14:textId="77777777" w:rsidR="009A39D1" w:rsidRPr="00B52C0B" w:rsidRDefault="009A39D1" w:rsidP="009A39D1">
                  <w:pP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T266:AK266</w:t>
                  </w:r>
                </w:p>
                <w:p w14:paraId="4EDB307F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Y267:AK267</w:t>
                  </w:r>
                </w:p>
              </w:tc>
              <w:tc>
                <w:tcPr>
                  <w:tcW w:w="2212" w:type="dxa"/>
                </w:tcPr>
                <w:p w14:paraId="49E04A8F" w14:textId="77777777" w:rsidR="009A39D1" w:rsidRPr="00B52C0B" w:rsidRDefault="009A39D1" w:rsidP="009A39D1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  <w:lang w:val="fr-FR"/>
                    </w:rPr>
                    <w:lastRenderedPageBreak/>
                    <w:t>Contain hardcoded values.</w:t>
                  </w:r>
                </w:p>
                <w:p w14:paraId="3C99224C" w14:textId="77777777" w:rsidR="009A39D1" w:rsidRPr="00B52C0B" w:rsidRDefault="009A39D1" w:rsidP="009A39D1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>All these rows refer to “Capex Synthetic Costs - MainsSmooth7years”.</w:t>
                  </w:r>
                </w:p>
                <w:p w14:paraId="59C588FC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631" w:type="dxa"/>
                </w:tcPr>
                <w:p w14:paraId="0A25216A" w14:textId="77777777" w:rsidR="009A39D1" w:rsidRPr="00B52C0B" w:rsidRDefault="009A39D1" w:rsidP="009A39D1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  <w:lang w:val="fr-FR"/>
                    </w:rPr>
                    <w:t>Contain #N/A error.</w:t>
                  </w:r>
                </w:p>
                <w:p w14:paraId="4D7F8845" w14:textId="77777777" w:rsidR="009A39D1" w:rsidRPr="00B52C0B" w:rsidRDefault="009A39D1" w:rsidP="009A39D1">
                  <w:pPr>
                    <w:jc w:val="righ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t xml:space="preserve">All these rows refer to “Capex synthetic costs - </w:t>
                  </w:r>
                  <w:r w:rsidRPr="00B52C0B"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</w:rPr>
                    <w:lastRenderedPageBreak/>
                    <w:t>mains (smoothed)”</w:t>
                  </w:r>
                </w:p>
                <w:p w14:paraId="309B91B7" w14:textId="77777777" w:rsidR="009A39D1" w:rsidRPr="00B52C0B" w:rsidRDefault="009A39D1" w:rsidP="009A39D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54" w:type="dxa"/>
                </w:tcPr>
                <w:p w14:paraId="07070D82" w14:textId="71CC8F0F" w:rsidR="009A39D1" w:rsidRPr="00B52C0B" w:rsidRDefault="00DB6278" w:rsidP="009A39D1">
                  <w:pPr>
                    <w:jc w:val="right"/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  <w:lang w:val="fr-FR"/>
                    </w:rPr>
                    <w:lastRenderedPageBreak/>
                    <w:t>Issue related to redactions in the GD2_SyntheticCosts file. Replacing it with the file shared on the 4th of January 2021 (</w:t>
                  </w:r>
                  <w:r w:rsidRPr="00DB6278">
                    <w:rPr>
                      <w:rFonts w:asciiTheme="minorHAnsi" w:hAnsiTheme="minorHAnsi" w:cs="Arial"/>
                      <w:i/>
                      <w:iCs/>
                      <w:color w:val="37424A"/>
                      <w:sz w:val="20"/>
                      <w:szCs w:val="20"/>
                      <w:lang w:val="fr-FR"/>
                    </w:rPr>
                    <w:t>GD2_SyntheticCosts_fixed</w:t>
                  </w:r>
                  <w:r>
                    <w:rPr>
                      <w:rFonts w:asciiTheme="minorHAnsi" w:hAnsiTheme="minorHAnsi" w:cs="Arial"/>
                      <w:color w:val="37424A"/>
                      <w:sz w:val="20"/>
                      <w:szCs w:val="20"/>
                      <w:lang w:val="fr-FR"/>
                    </w:rPr>
                    <w:t>) should have solved the issue.</w:t>
                  </w:r>
                </w:p>
              </w:tc>
            </w:tr>
          </w:tbl>
          <w:p w14:paraId="373E21EF" w14:textId="5C46D158" w:rsidR="006B189E" w:rsidRPr="00B52C0B" w:rsidRDefault="006B189E" w:rsidP="00307D1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8AB" w:rsidRPr="009C3515" w14:paraId="373E21F2" w14:textId="77777777" w:rsidTr="00B52C0B">
        <w:trPr>
          <w:trHeight w:val="2226"/>
        </w:trPr>
        <w:tc>
          <w:tcPr>
            <w:tcW w:w="11199" w:type="dxa"/>
            <w:gridSpan w:val="2"/>
            <w:shd w:val="clear" w:color="auto" w:fill="auto"/>
            <w:noWrap/>
            <w:hideMark/>
          </w:tcPr>
          <w:p w14:paraId="46D85077" w14:textId="353C527A" w:rsidR="00133BD9" w:rsidRDefault="00AC6418" w:rsidP="008E4E42">
            <w:pPr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</w:pPr>
            <w:r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lastRenderedPageBreak/>
              <w:t>A</w:t>
            </w:r>
            <w:r w:rsidR="00133BD9"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 xml:space="preserve">ttachments: </w:t>
            </w:r>
          </w:p>
          <w:p w14:paraId="6634E87C" w14:textId="4DF04DB6" w:rsidR="009C3515" w:rsidRPr="000226BA" w:rsidRDefault="009C3515" w:rsidP="008E4E42">
            <w:pPr>
              <w:rPr>
                <w:rFonts w:asciiTheme="minorHAnsi" w:hAnsiTheme="minorHAnsi"/>
                <w:szCs w:val="24"/>
              </w:rPr>
            </w:pPr>
          </w:p>
          <w:p w14:paraId="373E21F1" w14:textId="0D058296" w:rsidR="00133BD9" w:rsidRPr="009C3515" w:rsidRDefault="00133BD9" w:rsidP="008E4E42">
            <w:pPr>
              <w:rPr>
                <w:rFonts w:asciiTheme="minorHAnsi" w:hAnsiTheme="minorHAnsi"/>
                <w:szCs w:val="24"/>
                <w:lang w:eastAsia="en-GB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041FB" w14:textId="77777777" w:rsidR="005E6F7A" w:rsidRDefault="005E6F7A" w:rsidP="00526623">
      <w:pPr>
        <w:spacing w:after="0" w:line="240" w:lineRule="auto"/>
      </w:pPr>
      <w:r>
        <w:separator/>
      </w:r>
    </w:p>
  </w:endnote>
  <w:endnote w:type="continuationSeparator" w:id="0">
    <w:p w14:paraId="780417AC" w14:textId="77777777" w:rsidR="005E6F7A" w:rsidRDefault="005E6F7A" w:rsidP="00526623">
      <w:pPr>
        <w:spacing w:after="0" w:line="240" w:lineRule="auto"/>
      </w:pPr>
      <w:r>
        <w:continuationSeparator/>
      </w:r>
    </w:p>
  </w:endnote>
  <w:endnote w:type="continuationNotice" w:id="1">
    <w:p w14:paraId="2045ABF8" w14:textId="77777777" w:rsidR="005E6F7A" w:rsidRDefault="005E6F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161CE" w14:textId="1CF3EC10" w:rsidR="00FE2BBC" w:rsidRDefault="00FE2B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B3EF4A" wp14:editId="542C2B3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36c648cd851ed6e27e8ed0ef" descr="{&quot;HashCode&quot;:11616191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3A2327" w14:textId="19BE7ED0" w:rsidR="00FE2BBC" w:rsidRPr="002E1A79" w:rsidRDefault="002E1A79" w:rsidP="002E1A7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2E1A79">
                            <w:rPr>
                              <w:color w:val="000000"/>
                              <w:sz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3EF4A" id="_x0000_t202" coordsize="21600,21600" o:spt="202" path="m,l,21600r21600,l21600,xe">
              <v:stroke joinstyle="miter"/>
              <v:path gradientshapeok="t" o:connecttype="rect"/>
            </v:shapetype>
            <v:shape id="MSIPCM36c648cd851ed6e27e8ed0ef" o:spid="_x0000_s1026" type="#_x0000_t202" alt="{&quot;HashCode&quot;:1161619106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" o:allowincell="f" filled="f" stroked="f" strokeweight=".5pt">
              <v:textbox inset="20pt,0,,0">
                <w:txbxContent>
                  <w:p w14:paraId="5C3A2327" w14:textId="19BE7ED0" w:rsidR="00FE2BBC" w:rsidRPr="002E1A79" w:rsidRDefault="002E1A79" w:rsidP="002E1A7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2E1A79">
                      <w:rPr>
                        <w:color w:val="000000"/>
                        <w:sz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3122E" w14:textId="77777777" w:rsidR="005E6F7A" w:rsidRDefault="005E6F7A" w:rsidP="00526623">
      <w:pPr>
        <w:spacing w:after="0" w:line="240" w:lineRule="auto"/>
      </w:pPr>
      <w:r>
        <w:separator/>
      </w:r>
    </w:p>
  </w:footnote>
  <w:footnote w:type="continuationSeparator" w:id="0">
    <w:p w14:paraId="3AF17207" w14:textId="77777777" w:rsidR="005E6F7A" w:rsidRDefault="005E6F7A" w:rsidP="00526623">
      <w:pPr>
        <w:spacing w:after="0" w:line="240" w:lineRule="auto"/>
      </w:pPr>
      <w:r>
        <w:continuationSeparator/>
      </w:r>
    </w:p>
  </w:footnote>
  <w:footnote w:type="continuationNotice" w:id="1">
    <w:p w14:paraId="1647CE6E" w14:textId="77777777" w:rsidR="005E6F7A" w:rsidRDefault="005E6F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F4C17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F6FCD"/>
    <w:multiLevelType w:val="hybridMultilevel"/>
    <w:tmpl w:val="FAA41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5238"/>
    <w:multiLevelType w:val="multilevel"/>
    <w:tmpl w:val="E398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7A0CB8"/>
    <w:multiLevelType w:val="hybridMultilevel"/>
    <w:tmpl w:val="53A42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6224F"/>
    <w:multiLevelType w:val="hybridMultilevel"/>
    <w:tmpl w:val="26226B72"/>
    <w:lvl w:ilvl="0" w:tplc="11F67B42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F0080E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A10E9"/>
    <w:multiLevelType w:val="hybridMultilevel"/>
    <w:tmpl w:val="E6805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C0E60"/>
    <w:multiLevelType w:val="multilevel"/>
    <w:tmpl w:val="5666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9727FA5"/>
    <w:multiLevelType w:val="hybridMultilevel"/>
    <w:tmpl w:val="829AC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4415B"/>
    <w:multiLevelType w:val="multilevel"/>
    <w:tmpl w:val="1F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2801"/>
    <w:rsid w:val="00007AB6"/>
    <w:rsid w:val="000226BA"/>
    <w:rsid w:val="00030B52"/>
    <w:rsid w:val="000436C2"/>
    <w:rsid w:val="0004747B"/>
    <w:rsid w:val="000511F1"/>
    <w:rsid w:val="000612BD"/>
    <w:rsid w:val="000D7C5B"/>
    <w:rsid w:val="000E4769"/>
    <w:rsid w:val="0010126C"/>
    <w:rsid w:val="00133BD9"/>
    <w:rsid w:val="00133CFC"/>
    <w:rsid w:val="00146532"/>
    <w:rsid w:val="0017052A"/>
    <w:rsid w:val="001C62F1"/>
    <w:rsid w:val="001C72A4"/>
    <w:rsid w:val="001D6422"/>
    <w:rsid w:val="001E3F1E"/>
    <w:rsid w:val="001F4B77"/>
    <w:rsid w:val="00206D5F"/>
    <w:rsid w:val="00211B9A"/>
    <w:rsid w:val="00236BC6"/>
    <w:rsid w:val="00237FF8"/>
    <w:rsid w:val="00252F94"/>
    <w:rsid w:val="00266B32"/>
    <w:rsid w:val="002707B1"/>
    <w:rsid w:val="00291D51"/>
    <w:rsid w:val="002968B8"/>
    <w:rsid w:val="002A4AD8"/>
    <w:rsid w:val="002B461F"/>
    <w:rsid w:val="002B4955"/>
    <w:rsid w:val="002B5B44"/>
    <w:rsid w:val="002C0591"/>
    <w:rsid w:val="002E1A79"/>
    <w:rsid w:val="003043A4"/>
    <w:rsid w:val="00307D1C"/>
    <w:rsid w:val="003334B6"/>
    <w:rsid w:val="0033621D"/>
    <w:rsid w:val="003452B0"/>
    <w:rsid w:val="00363BFA"/>
    <w:rsid w:val="00377CF9"/>
    <w:rsid w:val="003B3576"/>
    <w:rsid w:val="003D5173"/>
    <w:rsid w:val="004A587A"/>
    <w:rsid w:val="004E108D"/>
    <w:rsid w:val="00503895"/>
    <w:rsid w:val="00515A77"/>
    <w:rsid w:val="00526623"/>
    <w:rsid w:val="00526A8E"/>
    <w:rsid w:val="00551AFB"/>
    <w:rsid w:val="005841DF"/>
    <w:rsid w:val="005A506C"/>
    <w:rsid w:val="005D6B70"/>
    <w:rsid w:val="005E2894"/>
    <w:rsid w:val="005E6F7A"/>
    <w:rsid w:val="0060723D"/>
    <w:rsid w:val="0064307E"/>
    <w:rsid w:val="00650F0F"/>
    <w:rsid w:val="00660A18"/>
    <w:rsid w:val="006673BA"/>
    <w:rsid w:val="00667958"/>
    <w:rsid w:val="0067557A"/>
    <w:rsid w:val="006847DA"/>
    <w:rsid w:val="006B189E"/>
    <w:rsid w:val="006C7910"/>
    <w:rsid w:val="006E21C8"/>
    <w:rsid w:val="0072799D"/>
    <w:rsid w:val="007649AC"/>
    <w:rsid w:val="00774C6F"/>
    <w:rsid w:val="007772F0"/>
    <w:rsid w:val="00795DFE"/>
    <w:rsid w:val="007974DA"/>
    <w:rsid w:val="007A508F"/>
    <w:rsid w:val="007B29A9"/>
    <w:rsid w:val="007B79B4"/>
    <w:rsid w:val="007D7648"/>
    <w:rsid w:val="0082375A"/>
    <w:rsid w:val="00831C40"/>
    <w:rsid w:val="008364B9"/>
    <w:rsid w:val="0084010A"/>
    <w:rsid w:val="0085400C"/>
    <w:rsid w:val="00880927"/>
    <w:rsid w:val="008870B4"/>
    <w:rsid w:val="00894699"/>
    <w:rsid w:val="008B3636"/>
    <w:rsid w:val="008B4E52"/>
    <w:rsid w:val="008B5B48"/>
    <w:rsid w:val="008C5A35"/>
    <w:rsid w:val="008D1E15"/>
    <w:rsid w:val="008E4E42"/>
    <w:rsid w:val="0092194A"/>
    <w:rsid w:val="00924DEC"/>
    <w:rsid w:val="00932D6C"/>
    <w:rsid w:val="009344A8"/>
    <w:rsid w:val="00942721"/>
    <w:rsid w:val="009452E6"/>
    <w:rsid w:val="00945C7C"/>
    <w:rsid w:val="009648AB"/>
    <w:rsid w:val="00970AF3"/>
    <w:rsid w:val="009A106C"/>
    <w:rsid w:val="009A12AB"/>
    <w:rsid w:val="009A39D1"/>
    <w:rsid w:val="009C2523"/>
    <w:rsid w:val="009C3515"/>
    <w:rsid w:val="009F792E"/>
    <w:rsid w:val="00A054D1"/>
    <w:rsid w:val="00A0584E"/>
    <w:rsid w:val="00A06191"/>
    <w:rsid w:val="00A16138"/>
    <w:rsid w:val="00A24870"/>
    <w:rsid w:val="00A45AE8"/>
    <w:rsid w:val="00A7408A"/>
    <w:rsid w:val="00A908F0"/>
    <w:rsid w:val="00A922CF"/>
    <w:rsid w:val="00A92FE7"/>
    <w:rsid w:val="00AC6418"/>
    <w:rsid w:val="00AE75F0"/>
    <w:rsid w:val="00B139FB"/>
    <w:rsid w:val="00B3789D"/>
    <w:rsid w:val="00B52C0B"/>
    <w:rsid w:val="00B52DD8"/>
    <w:rsid w:val="00B61E2C"/>
    <w:rsid w:val="00B82400"/>
    <w:rsid w:val="00B90E05"/>
    <w:rsid w:val="00BA3D39"/>
    <w:rsid w:val="00BA4154"/>
    <w:rsid w:val="00BB2D72"/>
    <w:rsid w:val="00BB682C"/>
    <w:rsid w:val="00BD17AF"/>
    <w:rsid w:val="00BE1862"/>
    <w:rsid w:val="00C05030"/>
    <w:rsid w:val="00C24DD5"/>
    <w:rsid w:val="00C251D2"/>
    <w:rsid w:val="00C2668F"/>
    <w:rsid w:val="00C50E94"/>
    <w:rsid w:val="00C57345"/>
    <w:rsid w:val="00C87C24"/>
    <w:rsid w:val="00CA4297"/>
    <w:rsid w:val="00CC7214"/>
    <w:rsid w:val="00CE2AD3"/>
    <w:rsid w:val="00CF0FC9"/>
    <w:rsid w:val="00D46682"/>
    <w:rsid w:val="00D604CD"/>
    <w:rsid w:val="00D6131F"/>
    <w:rsid w:val="00D64880"/>
    <w:rsid w:val="00D70B5D"/>
    <w:rsid w:val="00D80958"/>
    <w:rsid w:val="00DB6278"/>
    <w:rsid w:val="00DB6C52"/>
    <w:rsid w:val="00DD5C3D"/>
    <w:rsid w:val="00E040EA"/>
    <w:rsid w:val="00E06AF2"/>
    <w:rsid w:val="00E24166"/>
    <w:rsid w:val="00E35F6A"/>
    <w:rsid w:val="00E441B8"/>
    <w:rsid w:val="00E44772"/>
    <w:rsid w:val="00E525E0"/>
    <w:rsid w:val="00EA7BB8"/>
    <w:rsid w:val="00EC1633"/>
    <w:rsid w:val="00EC5F6F"/>
    <w:rsid w:val="00ED43FF"/>
    <w:rsid w:val="00ED7C76"/>
    <w:rsid w:val="00F129C1"/>
    <w:rsid w:val="00F23B18"/>
    <w:rsid w:val="00F252B9"/>
    <w:rsid w:val="00F33946"/>
    <w:rsid w:val="00F678C1"/>
    <w:rsid w:val="00F76EF3"/>
    <w:rsid w:val="00F92344"/>
    <w:rsid w:val="00FB0EC9"/>
    <w:rsid w:val="00FC3EC9"/>
    <w:rsid w:val="00FC7E9B"/>
    <w:rsid w:val="00FE2BBC"/>
    <w:rsid w:val="0100415F"/>
    <w:rsid w:val="01DC002D"/>
    <w:rsid w:val="04B010ED"/>
    <w:rsid w:val="06BE1B1F"/>
    <w:rsid w:val="096842FC"/>
    <w:rsid w:val="09FB251E"/>
    <w:rsid w:val="0AC8886D"/>
    <w:rsid w:val="0C2530C3"/>
    <w:rsid w:val="0EFF598C"/>
    <w:rsid w:val="0F5FFD80"/>
    <w:rsid w:val="10B92188"/>
    <w:rsid w:val="1174C5E4"/>
    <w:rsid w:val="11BDBF97"/>
    <w:rsid w:val="1471BF42"/>
    <w:rsid w:val="18FBCF7A"/>
    <w:rsid w:val="198CCB76"/>
    <w:rsid w:val="1A0D19BB"/>
    <w:rsid w:val="1D1F6BE6"/>
    <w:rsid w:val="1FE97776"/>
    <w:rsid w:val="202FDC83"/>
    <w:rsid w:val="20DDBA11"/>
    <w:rsid w:val="23A738CC"/>
    <w:rsid w:val="24A32C4D"/>
    <w:rsid w:val="287F1024"/>
    <w:rsid w:val="289F14A9"/>
    <w:rsid w:val="2BF2C030"/>
    <w:rsid w:val="2C7CB212"/>
    <w:rsid w:val="2CDE062F"/>
    <w:rsid w:val="2FFAC0CC"/>
    <w:rsid w:val="306CB683"/>
    <w:rsid w:val="33CD17B0"/>
    <w:rsid w:val="3422F52B"/>
    <w:rsid w:val="376A9B59"/>
    <w:rsid w:val="3AA8081E"/>
    <w:rsid w:val="3B76FF0A"/>
    <w:rsid w:val="3B8CC5CE"/>
    <w:rsid w:val="3D33F8E9"/>
    <w:rsid w:val="3F185966"/>
    <w:rsid w:val="41822654"/>
    <w:rsid w:val="42A8890F"/>
    <w:rsid w:val="4302B032"/>
    <w:rsid w:val="44864820"/>
    <w:rsid w:val="44C1124C"/>
    <w:rsid w:val="453707B0"/>
    <w:rsid w:val="4553DA0D"/>
    <w:rsid w:val="4563E165"/>
    <w:rsid w:val="4747D3C5"/>
    <w:rsid w:val="483E9407"/>
    <w:rsid w:val="48739C6D"/>
    <w:rsid w:val="48DFAF18"/>
    <w:rsid w:val="4B132572"/>
    <w:rsid w:val="500493CF"/>
    <w:rsid w:val="52BCA5FD"/>
    <w:rsid w:val="52E696C5"/>
    <w:rsid w:val="5462FC3F"/>
    <w:rsid w:val="54B79C6F"/>
    <w:rsid w:val="55B5E258"/>
    <w:rsid w:val="56716255"/>
    <w:rsid w:val="576A7B44"/>
    <w:rsid w:val="583B038F"/>
    <w:rsid w:val="5853F9AD"/>
    <w:rsid w:val="58B8B27D"/>
    <w:rsid w:val="59BC19BB"/>
    <w:rsid w:val="5A1DF27E"/>
    <w:rsid w:val="5EE80E45"/>
    <w:rsid w:val="629B6614"/>
    <w:rsid w:val="63967A8F"/>
    <w:rsid w:val="64C350C5"/>
    <w:rsid w:val="64EA0A95"/>
    <w:rsid w:val="65C24675"/>
    <w:rsid w:val="67889BDE"/>
    <w:rsid w:val="699117E2"/>
    <w:rsid w:val="69DB2AD4"/>
    <w:rsid w:val="6BD45ED3"/>
    <w:rsid w:val="6C4AF655"/>
    <w:rsid w:val="6C6E0A79"/>
    <w:rsid w:val="6DEA0DDE"/>
    <w:rsid w:val="6EADD0A5"/>
    <w:rsid w:val="70DD3272"/>
    <w:rsid w:val="71AD888F"/>
    <w:rsid w:val="71D68968"/>
    <w:rsid w:val="71EEC7EE"/>
    <w:rsid w:val="72CA5AD2"/>
    <w:rsid w:val="73F30BCE"/>
    <w:rsid w:val="74246113"/>
    <w:rsid w:val="74686D2C"/>
    <w:rsid w:val="7706127E"/>
    <w:rsid w:val="7816FA20"/>
    <w:rsid w:val="78D848DE"/>
    <w:rsid w:val="7B2792B6"/>
    <w:rsid w:val="7BE464CE"/>
    <w:rsid w:val="7C6583D8"/>
    <w:rsid w:val="7F3A0EE6"/>
    <w:rsid w:val="7FD5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D6E67A22-D389-4801-9D0D-1FE635D7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6BA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26BA"/>
    <w:pPr>
      <w:keepNext/>
      <w:keepLines/>
      <w:spacing w:before="240" w:after="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6BA"/>
    <w:pPr>
      <w:keepNext/>
      <w:keepLines/>
      <w:spacing w:before="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648AB"/>
    <w:rPr>
      <w:color w:val="0563C1"/>
      <w:u w:val="single"/>
    </w:rPr>
  </w:style>
  <w:style w:type="table" w:styleId="TableGrid">
    <w:name w:val="Table Grid"/>
    <w:basedOn w:val="TableNormal"/>
    <w:uiPriority w:val="59"/>
    <w:rsid w:val="001C7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F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226BA"/>
    <w:pPr>
      <w:spacing w:after="0" w:line="240" w:lineRule="auto"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uiPriority w:val="9"/>
    <w:rsid w:val="000226BA"/>
    <w:rPr>
      <w:rFonts w:ascii="Calibri" w:eastAsiaTheme="majorEastAsia" w:hAnsi="Calibr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6BA"/>
    <w:rPr>
      <w:rFonts w:ascii="Calibri" w:eastAsiaTheme="majorEastAsia" w:hAnsi="Calibr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226BA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6BA"/>
    <w:rPr>
      <w:rFonts w:ascii="Calibri" w:eastAsiaTheme="majorEastAsia" w:hAnsi="Calibr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6B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226B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0226BA"/>
    <w:rPr>
      <w:rFonts w:ascii="Calibri" w:hAnsi="Calibri"/>
      <w:b/>
      <w:i/>
      <w:iCs/>
      <w:color w:val="404040" w:themeColor="text1" w:themeTint="BF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9A39D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0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04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04CD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04CD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2015-07-27T23:00:00+00:00</Publication_x0020_Date_x003a_>
    <Organisation xmlns="631298fc-6a88-4548-b7d9-3b164918c4a3">Choose an Organisation</Organis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B4CE507-BF8E-43F9-927A-A8163737B8B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dcmitype/"/>
    <ds:schemaRef ds:uri="631298fc-6a88-4548-b7d9-3b164918c4a3"/>
    <ds:schemaRef ds:uri="http://purl.org/dc/terms/"/>
    <ds:schemaRef ds:uri="http://purl.org/dc/elements/1.1/"/>
    <ds:schemaRef ds:uri="http://schemas.microsoft.com/sharepoint/v3/field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699E9-BA1D-401A-8F4F-2DF10535C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B9A1C7-B44E-4876-A472-91F9541CE5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keywords/>
  <cp:lastModifiedBy>Teresa Romano</cp:lastModifiedBy>
  <cp:revision>8</cp:revision>
  <dcterms:created xsi:type="dcterms:W3CDTF">2021-01-07T17:37:00Z</dcterms:created>
  <dcterms:modified xsi:type="dcterms:W3CDTF">2021-01-11T14:12:00Z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af03f640-bcf5-424a-a0ff-f69a223f3df1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1e7ee7c0-1b23-4192-821d-a3aec519f229_Enabled">
    <vt:lpwstr>true</vt:lpwstr>
  </property>
  <property fmtid="{D5CDD505-2E9C-101B-9397-08002B2CF9AE}" pid="36" name="MSIP_Label_1e7ee7c0-1b23-4192-821d-a3aec519f229_SetDate">
    <vt:lpwstr>2020-12-02T08:05:08Z</vt:lpwstr>
  </property>
  <property fmtid="{D5CDD505-2E9C-101B-9397-08002B2CF9AE}" pid="37" name="MSIP_Label_1e7ee7c0-1b23-4192-821d-a3aec519f229_Method">
    <vt:lpwstr>Privileged</vt:lpwstr>
  </property>
  <property fmtid="{D5CDD505-2E9C-101B-9397-08002B2CF9AE}" pid="38" name="MSIP_Label_1e7ee7c0-1b23-4192-821d-a3aec519f229_Name">
    <vt:lpwstr>1e7ee7c0-1b23-4192-821d-a3aec519f229</vt:lpwstr>
  </property>
  <property fmtid="{D5CDD505-2E9C-101B-9397-08002B2CF9AE}" pid="39" name="MSIP_Label_1e7ee7c0-1b23-4192-821d-a3aec519f229_SiteId">
    <vt:lpwstr>b9563cbc-9874-41ab-b448-7e0f61aff3eb</vt:lpwstr>
  </property>
  <property fmtid="{D5CDD505-2E9C-101B-9397-08002B2CF9AE}" pid="40" name="MSIP_Label_1e7ee7c0-1b23-4192-821d-a3aec519f229_ActionId">
    <vt:lpwstr>f1508219-a745-40c1-8c5a-0000659a600d</vt:lpwstr>
  </property>
  <property fmtid="{D5CDD505-2E9C-101B-9397-08002B2CF9AE}" pid="41" name="MSIP_Label_1e7ee7c0-1b23-4192-821d-a3aec519f229_ContentBits">
    <vt:lpwstr>2</vt:lpwstr>
  </property>
  <property fmtid="{D5CDD505-2E9C-101B-9397-08002B2CF9AE}" pid="42" name="bjClsUserRVM">
    <vt:lpwstr>[]</vt:lpwstr>
  </property>
</Properties>
</file>