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40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"/>
        <w:gridCol w:w="20"/>
        <w:gridCol w:w="2282"/>
        <w:gridCol w:w="7655"/>
        <w:gridCol w:w="1234"/>
        <w:gridCol w:w="5996"/>
      </w:tblGrid>
      <w:tr w:rsidR="00133BD9" w:rsidRPr="00876240" w14:paraId="61F9F1D2" w14:textId="77777777" w:rsidTr="00C60EDD">
        <w:trPr>
          <w:gridAfter w:val="1"/>
          <w:wAfter w:w="5996" w:type="dxa"/>
          <w:trHeight w:val="315"/>
        </w:trPr>
        <w:tc>
          <w:tcPr>
            <w:tcW w:w="114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0998" w14:textId="77777777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5343327C" w14:textId="77777777" w:rsidTr="00C60EDD">
        <w:trPr>
          <w:gridBefore w:val="1"/>
          <w:gridAfter w:val="2"/>
          <w:wBefore w:w="216" w:type="dxa"/>
          <w:wAfter w:w="7230" w:type="dxa"/>
          <w:trHeight w:val="315"/>
        </w:trPr>
        <w:tc>
          <w:tcPr>
            <w:tcW w:w="995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EAD1" w14:textId="77777777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3DAB8809" w14:textId="77777777" w:rsidTr="003D7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53F4A1BA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D3EE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1FD34" w14:textId="04307019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CADENT_FDQ_ </w:t>
            </w:r>
            <w:r w:rsidR="00506B00">
              <w:rPr>
                <w:rFonts w:ascii="Arial" w:hAnsi="Arial" w:cs="Arial"/>
                <w:sz w:val="20"/>
                <w:szCs w:val="20"/>
                <w:lang w:eastAsia="en-US"/>
              </w:rPr>
              <w:t>27</w:t>
            </w:r>
          </w:p>
        </w:tc>
      </w:tr>
      <w:tr w:rsidR="00EA1559" w:rsidRPr="00EA1559" w14:paraId="248C3132" w14:textId="77777777" w:rsidTr="003D7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127"/>
        </w:trPr>
        <w:tc>
          <w:tcPr>
            <w:tcW w:w="236" w:type="dxa"/>
            <w:gridSpan w:val="2"/>
            <w:vAlign w:val="center"/>
          </w:tcPr>
          <w:p w14:paraId="788E9A6E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77403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A48EB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High </w:t>
            </w:r>
            <w:r w:rsidR="00012030">
              <w:rPr>
                <w:rFonts w:ascii="Arial" w:hAnsi="Arial" w:cs="Arial"/>
                <w:sz w:val="20"/>
                <w:szCs w:val="20"/>
                <w:lang w:eastAsia="en-US"/>
              </w:rPr>
              <w:t>– Technical Error</w:t>
            </w:r>
          </w:p>
        </w:tc>
      </w:tr>
      <w:tr w:rsidR="00EA1559" w:rsidRPr="00EA1559" w14:paraId="6E59B94C" w14:textId="77777777" w:rsidTr="003D7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1480C21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613F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903F5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FD modelling suite</w:t>
            </w:r>
          </w:p>
        </w:tc>
      </w:tr>
      <w:tr w:rsidR="00EA1559" w:rsidRPr="00EA1559" w14:paraId="67B8C3FC" w14:textId="77777777" w:rsidTr="003D7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127"/>
        </w:trPr>
        <w:tc>
          <w:tcPr>
            <w:tcW w:w="236" w:type="dxa"/>
            <w:gridSpan w:val="2"/>
            <w:tcBorders>
              <w:right w:val="single" w:sz="4" w:space="0" w:color="auto"/>
            </w:tcBorders>
            <w:vAlign w:val="center"/>
            <w:hideMark/>
          </w:tcPr>
          <w:p w14:paraId="03269D03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22E1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E21F1" w14:textId="5603DE5A" w:rsidR="00EA1559" w:rsidRPr="00EA1559" w:rsidRDefault="00C60EDD" w:rsidP="00FD5CD1">
            <w:pPr>
              <w:pStyle w:val="NormalWeb"/>
              <w:spacing w:after="200" w:afterAutospacing="0" w:line="276" w:lineRule="auto"/>
              <w:ind w:right="1255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Ongoing Efficiency</w:t>
            </w:r>
            <w:r w:rsidR="00C155DB">
              <w:rPr>
                <w:rFonts w:ascii="Verdana" w:hAnsi="Verdana"/>
                <w:sz w:val="20"/>
                <w:szCs w:val="20"/>
                <w:lang w:eastAsia="en-US"/>
              </w:rPr>
              <w:t xml:space="preserve"> Input and Application</w:t>
            </w:r>
          </w:p>
        </w:tc>
      </w:tr>
      <w:tr w:rsidR="003D7EDB" w:rsidRPr="00EA1559" w14:paraId="1A19AA02" w14:textId="77777777" w:rsidTr="009B2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127"/>
        </w:trPr>
        <w:tc>
          <w:tcPr>
            <w:tcW w:w="236" w:type="dxa"/>
            <w:gridSpan w:val="2"/>
            <w:tcBorders>
              <w:right w:val="single" w:sz="4" w:space="0" w:color="auto"/>
            </w:tcBorders>
            <w:vAlign w:val="center"/>
          </w:tcPr>
          <w:p w14:paraId="6904BB0E" w14:textId="77777777" w:rsidR="003D7EDB" w:rsidRPr="00EA1559" w:rsidRDefault="003D7EDB" w:rsidP="00FD5CD1"/>
        </w:tc>
        <w:tc>
          <w:tcPr>
            <w:tcW w:w="99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73518" w14:textId="77777777" w:rsidR="003D7EDB" w:rsidRPr="003D7EDB" w:rsidRDefault="003D7EDB" w:rsidP="00FD5CD1">
            <w:pPr>
              <w:pStyle w:val="NormalWeb"/>
              <w:spacing w:after="200" w:afterAutospacing="0" w:line="276" w:lineRule="auto"/>
              <w:rPr>
                <w:rFonts w:ascii="Verdana" w:hAnsi="Verdana"/>
                <w:b/>
                <w:bCs/>
                <w:lang w:eastAsia="en-US"/>
              </w:rPr>
            </w:pPr>
            <w:r w:rsidRPr="003D7EDB">
              <w:rPr>
                <w:rFonts w:ascii="Verdana" w:hAnsi="Verdana"/>
                <w:b/>
                <w:bCs/>
                <w:lang w:eastAsia="en-US"/>
              </w:rPr>
              <w:t>Question:</w:t>
            </w:r>
          </w:p>
          <w:p w14:paraId="11190251" w14:textId="43A9CE18" w:rsidR="003D7EDB" w:rsidRDefault="003D7EDB" w:rsidP="00FD5CD1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This FDQ is asking Ofgem to consider the following aspect of the FD with regard to Ongoing Efficiency.  </w:t>
            </w:r>
            <w:r w:rsidR="00AB586C">
              <w:rPr>
                <w:rFonts w:ascii="Verdana" w:hAnsi="Verdana"/>
                <w:sz w:val="20"/>
                <w:szCs w:val="20"/>
                <w:lang w:eastAsia="en-US"/>
              </w:rPr>
              <w:t>We believe this is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a technical error.</w:t>
            </w:r>
          </w:p>
          <w:p w14:paraId="129F2425" w14:textId="247EFBE9" w:rsidR="003D7EDB" w:rsidRDefault="003D7EDB" w:rsidP="00FD5CD1">
            <w:pPr>
              <w:pStyle w:val="NormalWeb"/>
              <w:spacing w:after="200" w:afterAutospacing="0" w:line="276" w:lineRule="auto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86226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CEPA updated </w:t>
            </w: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data has not been inputted</w:t>
            </w:r>
          </w:p>
          <w:p w14:paraId="6C14B4FE" w14:textId="4FA88C04" w:rsidR="003D7EDB" w:rsidRDefault="003D7EDB" w:rsidP="00FD5CD1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The CEPA final report included a reduction in the top-of-the range (pre-Innovation uplift), but in the FD no </w:t>
            </w:r>
            <w:r w:rsidR="004B3AD1">
              <w:rPr>
                <w:rFonts w:ascii="Verdana" w:hAnsi="Verdana"/>
                <w:sz w:val="20"/>
                <w:szCs w:val="20"/>
                <w:lang w:eastAsia="en-US"/>
              </w:rPr>
              <w:t xml:space="preserve">adjustment has been made to reflect this.  As this aspects of proposed methodology in the FD has not changed from the DD, this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is an omission and therefore </w:t>
            </w:r>
            <w:r w:rsidR="004B3AD1">
              <w:rPr>
                <w:rFonts w:ascii="Verdana" w:hAnsi="Verdana"/>
                <w:sz w:val="20"/>
                <w:szCs w:val="20"/>
                <w:lang w:eastAsia="en-US"/>
              </w:rPr>
              <w:t>we believe should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be viewed as a Technical Error as the update should have been input.</w:t>
            </w:r>
          </w:p>
          <w:p w14:paraId="007F3186" w14:textId="4A51F06C" w:rsidR="003D7EDB" w:rsidRDefault="003D7EDB" w:rsidP="00FD5CD1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In the CEPA updated report</w:t>
            </w:r>
            <w:r>
              <w:rPr>
                <w:rStyle w:val="FootnoteReference"/>
                <w:rFonts w:ascii="Verdana" w:hAnsi="Verdana"/>
                <w:sz w:val="20"/>
                <w:szCs w:val="20"/>
                <w:lang w:eastAsia="en-US"/>
              </w:rPr>
              <w:footnoteReference w:id="1"/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for the FD, CEPA updated its analysis and determined that the high end of the range, the VA TFP for economy wide comparator set was 0.9% pa.</w:t>
            </w:r>
          </w:p>
          <w:p w14:paraId="44812E35" w14:textId="7E7825EB" w:rsidR="003D7EDB" w:rsidRDefault="003D7EDB" w:rsidP="00FD5CD1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This compares with the CEPA report</w:t>
            </w:r>
            <w:r>
              <w:rPr>
                <w:rStyle w:val="FootnoteReference"/>
                <w:rFonts w:ascii="Verdana" w:hAnsi="Verdana"/>
                <w:sz w:val="20"/>
                <w:szCs w:val="20"/>
                <w:lang w:eastAsia="en-US"/>
              </w:rPr>
              <w:footnoteReference w:id="2"/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used for the DD, where the high end of the range was 1.1% pa.</w:t>
            </w:r>
          </w:p>
          <w:p w14:paraId="6253A008" w14:textId="5EB00B8B" w:rsidR="003D7EDB" w:rsidRDefault="003D7EDB" w:rsidP="00FD5CD1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This is a 0.2% reduction and </w:t>
            </w:r>
            <w:r w:rsidR="004B3AD1">
              <w:rPr>
                <w:rFonts w:ascii="Verdana" w:hAnsi="Verdana"/>
                <w:sz w:val="20"/>
                <w:szCs w:val="20"/>
                <w:lang w:eastAsia="en-US"/>
              </w:rPr>
              <w:t xml:space="preserve">is not related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to the 0.1% reduction </w:t>
            </w:r>
            <w:r w:rsidR="004B3AD1">
              <w:rPr>
                <w:rFonts w:ascii="Verdana" w:hAnsi="Verdana"/>
                <w:sz w:val="20"/>
                <w:szCs w:val="20"/>
                <w:lang w:eastAsia="en-US"/>
              </w:rPr>
              <w:t xml:space="preserve">highlighted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in the FD which was related to a small (unquantified) weighting for the lower valued GO TFP factor.</w:t>
            </w:r>
          </w:p>
          <w:p w14:paraId="6B028C13" w14:textId="7DD49324" w:rsidR="003D7EDB" w:rsidRPr="00B05D3D" w:rsidRDefault="003D7EDB" w:rsidP="00FD5CD1">
            <w:pPr>
              <w:pStyle w:val="NormalWeb"/>
              <w:spacing w:after="200" w:afterAutospacing="0" w:line="276" w:lineRule="auto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As such, Ofgem should have updated the input data from CEPA, with the result </w:t>
            </w:r>
            <w:r w:rsidR="004B3AD1">
              <w:rPr>
                <w:rFonts w:ascii="Verdana" w:hAnsi="Verdana"/>
                <w:sz w:val="20"/>
                <w:szCs w:val="20"/>
                <w:lang w:eastAsia="en-US"/>
              </w:rPr>
              <w:t>being 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further reduction from 1.2% pa (combined 1.25%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opex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1.15%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repex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/capex) to 1.0%p.a.   </w:t>
            </w:r>
            <w:r w:rsidR="004B3AD1">
              <w:rPr>
                <w:rFonts w:ascii="Verdana" w:hAnsi="Verdana"/>
                <w:sz w:val="20"/>
                <w:szCs w:val="20"/>
                <w:lang w:eastAsia="en-US"/>
              </w:rPr>
              <w:t>We believe t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his is a data error and thus a justifiable Technical Error correction, </w:t>
            </w:r>
            <w:r w:rsidRPr="00B05D3D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can you please your confirmation or otherwise this propos</w:t>
            </w:r>
            <w:r w:rsidR="00C155DB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ed correction</w:t>
            </w:r>
            <w:r w:rsidRPr="00B05D3D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?</w:t>
            </w:r>
          </w:p>
          <w:p w14:paraId="564D27A0" w14:textId="15D6AF42" w:rsidR="003D7EDB" w:rsidRPr="00B05D3D" w:rsidRDefault="003D7EDB" w:rsidP="00FD5CD1">
            <w:pPr>
              <w:pStyle w:val="NormalWeb"/>
              <w:spacing w:after="200" w:afterAutospacing="0" w:line="276" w:lineRule="auto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We would note that </w:t>
            </w:r>
            <w:r w:rsidR="004B3AD1">
              <w:rPr>
                <w:rFonts w:ascii="Verdana" w:hAnsi="Verdana"/>
                <w:sz w:val="20"/>
                <w:szCs w:val="20"/>
                <w:lang w:eastAsia="en-US"/>
              </w:rPr>
              <w:t xml:space="preserve">in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the FD Core document, page 48, the reference to C</w:t>
            </w:r>
            <w:r w:rsidR="004B3AD1"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PA with regards to GO TFP is dated as 13 November.   This was not the final report from CEPA, which was dated 27</w:t>
            </w:r>
            <w:r w:rsidRPr="00092C65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th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November.  </w:t>
            </w:r>
            <w:r w:rsidR="004B3AD1">
              <w:rPr>
                <w:rFonts w:ascii="Verdana" w:hAnsi="Verdana"/>
                <w:sz w:val="20"/>
                <w:szCs w:val="20"/>
                <w:lang w:eastAsia="en-US"/>
              </w:rPr>
              <w:t xml:space="preserve">Hence this may be </w:t>
            </w:r>
            <w:r w:rsidRPr="00B05D3D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the source of the omission error</w:t>
            </w:r>
            <w:r w:rsidR="004B3AD1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.</w:t>
            </w:r>
          </w:p>
          <w:p w14:paraId="248B9681" w14:textId="569B61F9" w:rsidR="003D7EDB" w:rsidRDefault="003D7EDB" w:rsidP="001D6FB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C60EDD" w:rsidRPr="00EA1559" w14:paraId="221B9CF3" w14:textId="376295EC" w:rsidTr="00C60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tcBorders>
              <w:right w:val="single" w:sz="4" w:space="0" w:color="auto"/>
            </w:tcBorders>
            <w:vAlign w:val="center"/>
          </w:tcPr>
          <w:p w14:paraId="3643858C" w14:textId="413B1719" w:rsidR="00C60EDD" w:rsidRPr="00EA1559" w:rsidRDefault="00C60EDD" w:rsidP="00C60EDD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EF64C" w14:textId="2C8F5CA2" w:rsidR="00C60EDD" w:rsidRPr="00EA1559" w:rsidRDefault="00C60EDD" w:rsidP="00C60EDD">
            <w:pPr>
              <w:pStyle w:val="xmsobodytext"/>
              <w:shd w:val="clear" w:color="auto" w:fill="FFFFFF"/>
              <w:spacing w:before="0" w:beforeAutospacing="0" w:after="0" w:afterAutospacing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t> </w:t>
            </w:r>
          </w:p>
        </w:tc>
        <w:tc>
          <w:tcPr>
            <w:tcW w:w="7230" w:type="dxa"/>
            <w:gridSpan w:val="2"/>
            <w:vAlign w:val="center"/>
          </w:tcPr>
          <w:p w14:paraId="5C1E5679" w14:textId="77777777" w:rsidR="00C60EDD" w:rsidRPr="00EA1559" w:rsidRDefault="00C60EDD" w:rsidP="00C60EDD"/>
        </w:tc>
      </w:tr>
      <w:tr w:rsidR="00C60EDD" w:rsidRPr="00EA1559" w14:paraId="08DA4FF8" w14:textId="77777777" w:rsidTr="003D7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127"/>
        </w:trPr>
        <w:tc>
          <w:tcPr>
            <w:tcW w:w="236" w:type="dxa"/>
            <w:gridSpan w:val="2"/>
            <w:vAlign w:val="center"/>
          </w:tcPr>
          <w:p w14:paraId="1860D9DE" w14:textId="77777777" w:rsidR="00C60EDD" w:rsidRPr="00EA1559" w:rsidRDefault="00C60EDD" w:rsidP="00C60EDD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2C6FB" w14:textId="77777777" w:rsidR="00C60EDD" w:rsidRPr="00EA1559" w:rsidRDefault="00C60EDD" w:rsidP="00C60EDD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860E7" w14:textId="77777777" w:rsidR="00C60EDD" w:rsidRPr="00EA1559" w:rsidRDefault="00C60EDD" w:rsidP="00C60EDD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C60EDD" w:rsidRPr="00EA1559" w14:paraId="0BCD83B5" w14:textId="77777777" w:rsidTr="003D7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A3A8C99" w14:textId="77777777" w:rsidR="00C60EDD" w:rsidRPr="00EA1559" w:rsidRDefault="00C60EDD" w:rsidP="00C60EDD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0A990" w14:textId="77777777" w:rsidR="00C60EDD" w:rsidRPr="00EA1559" w:rsidRDefault="00C60EDD" w:rsidP="00C60EDD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5ED4E" w14:textId="387F7DFA" w:rsidR="00C60EDD" w:rsidRPr="00EA1559" w:rsidRDefault="00C60EDD" w:rsidP="00C60EDD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Adrian Swift</w:t>
            </w:r>
          </w:p>
        </w:tc>
      </w:tr>
      <w:tr w:rsidR="00C60EDD" w:rsidRPr="00EA1559" w14:paraId="541C4A75" w14:textId="77777777" w:rsidTr="003D7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6427D56" w14:textId="77777777" w:rsidR="00C60EDD" w:rsidRPr="00EA1559" w:rsidRDefault="00C60EDD" w:rsidP="00C60EDD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F2A21" w14:textId="77777777" w:rsidR="00C60EDD" w:rsidRPr="00EA1559" w:rsidRDefault="00C60EDD" w:rsidP="00C60EDD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FE51" w14:textId="62D1765E" w:rsidR="00C60EDD" w:rsidRPr="00EA1559" w:rsidRDefault="00C155DB" w:rsidP="00C60EDD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11</w:t>
            </w:r>
            <w:r w:rsidR="00C60EDD">
              <w:rPr>
                <w:rFonts w:ascii="Verdana" w:hAnsi="Verdana"/>
                <w:sz w:val="20"/>
                <w:szCs w:val="20"/>
                <w:lang w:eastAsia="en-US"/>
              </w:rPr>
              <w:t>/01/2021</w:t>
            </w:r>
          </w:p>
        </w:tc>
      </w:tr>
      <w:tr w:rsidR="00C60EDD" w:rsidRPr="00EA1559" w14:paraId="114858A4" w14:textId="77777777" w:rsidTr="003D7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5C614CF5" w14:textId="77777777" w:rsidR="00C60EDD" w:rsidRPr="00EA1559" w:rsidRDefault="00C60EDD" w:rsidP="00C60EDD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246C5" w14:textId="77777777" w:rsidR="00C60EDD" w:rsidRPr="00EA1559" w:rsidRDefault="00C60EDD" w:rsidP="00C60EDD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1BF64" w14:textId="3970846B" w:rsidR="00C60EDD" w:rsidRPr="00EA1559" w:rsidRDefault="00C60EDD" w:rsidP="00C60EDD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C155DB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/01/2021</w:t>
            </w:r>
          </w:p>
        </w:tc>
      </w:tr>
      <w:tr w:rsidR="00C60EDD" w:rsidRPr="00EA1559" w14:paraId="132AF07F" w14:textId="77777777" w:rsidTr="00C60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1F7D420E" w14:textId="77777777" w:rsidR="00C60EDD" w:rsidRPr="00EA1559" w:rsidRDefault="00C60EDD" w:rsidP="00C60EDD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9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BC896" w14:textId="77777777" w:rsidR="00C60EDD" w:rsidRPr="00281066" w:rsidRDefault="00C60EDD" w:rsidP="00C60EDD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C60EDD" w:rsidRPr="00EA1559" w14:paraId="381C114D" w14:textId="77777777" w:rsidTr="00C60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2"/>
          <w:wAfter w:w="7230" w:type="dxa"/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7158EEFB" w14:textId="77777777" w:rsidR="00C60EDD" w:rsidRPr="00EA1559" w:rsidRDefault="00C60EDD" w:rsidP="00C60EDD">
            <w:pPr>
              <w:rPr>
                <w:rFonts w:ascii="Calibri" w:hAnsi="Calibri" w:cs="Calibri"/>
                <w:sz w:val="22"/>
              </w:rPr>
            </w:pPr>
            <w:r w:rsidRPr="00EA1559">
              <w:t> </w:t>
            </w:r>
          </w:p>
        </w:tc>
        <w:tc>
          <w:tcPr>
            <w:tcW w:w="99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89A69" w14:textId="77777777" w:rsidR="00C60EDD" w:rsidRDefault="00C60EDD" w:rsidP="00C60EDD">
            <w:pPr>
              <w:rPr>
                <w:rFonts w:ascii="Arial" w:hAnsi="Arial" w:cs="Arial"/>
                <w:b/>
                <w:bCs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7BD511E2" w14:textId="0B49B40E" w:rsidR="00C60EDD" w:rsidRPr="00AB0904" w:rsidRDefault="00AB0904" w:rsidP="00AB0904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We disagree that there is an error in our ongoing efficiency input. The CEPA report for FD provides an upper estimate of 0.9% pa. However, this excludes any uplift for innovation. We have included an additional 0.2% pa on top of the 0.9% to account for this, which is reflected in our final inputs for FD.</w:t>
            </w:r>
            <w:bookmarkStart w:id="0" w:name="_GoBack"/>
            <w:bookmarkEnd w:id="0"/>
          </w:p>
        </w:tc>
      </w:tr>
    </w:tbl>
    <w:p w14:paraId="27D076BD" w14:textId="77777777" w:rsidR="00945C7C" w:rsidRPr="00EA1559" w:rsidRDefault="00945C7C" w:rsidP="008A5062"/>
    <w:sectPr w:rsidR="00945C7C" w:rsidRPr="00EA1559" w:rsidSect="00CE77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24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48922" w14:textId="77777777" w:rsidR="00DB154F" w:rsidRDefault="00DB154F" w:rsidP="00526623">
      <w:pPr>
        <w:spacing w:after="0" w:line="240" w:lineRule="auto"/>
      </w:pPr>
      <w:r>
        <w:separator/>
      </w:r>
    </w:p>
  </w:endnote>
  <w:endnote w:type="continuationSeparator" w:id="0">
    <w:p w14:paraId="206C22EC" w14:textId="77777777" w:rsidR="00DB154F" w:rsidRDefault="00DB154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688D8" w14:textId="77777777" w:rsidR="00D73261" w:rsidRDefault="00D732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CD6DA" w14:textId="77777777" w:rsidR="00D73261" w:rsidRDefault="00D732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18682" w14:textId="77777777" w:rsidR="00D73261" w:rsidRDefault="00D732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914FC" w14:textId="77777777" w:rsidR="00DB154F" w:rsidRDefault="00DB154F" w:rsidP="00526623">
      <w:pPr>
        <w:spacing w:after="0" w:line="240" w:lineRule="auto"/>
      </w:pPr>
      <w:r>
        <w:separator/>
      </w:r>
    </w:p>
  </w:footnote>
  <w:footnote w:type="continuationSeparator" w:id="0">
    <w:p w14:paraId="67F05B53" w14:textId="77777777" w:rsidR="00DB154F" w:rsidRDefault="00DB154F" w:rsidP="00526623">
      <w:pPr>
        <w:spacing w:after="0" w:line="240" w:lineRule="auto"/>
      </w:pPr>
      <w:r>
        <w:continuationSeparator/>
      </w:r>
    </w:p>
  </w:footnote>
  <w:footnote w:id="1">
    <w:p w14:paraId="6BE3302E" w14:textId="3F2B6A41" w:rsidR="003D7EDB" w:rsidRPr="00E32588" w:rsidRDefault="003D7EDB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32588">
        <w:rPr>
          <w:sz w:val="18"/>
          <w:szCs w:val="18"/>
        </w:rPr>
        <w:t>RIIO-GD2 and T2:Cost Assessment – Advice on Frontier Shift policy for Final Determinations</w:t>
      </w:r>
      <w:r>
        <w:rPr>
          <w:sz w:val="18"/>
          <w:szCs w:val="18"/>
        </w:rPr>
        <w:t xml:space="preserve">, Final Report, November 2020, Table 2.1 VA TFP </w:t>
      </w:r>
      <w:proofErr w:type="spellStart"/>
      <w:r>
        <w:rPr>
          <w:sz w:val="18"/>
          <w:szCs w:val="18"/>
        </w:rPr>
        <w:t>capex,repex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opex</w:t>
      </w:r>
      <w:proofErr w:type="spellEnd"/>
      <w:r>
        <w:rPr>
          <w:sz w:val="18"/>
          <w:szCs w:val="18"/>
        </w:rPr>
        <w:t xml:space="preserve"> row</w:t>
      </w:r>
    </w:p>
  </w:footnote>
  <w:footnote w:id="2">
    <w:p w14:paraId="168C23BD" w14:textId="4D940E9B" w:rsidR="003D7EDB" w:rsidRDefault="003D7ED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32588">
        <w:rPr>
          <w:sz w:val="18"/>
          <w:szCs w:val="18"/>
        </w:rPr>
        <w:t xml:space="preserve">RIIO-GD2 and T2:Cost Assessment – Advice on Frontier Shift </w:t>
      </w:r>
      <w:r>
        <w:rPr>
          <w:sz w:val="18"/>
          <w:szCs w:val="18"/>
        </w:rPr>
        <w:t>methodology paper, 27</w:t>
      </w:r>
      <w:r w:rsidRPr="00CE7747">
        <w:rPr>
          <w:sz w:val="18"/>
          <w:szCs w:val="18"/>
          <w:vertAlign w:val="superscript"/>
        </w:rPr>
        <w:t>th</w:t>
      </w:r>
      <w:r>
        <w:rPr>
          <w:sz w:val="18"/>
          <w:szCs w:val="18"/>
        </w:rPr>
        <w:t xml:space="preserve"> May 2020, Table 3.2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6CF29" w14:textId="77777777" w:rsidR="00D73261" w:rsidRDefault="00D732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17B14" w14:textId="77777777" w:rsidR="00D73261" w:rsidRDefault="00D732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3FE83" w14:textId="77777777" w:rsidR="00D73261" w:rsidRDefault="00D732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C7E98"/>
    <w:multiLevelType w:val="hybridMultilevel"/>
    <w:tmpl w:val="6972B78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80BD6"/>
    <w:multiLevelType w:val="hybridMultilevel"/>
    <w:tmpl w:val="7468241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155F"/>
    <w:rsid w:val="00007AB6"/>
    <w:rsid w:val="00012030"/>
    <w:rsid w:val="00041711"/>
    <w:rsid w:val="000428CF"/>
    <w:rsid w:val="000436C2"/>
    <w:rsid w:val="000473D3"/>
    <w:rsid w:val="00050C54"/>
    <w:rsid w:val="00092C65"/>
    <w:rsid w:val="000A17DC"/>
    <w:rsid w:val="000A752F"/>
    <w:rsid w:val="000B0536"/>
    <w:rsid w:val="000E5B6D"/>
    <w:rsid w:val="0010126C"/>
    <w:rsid w:val="00107296"/>
    <w:rsid w:val="00120234"/>
    <w:rsid w:val="00133BD9"/>
    <w:rsid w:val="00133CFC"/>
    <w:rsid w:val="001504CE"/>
    <w:rsid w:val="00172809"/>
    <w:rsid w:val="001D0151"/>
    <w:rsid w:val="001D6FB9"/>
    <w:rsid w:val="00206336"/>
    <w:rsid w:val="00206CA9"/>
    <w:rsid w:val="00206D5F"/>
    <w:rsid w:val="002707B1"/>
    <w:rsid w:val="00281066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74CB2"/>
    <w:rsid w:val="00385085"/>
    <w:rsid w:val="003B3576"/>
    <w:rsid w:val="003D7EDB"/>
    <w:rsid w:val="003F465C"/>
    <w:rsid w:val="00400822"/>
    <w:rsid w:val="00401E4D"/>
    <w:rsid w:val="004313E4"/>
    <w:rsid w:val="004376F5"/>
    <w:rsid w:val="0047108D"/>
    <w:rsid w:val="004B3AD1"/>
    <w:rsid w:val="004C4D2B"/>
    <w:rsid w:val="004D0311"/>
    <w:rsid w:val="004D1F2F"/>
    <w:rsid w:val="00503895"/>
    <w:rsid w:val="00506B00"/>
    <w:rsid w:val="00526623"/>
    <w:rsid w:val="00526A8E"/>
    <w:rsid w:val="00534E92"/>
    <w:rsid w:val="00536220"/>
    <w:rsid w:val="00536F40"/>
    <w:rsid w:val="00584F30"/>
    <w:rsid w:val="00586A8E"/>
    <w:rsid w:val="00590317"/>
    <w:rsid w:val="005927B6"/>
    <w:rsid w:val="005A506C"/>
    <w:rsid w:val="005A74DE"/>
    <w:rsid w:val="005E2894"/>
    <w:rsid w:val="005F00FF"/>
    <w:rsid w:val="0060723D"/>
    <w:rsid w:val="006224F4"/>
    <w:rsid w:val="006279ED"/>
    <w:rsid w:val="006802FF"/>
    <w:rsid w:val="00681BA2"/>
    <w:rsid w:val="006847DA"/>
    <w:rsid w:val="00686A77"/>
    <w:rsid w:val="006A715C"/>
    <w:rsid w:val="006B26DE"/>
    <w:rsid w:val="006B622B"/>
    <w:rsid w:val="006D0ADD"/>
    <w:rsid w:val="006E4411"/>
    <w:rsid w:val="006F0656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47224"/>
    <w:rsid w:val="0085400C"/>
    <w:rsid w:val="0086226C"/>
    <w:rsid w:val="008A5062"/>
    <w:rsid w:val="008B3636"/>
    <w:rsid w:val="008B7043"/>
    <w:rsid w:val="008C5A35"/>
    <w:rsid w:val="008E5CFC"/>
    <w:rsid w:val="008F5542"/>
    <w:rsid w:val="009222C6"/>
    <w:rsid w:val="00924DEC"/>
    <w:rsid w:val="00935000"/>
    <w:rsid w:val="00937BF5"/>
    <w:rsid w:val="00941E89"/>
    <w:rsid w:val="00942721"/>
    <w:rsid w:val="00945C7C"/>
    <w:rsid w:val="00946125"/>
    <w:rsid w:val="00962140"/>
    <w:rsid w:val="009762C9"/>
    <w:rsid w:val="009845A8"/>
    <w:rsid w:val="00985B98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B0904"/>
    <w:rsid w:val="00AB586C"/>
    <w:rsid w:val="00AC6418"/>
    <w:rsid w:val="00AE2C71"/>
    <w:rsid w:val="00AF2854"/>
    <w:rsid w:val="00B05D3D"/>
    <w:rsid w:val="00B1611D"/>
    <w:rsid w:val="00B33B74"/>
    <w:rsid w:val="00B33BDA"/>
    <w:rsid w:val="00B35E40"/>
    <w:rsid w:val="00B378CC"/>
    <w:rsid w:val="00B41AEB"/>
    <w:rsid w:val="00B54E67"/>
    <w:rsid w:val="00B73EA6"/>
    <w:rsid w:val="00B82400"/>
    <w:rsid w:val="00B86DDF"/>
    <w:rsid w:val="00B954AA"/>
    <w:rsid w:val="00BA0306"/>
    <w:rsid w:val="00BA4154"/>
    <w:rsid w:val="00BA5A79"/>
    <w:rsid w:val="00BB4793"/>
    <w:rsid w:val="00BB56A8"/>
    <w:rsid w:val="00BB682C"/>
    <w:rsid w:val="00BD48A8"/>
    <w:rsid w:val="00C10D99"/>
    <w:rsid w:val="00C155DB"/>
    <w:rsid w:val="00C57345"/>
    <w:rsid w:val="00C60EDD"/>
    <w:rsid w:val="00C77097"/>
    <w:rsid w:val="00C814D0"/>
    <w:rsid w:val="00C81B4C"/>
    <w:rsid w:val="00CA4297"/>
    <w:rsid w:val="00CC4056"/>
    <w:rsid w:val="00CC7214"/>
    <w:rsid w:val="00CD7762"/>
    <w:rsid w:val="00CE7747"/>
    <w:rsid w:val="00CF22EF"/>
    <w:rsid w:val="00D1736D"/>
    <w:rsid w:val="00D50036"/>
    <w:rsid w:val="00D53135"/>
    <w:rsid w:val="00D73261"/>
    <w:rsid w:val="00D81399"/>
    <w:rsid w:val="00D815E6"/>
    <w:rsid w:val="00DA4D94"/>
    <w:rsid w:val="00DA67E5"/>
    <w:rsid w:val="00DB154F"/>
    <w:rsid w:val="00DD4ADD"/>
    <w:rsid w:val="00DE6033"/>
    <w:rsid w:val="00E040EA"/>
    <w:rsid w:val="00E11C0E"/>
    <w:rsid w:val="00E15A6C"/>
    <w:rsid w:val="00E27AA5"/>
    <w:rsid w:val="00E32588"/>
    <w:rsid w:val="00E346B6"/>
    <w:rsid w:val="00E44C1D"/>
    <w:rsid w:val="00E525E0"/>
    <w:rsid w:val="00E55A7F"/>
    <w:rsid w:val="00E566F5"/>
    <w:rsid w:val="00E94FDE"/>
    <w:rsid w:val="00EA1559"/>
    <w:rsid w:val="00EA5A86"/>
    <w:rsid w:val="00EA658E"/>
    <w:rsid w:val="00EB123E"/>
    <w:rsid w:val="00EB179A"/>
    <w:rsid w:val="00EB2613"/>
    <w:rsid w:val="00EE1C79"/>
    <w:rsid w:val="00EE2493"/>
    <w:rsid w:val="00EF7E7B"/>
    <w:rsid w:val="00F129C1"/>
    <w:rsid w:val="00F20F23"/>
    <w:rsid w:val="00F23B18"/>
    <w:rsid w:val="00F31270"/>
    <w:rsid w:val="00F5577B"/>
    <w:rsid w:val="00F633A0"/>
    <w:rsid w:val="00F678C1"/>
    <w:rsid w:val="00F82AB4"/>
    <w:rsid w:val="00FB0EC9"/>
    <w:rsid w:val="00FC2572"/>
    <w:rsid w:val="00FC363A"/>
    <w:rsid w:val="00FD3883"/>
    <w:rsid w:val="00FD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8B739C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paragraph" w:customStyle="1" w:styleId="xmsobodytext">
    <w:name w:val="x_msobodytext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12023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32588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588"/>
    <w:rPr>
      <w:rFonts w:ascii="Verdana" w:hAnsi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3258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F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83E3155-6BFD-407E-AB66-4141E7393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5CBDC0-3C4F-4969-9674-FD21396B26B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147033-1A7E-4320-9B1F-9B1EF4428B4A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C9B992EC-0B1A-423B-8B1C-9ABB098E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1852</Characters>
  <Application>Microsoft Office Word</Application>
  <DocSecurity>0</DocSecurity>
  <Lines>71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Emma Christie</cp:lastModifiedBy>
  <cp:revision>2</cp:revision>
  <dcterms:created xsi:type="dcterms:W3CDTF">2021-01-12T10:29:00Z</dcterms:created>
  <dcterms:modified xsi:type="dcterms:W3CDTF">2021-01-12T10:29:00Z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f6ca1dd2-719a-4b85-a410-f2067eacc0e5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bjClsUserRVM">
    <vt:lpwstr>[]</vt:lpwstr>
  </property>
  <property fmtid="{D5CDD505-2E9C-101B-9397-08002B2CF9AE}" pid="43" name="bjDocumentSecurityLabel">
    <vt:lpwstr>This item has no classification</vt:lpwstr>
  </property>
</Properties>
</file>