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809"/>
        <w:gridCol w:w="7865"/>
        <w:gridCol w:w="216"/>
      </w:tblGrid>
      <w:tr w:rsidR="00133BD9" w:rsidRPr="00376EF6" w14:paraId="373E21CB" w14:textId="77777777" w:rsidTr="051C614C">
        <w:trPr>
          <w:gridBefore w:val="1"/>
          <w:gridAfter w:val="1"/>
          <w:wBefore w:w="459" w:type="dxa"/>
          <w:wAfter w:w="216" w:type="dxa"/>
          <w:trHeight w:val="315"/>
        </w:trPr>
        <w:tc>
          <w:tcPr>
            <w:tcW w:w="9674" w:type="dxa"/>
            <w:gridSpan w:val="2"/>
            <w:tcBorders>
              <w:top w:val="nil"/>
              <w:left w:val="nil"/>
              <w:bottom w:val="nil"/>
              <w:right w:val="nil"/>
            </w:tcBorders>
            <w:shd w:val="clear" w:color="auto" w:fill="auto"/>
            <w:noWrap/>
            <w:vAlign w:val="center"/>
            <w:hideMark/>
          </w:tcPr>
          <w:p w14:paraId="373E21CA" w14:textId="7D842FC4" w:rsidR="00133BD9" w:rsidRPr="00376EF6" w:rsidRDefault="00386B68" w:rsidP="00B378CC">
            <w:pPr>
              <w:rPr>
                <w:rFonts w:ascii="Calibri" w:hAnsi="Calibri" w:cs="Arial"/>
                <w:b/>
                <w:bCs/>
                <w:sz w:val="22"/>
              </w:rPr>
            </w:pPr>
            <w:r w:rsidRPr="00376EF6">
              <w:rPr>
                <w:rFonts w:ascii="Calibri" w:hAnsi="Calibri" w:cs="Arial"/>
                <w:b/>
                <w:bCs/>
                <w:color w:val="FF0000"/>
                <w:sz w:val="22"/>
              </w:rPr>
              <w:t>SGN</w:t>
            </w:r>
            <w:r w:rsidR="00B378CC" w:rsidRPr="00376EF6">
              <w:rPr>
                <w:rFonts w:ascii="Calibri" w:hAnsi="Calibri" w:cs="Arial"/>
                <w:b/>
                <w:bCs/>
                <w:color w:val="FF0000"/>
                <w:sz w:val="22"/>
              </w:rPr>
              <w:t xml:space="preserve"> </w:t>
            </w:r>
            <w:r w:rsidR="000E5B6D" w:rsidRPr="00376EF6">
              <w:rPr>
                <w:rFonts w:ascii="Calibri" w:hAnsi="Calibri" w:cs="Arial"/>
                <w:b/>
                <w:bCs/>
                <w:sz w:val="22"/>
              </w:rPr>
              <w:t>Final</w:t>
            </w:r>
            <w:r w:rsidR="002E3EFB" w:rsidRPr="00376EF6">
              <w:rPr>
                <w:rFonts w:ascii="Calibri" w:hAnsi="Calibri" w:cs="Arial"/>
                <w:b/>
                <w:bCs/>
                <w:sz w:val="22"/>
              </w:rPr>
              <w:t xml:space="preserve"> Determination</w:t>
            </w:r>
            <w:r w:rsidR="00A0584E" w:rsidRPr="00376EF6">
              <w:rPr>
                <w:rFonts w:ascii="Calibri" w:hAnsi="Calibri" w:cs="Arial"/>
                <w:b/>
                <w:bCs/>
                <w:sz w:val="22"/>
              </w:rPr>
              <w:t xml:space="preserve"> </w:t>
            </w:r>
          </w:p>
        </w:tc>
      </w:tr>
      <w:tr w:rsidR="00133BD9" w:rsidRPr="00376EF6" w14:paraId="373E21CD" w14:textId="77777777" w:rsidTr="051C614C">
        <w:trPr>
          <w:trHeight w:val="315"/>
        </w:trPr>
        <w:tc>
          <w:tcPr>
            <w:tcW w:w="10349" w:type="dxa"/>
            <w:gridSpan w:val="4"/>
            <w:tcBorders>
              <w:top w:val="nil"/>
              <w:left w:val="nil"/>
              <w:right w:val="nil"/>
            </w:tcBorders>
            <w:shd w:val="clear" w:color="auto" w:fill="auto"/>
            <w:noWrap/>
            <w:vAlign w:val="center"/>
            <w:hideMark/>
          </w:tcPr>
          <w:p w14:paraId="373E21CC" w14:textId="1E41FD06" w:rsidR="00BB682C" w:rsidRPr="00376EF6" w:rsidRDefault="003F465C" w:rsidP="002E3EFB">
            <w:pPr>
              <w:rPr>
                <w:rFonts w:ascii="Calibri" w:hAnsi="Calibri" w:cs="Arial"/>
                <w:b/>
                <w:bCs/>
                <w:sz w:val="22"/>
              </w:rPr>
            </w:pPr>
            <w:r w:rsidRPr="00376EF6">
              <w:rPr>
                <w:rFonts w:ascii="Calibri" w:hAnsi="Calibri" w:cs="Arial"/>
                <w:b/>
                <w:bCs/>
                <w:sz w:val="22"/>
              </w:rPr>
              <w:t>F</w:t>
            </w:r>
            <w:r w:rsidR="00D81399" w:rsidRPr="00376EF6">
              <w:rPr>
                <w:rFonts w:ascii="Calibri" w:hAnsi="Calibri" w:cs="Arial"/>
                <w:b/>
                <w:bCs/>
                <w:sz w:val="22"/>
              </w:rPr>
              <w:t>D</w:t>
            </w:r>
            <w:r w:rsidRPr="00376EF6">
              <w:rPr>
                <w:rFonts w:ascii="Calibri" w:hAnsi="Calibri" w:cs="Arial"/>
                <w:b/>
                <w:bCs/>
                <w:sz w:val="22"/>
              </w:rPr>
              <w:t>Q</w:t>
            </w:r>
            <w:r w:rsidR="00D81399" w:rsidRPr="00376EF6">
              <w:rPr>
                <w:rFonts w:ascii="Calibri" w:hAnsi="Calibri" w:cs="Arial"/>
                <w:b/>
                <w:bCs/>
                <w:sz w:val="22"/>
              </w:rPr>
              <w:t xml:space="preserve"> Q</w:t>
            </w:r>
            <w:r w:rsidR="00133BD9" w:rsidRPr="00376EF6">
              <w:rPr>
                <w:rFonts w:ascii="Calibri" w:hAnsi="Calibri" w:cs="Arial"/>
                <w:b/>
                <w:bCs/>
                <w:sz w:val="22"/>
              </w:rPr>
              <w:t>u</w:t>
            </w:r>
            <w:r w:rsidR="00F20F23" w:rsidRPr="00376EF6">
              <w:rPr>
                <w:rFonts w:ascii="Calibri" w:hAnsi="Calibri" w:cs="Arial"/>
                <w:b/>
                <w:bCs/>
                <w:sz w:val="22"/>
              </w:rPr>
              <w:t>ery</w:t>
            </w:r>
            <w:r w:rsidR="00133BD9" w:rsidRPr="00376EF6">
              <w:rPr>
                <w:rFonts w:ascii="Calibri" w:hAnsi="Calibri" w:cs="Arial"/>
                <w:b/>
                <w:bCs/>
                <w:sz w:val="22"/>
              </w:rPr>
              <w:t xml:space="preserve"> </w:t>
            </w:r>
          </w:p>
        </w:tc>
      </w:tr>
      <w:tr w:rsidR="00133BD9" w:rsidRPr="00376EF6" w14:paraId="373E21D0" w14:textId="77777777" w:rsidTr="051C614C">
        <w:trPr>
          <w:trHeight w:hRule="exact" w:val="397"/>
        </w:trPr>
        <w:tc>
          <w:tcPr>
            <w:tcW w:w="2268" w:type="dxa"/>
            <w:gridSpan w:val="2"/>
            <w:shd w:val="clear" w:color="auto" w:fill="auto"/>
            <w:vAlign w:val="center"/>
            <w:hideMark/>
          </w:tcPr>
          <w:p w14:paraId="373E21CE" w14:textId="2E946EF1" w:rsidR="00133BD9" w:rsidRPr="00376EF6" w:rsidRDefault="00133BD9" w:rsidP="00A06191">
            <w:pPr>
              <w:rPr>
                <w:rFonts w:ascii="Calibri" w:hAnsi="Calibri" w:cs="Arial"/>
                <w:b/>
                <w:bCs/>
                <w:sz w:val="22"/>
              </w:rPr>
            </w:pPr>
            <w:r w:rsidRPr="00376EF6">
              <w:rPr>
                <w:rFonts w:ascii="Calibri" w:hAnsi="Calibri" w:cs="Arial"/>
                <w:b/>
                <w:bCs/>
                <w:sz w:val="22"/>
              </w:rPr>
              <w:t>Reference</w:t>
            </w:r>
            <w:r w:rsidR="00A06191" w:rsidRPr="00376EF6">
              <w:rPr>
                <w:rFonts w:ascii="Calibri" w:hAnsi="Calibri" w:cs="Arial"/>
                <w:b/>
                <w:bCs/>
                <w:sz w:val="22"/>
              </w:rPr>
              <w:t xml:space="preserve"> number</w:t>
            </w:r>
          </w:p>
        </w:tc>
        <w:tc>
          <w:tcPr>
            <w:tcW w:w="8081" w:type="dxa"/>
            <w:gridSpan w:val="2"/>
            <w:shd w:val="clear" w:color="auto" w:fill="auto"/>
            <w:vAlign w:val="center"/>
          </w:tcPr>
          <w:p w14:paraId="373E21CF" w14:textId="196DF63E" w:rsidR="00F266D1" w:rsidRPr="00376EF6" w:rsidRDefault="00F266D1" w:rsidP="00A0584E">
            <w:pPr>
              <w:rPr>
                <w:rFonts w:ascii="Calibri" w:hAnsi="Calibri" w:cs="Arial"/>
                <w:color w:val="FF0000"/>
                <w:sz w:val="22"/>
              </w:rPr>
            </w:pPr>
            <w:r w:rsidRPr="00345419">
              <w:rPr>
                <w:rFonts w:ascii="Calibri" w:hAnsi="Calibri"/>
                <w:sz w:val="22"/>
              </w:rPr>
              <w:t>SGN_FDQ_00</w:t>
            </w:r>
            <w:r w:rsidR="00650CA3" w:rsidRPr="00345419">
              <w:rPr>
                <w:rFonts w:ascii="Calibri" w:hAnsi="Calibri"/>
                <w:sz w:val="22"/>
              </w:rPr>
              <w:t>5</w:t>
            </w:r>
          </w:p>
        </w:tc>
      </w:tr>
      <w:tr w:rsidR="00A06191" w:rsidRPr="00376EF6" w14:paraId="373E21D3" w14:textId="77777777" w:rsidTr="051C614C">
        <w:trPr>
          <w:trHeight w:hRule="exact" w:val="397"/>
        </w:trPr>
        <w:tc>
          <w:tcPr>
            <w:tcW w:w="2268" w:type="dxa"/>
            <w:gridSpan w:val="2"/>
            <w:shd w:val="clear" w:color="auto" w:fill="auto"/>
            <w:vAlign w:val="center"/>
          </w:tcPr>
          <w:p w14:paraId="373E21D1" w14:textId="66662880" w:rsidR="00A06191" w:rsidRPr="00376EF6" w:rsidRDefault="00EE1C79" w:rsidP="00A0584E">
            <w:pPr>
              <w:rPr>
                <w:rFonts w:ascii="Calibri" w:hAnsi="Calibri" w:cs="Arial"/>
                <w:b/>
                <w:bCs/>
                <w:sz w:val="22"/>
              </w:rPr>
            </w:pPr>
            <w:r w:rsidRPr="00376EF6">
              <w:rPr>
                <w:rFonts w:ascii="Calibri" w:hAnsi="Calibri" w:cs="Arial"/>
                <w:b/>
                <w:bCs/>
                <w:sz w:val="22"/>
              </w:rPr>
              <w:t>Document Name</w:t>
            </w:r>
          </w:p>
        </w:tc>
        <w:tc>
          <w:tcPr>
            <w:tcW w:w="8081" w:type="dxa"/>
            <w:gridSpan w:val="2"/>
            <w:shd w:val="clear" w:color="auto" w:fill="auto"/>
            <w:vAlign w:val="center"/>
          </w:tcPr>
          <w:p w14:paraId="373E21D2" w14:textId="23D31EB4" w:rsidR="00A06191" w:rsidRPr="00376EF6" w:rsidRDefault="00004B8C" w:rsidP="00A0584E">
            <w:pPr>
              <w:rPr>
                <w:rFonts w:ascii="Calibri" w:hAnsi="Calibri" w:cs="Arial"/>
                <w:sz w:val="22"/>
              </w:rPr>
            </w:pPr>
            <w:r w:rsidRPr="00376EF6">
              <w:rPr>
                <w:rFonts w:ascii="Calibri" w:hAnsi="Calibri"/>
                <w:sz w:val="22"/>
              </w:rPr>
              <w:t xml:space="preserve">RIIO-2 Final Determinations – </w:t>
            </w:r>
            <w:r w:rsidR="00A032EE" w:rsidRPr="00376EF6">
              <w:rPr>
                <w:rFonts w:ascii="Calibri" w:hAnsi="Calibri"/>
                <w:sz w:val="22"/>
              </w:rPr>
              <w:t>SGN</w:t>
            </w:r>
            <w:r w:rsidRPr="00376EF6">
              <w:rPr>
                <w:rFonts w:ascii="Calibri" w:hAnsi="Calibri"/>
                <w:sz w:val="22"/>
              </w:rPr>
              <w:t xml:space="preserve"> Annex</w:t>
            </w:r>
          </w:p>
        </w:tc>
      </w:tr>
      <w:tr w:rsidR="00A06191" w:rsidRPr="00376EF6" w14:paraId="373E21D6" w14:textId="77777777" w:rsidTr="051C614C">
        <w:trPr>
          <w:trHeight w:hRule="exact" w:val="397"/>
        </w:trPr>
        <w:tc>
          <w:tcPr>
            <w:tcW w:w="2268" w:type="dxa"/>
            <w:gridSpan w:val="2"/>
            <w:shd w:val="clear" w:color="auto" w:fill="auto"/>
            <w:vAlign w:val="center"/>
          </w:tcPr>
          <w:p w14:paraId="373E21D4" w14:textId="77777777" w:rsidR="00A06191" w:rsidRPr="00376EF6" w:rsidRDefault="00A06191" w:rsidP="00945C7C">
            <w:pPr>
              <w:rPr>
                <w:rFonts w:ascii="Calibri" w:hAnsi="Calibri" w:cs="Arial"/>
                <w:b/>
                <w:bCs/>
                <w:sz w:val="22"/>
              </w:rPr>
            </w:pPr>
            <w:r w:rsidRPr="00376EF6">
              <w:rPr>
                <w:rFonts w:ascii="Calibri" w:hAnsi="Calibri" w:cs="Arial"/>
                <w:b/>
                <w:bCs/>
                <w:sz w:val="22"/>
              </w:rPr>
              <w:t>Topic/Activity:</w:t>
            </w:r>
          </w:p>
        </w:tc>
        <w:tc>
          <w:tcPr>
            <w:tcW w:w="8081" w:type="dxa"/>
            <w:gridSpan w:val="2"/>
            <w:shd w:val="clear" w:color="auto" w:fill="auto"/>
            <w:vAlign w:val="center"/>
          </w:tcPr>
          <w:p w14:paraId="373E21D5" w14:textId="754DA18D" w:rsidR="00A06191" w:rsidRPr="00376EF6" w:rsidRDefault="00A032EE" w:rsidP="0060723D">
            <w:pPr>
              <w:rPr>
                <w:rFonts w:ascii="Calibri" w:hAnsi="Calibri" w:cs="Arial"/>
                <w:sz w:val="22"/>
              </w:rPr>
            </w:pPr>
            <w:r w:rsidRPr="00376EF6">
              <w:rPr>
                <w:rFonts w:ascii="Calibri" w:hAnsi="Calibri" w:cs="Arial"/>
                <w:sz w:val="22"/>
              </w:rPr>
              <w:t>BPI Calculation</w:t>
            </w:r>
            <w:r w:rsidR="00530757" w:rsidRPr="00376EF6">
              <w:rPr>
                <w:rFonts w:ascii="Calibri" w:hAnsi="Calibri" w:cs="Arial"/>
                <w:sz w:val="22"/>
              </w:rPr>
              <w:t xml:space="preserve"> – </w:t>
            </w:r>
            <w:r w:rsidR="00441845" w:rsidRPr="00376EF6">
              <w:rPr>
                <w:rFonts w:ascii="Calibri" w:hAnsi="Calibri" w:cs="Arial"/>
                <w:sz w:val="22"/>
              </w:rPr>
              <w:t>SIU Capex Replace Atmospheric Vaporisers</w:t>
            </w:r>
          </w:p>
        </w:tc>
      </w:tr>
      <w:tr w:rsidR="00A06191" w:rsidRPr="00376EF6" w14:paraId="373E21D9" w14:textId="77777777" w:rsidTr="051C614C">
        <w:trPr>
          <w:trHeight w:val="127"/>
        </w:trPr>
        <w:tc>
          <w:tcPr>
            <w:tcW w:w="2268" w:type="dxa"/>
            <w:gridSpan w:val="2"/>
            <w:shd w:val="clear" w:color="auto" w:fill="auto"/>
            <w:vAlign w:val="center"/>
          </w:tcPr>
          <w:p w14:paraId="373E21D7" w14:textId="77777777" w:rsidR="00A06191" w:rsidRPr="00376EF6" w:rsidRDefault="00A06191" w:rsidP="00945C7C">
            <w:pPr>
              <w:rPr>
                <w:rFonts w:ascii="Calibri" w:hAnsi="Calibri" w:cs="Calibri"/>
                <w:color w:val="000000"/>
                <w:sz w:val="22"/>
                <w:lang w:eastAsia="en-GB"/>
              </w:rPr>
            </w:pPr>
            <w:r w:rsidRPr="00376EF6">
              <w:rPr>
                <w:rFonts w:ascii="Calibri" w:hAnsi="Calibri" w:cs="Calibri"/>
                <w:color w:val="000000"/>
                <w:sz w:val="22"/>
                <w:lang w:eastAsia="en-GB"/>
              </w:rPr>
              <w:t>Question:</w:t>
            </w:r>
          </w:p>
        </w:tc>
        <w:tc>
          <w:tcPr>
            <w:tcW w:w="8081" w:type="dxa"/>
            <w:gridSpan w:val="2"/>
            <w:shd w:val="clear" w:color="auto" w:fill="auto"/>
            <w:vAlign w:val="center"/>
          </w:tcPr>
          <w:p w14:paraId="35C70A1D" w14:textId="77777777" w:rsidR="00004B8C" w:rsidRPr="00376EF6" w:rsidRDefault="00004B8C" w:rsidP="00004B8C">
            <w:pPr>
              <w:pStyle w:val="xmsonormal"/>
              <w:rPr>
                <w:color w:val="000000"/>
              </w:rPr>
            </w:pPr>
            <w:r w:rsidRPr="00376EF6">
              <w:rPr>
                <w:color w:val="000000"/>
              </w:rPr>
              <w:t> </w:t>
            </w:r>
          </w:p>
          <w:p w14:paraId="6DA60292" w14:textId="24DBB545" w:rsidR="00530757" w:rsidRPr="00376EF6" w:rsidRDefault="00530757" w:rsidP="00530757">
            <w:pPr>
              <w:pStyle w:val="Default"/>
              <w:rPr>
                <w:rFonts w:ascii="Calibri" w:hAnsi="Calibri" w:cs="Calibri"/>
                <w:sz w:val="22"/>
                <w:szCs w:val="22"/>
                <w:lang w:eastAsia="en-GB"/>
              </w:rPr>
            </w:pPr>
            <w:r w:rsidRPr="051C614C">
              <w:rPr>
                <w:rFonts w:ascii="Calibri" w:hAnsi="Calibri" w:cs="Calibri"/>
                <w:sz w:val="22"/>
                <w:szCs w:val="22"/>
                <w:lang w:eastAsia="en-GB"/>
              </w:rPr>
              <w:t>There is an error in the assi</w:t>
            </w:r>
            <w:r w:rsidR="00C47D05" w:rsidRPr="051C614C">
              <w:rPr>
                <w:rFonts w:ascii="Calibri" w:hAnsi="Calibri" w:cs="Calibri"/>
                <w:sz w:val="22"/>
                <w:szCs w:val="22"/>
                <w:lang w:eastAsia="en-GB"/>
              </w:rPr>
              <w:t xml:space="preserve">gnment of </w:t>
            </w:r>
            <w:r w:rsidR="69F07AD2" w:rsidRPr="051C614C">
              <w:rPr>
                <w:rFonts w:ascii="Calibri" w:hAnsi="Calibri" w:cs="Arial"/>
                <w:sz w:val="22"/>
                <w:szCs w:val="22"/>
              </w:rPr>
              <w:t>Atmospheric Vaporisers</w:t>
            </w:r>
            <w:r w:rsidR="69F07AD2" w:rsidRPr="051C614C">
              <w:rPr>
                <w:rFonts w:ascii="Calibri" w:hAnsi="Calibri" w:cs="Calibri"/>
                <w:sz w:val="22"/>
                <w:szCs w:val="22"/>
                <w:lang w:eastAsia="en-GB"/>
              </w:rPr>
              <w:t xml:space="preserve"> </w:t>
            </w:r>
            <w:r w:rsidR="00C47D05" w:rsidRPr="051C614C">
              <w:rPr>
                <w:rFonts w:ascii="Calibri" w:hAnsi="Calibri" w:cs="Calibri"/>
                <w:sz w:val="22"/>
                <w:szCs w:val="22"/>
                <w:lang w:eastAsia="en-GB"/>
              </w:rPr>
              <w:t xml:space="preserve">to a penalty in </w:t>
            </w:r>
            <w:r w:rsidR="002B6549" w:rsidRPr="051C614C">
              <w:rPr>
                <w:rFonts w:ascii="Calibri" w:hAnsi="Calibri" w:cs="Calibri"/>
                <w:sz w:val="22"/>
                <w:szCs w:val="22"/>
                <w:lang w:eastAsia="en-GB"/>
              </w:rPr>
              <w:t>T</w:t>
            </w:r>
            <w:r w:rsidR="00C47D05" w:rsidRPr="051C614C">
              <w:rPr>
                <w:rFonts w:ascii="Calibri" w:hAnsi="Calibri" w:cs="Calibri"/>
                <w:sz w:val="22"/>
                <w:szCs w:val="22"/>
                <w:lang w:eastAsia="en-GB"/>
              </w:rPr>
              <w:t>able 69. The text that sets out the reason is</w:t>
            </w:r>
            <w:r w:rsidR="006A25DD" w:rsidRPr="051C614C">
              <w:rPr>
                <w:rFonts w:ascii="Calibri" w:hAnsi="Calibri" w:cs="Calibri"/>
                <w:sz w:val="22"/>
                <w:szCs w:val="22"/>
                <w:lang w:eastAsia="en-GB"/>
              </w:rPr>
              <w:t>:</w:t>
            </w:r>
          </w:p>
          <w:p w14:paraId="037F1532" w14:textId="77777777" w:rsidR="00C47D05" w:rsidRPr="00376EF6" w:rsidRDefault="00C47D05" w:rsidP="00530757">
            <w:pPr>
              <w:pStyle w:val="Default"/>
              <w:rPr>
                <w:rFonts w:ascii="Calibri" w:hAnsi="Calibri" w:cs="Calibri"/>
                <w:sz w:val="22"/>
                <w:szCs w:val="22"/>
                <w:lang w:eastAsia="en-GB"/>
              </w:rPr>
            </w:pPr>
          </w:p>
          <w:p w14:paraId="3A8671C9" w14:textId="454C31C3" w:rsidR="00530757" w:rsidRPr="006A25DD" w:rsidRDefault="00C47D05" w:rsidP="00530757">
            <w:pPr>
              <w:pStyle w:val="Default"/>
              <w:rPr>
                <w:rFonts w:ascii="Calibri" w:hAnsi="Calibri" w:cs="Calibri"/>
                <w:i/>
                <w:iCs/>
                <w:sz w:val="22"/>
                <w:szCs w:val="22"/>
                <w:lang w:eastAsia="en-GB"/>
              </w:rPr>
            </w:pPr>
            <w:r w:rsidRPr="006A25DD">
              <w:rPr>
                <w:rFonts w:ascii="Calibri" w:hAnsi="Calibri" w:cs="Calibri"/>
                <w:i/>
                <w:iCs/>
                <w:sz w:val="22"/>
                <w:szCs w:val="22"/>
                <w:lang w:eastAsia="en-GB"/>
              </w:rPr>
              <w:t>“</w:t>
            </w:r>
            <w:r w:rsidR="00231107" w:rsidRPr="006A25DD">
              <w:rPr>
                <w:rFonts w:ascii="Calibri" w:hAnsi="Calibri"/>
                <w:i/>
                <w:iCs/>
                <w:color w:val="848484"/>
                <w:sz w:val="22"/>
                <w:szCs w:val="22"/>
              </w:rPr>
              <w:t>We have decided to classify this project as lower confidence and disallow submitted costs due to an insufficient needs case, as set out in Table 50. SGN disagreed with our Drat Determinations proposal to disallow this project, but we have not received substantive evidence to justify changing our approach</w:t>
            </w:r>
            <w:r w:rsidR="00530757" w:rsidRPr="006A25DD">
              <w:rPr>
                <w:rFonts w:ascii="Calibri" w:hAnsi="Calibri" w:cs="Calibri"/>
                <w:i/>
                <w:iCs/>
                <w:sz w:val="22"/>
                <w:szCs w:val="22"/>
                <w:lang w:eastAsia="en-GB"/>
              </w:rPr>
              <w:t>.</w:t>
            </w:r>
            <w:r w:rsidRPr="006A25DD">
              <w:rPr>
                <w:rFonts w:ascii="Calibri" w:hAnsi="Calibri" w:cs="Calibri"/>
                <w:i/>
                <w:iCs/>
                <w:sz w:val="22"/>
                <w:szCs w:val="22"/>
                <w:lang w:eastAsia="en-GB"/>
              </w:rPr>
              <w:t>”</w:t>
            </w:r>
          </w:p>
          <w:p w14:paraId="2D20AE38" w14:textId="77777777" w:rsidR="00C47D05" w:rsidRPr="00376EF6" w:rsidRDefault="00C47D05" w:rsidP="00004B8C">
            <w:pPr>
              <w:pStyle w:val="xmsonormal"/>
              <w:rPr>
                <w:color w:val="000000"/>
              </w:rPr>
            </w:pPr>
          </w:p>
          <w:p w14:paraId="6D985D91" w14:textId="0D9C1F49" w:rsidR="00F071AB" w:rsidRPr="00376EF6" w:rsidRDefault="00BB2BBA" w:rsidP="00004B8C">
            <w:pPr>
              <w:pStyle w:val="xmsonormal"/>
              <w:rPr>
                <w:color w:val="000000"/>
              </w:rPr>
            </w:pPr>
            <w:r w:rsidRPr="00376EF6">
              <w:rPr>
                <w:color w:val="000000"/>
              </w:rPr>
              <w:t>The value of the SIU capex (replaced atmospheric vaporise</w:t>
            </w:r>
            <w:r w:rsidR="00167A62">
              <w:rPr>
                <w:color w:val="000000"/>
              </w:rPr>
              <w:t>r</w:t>
            </w:r>
            <w:r w:rsidRPr="00376EF6">
              <w:rPr>
                <w:color w:val="000000"/>
              </w:rPr>
              <w:t>s</w:t>
            </w:r>
            <w:r w:rsidR="00F071AB" w:rsidRPr="00376EF6">
              <w:rPr>
                <w:color w:val="000000"/>
              </w:rPr>
              <w:t>)</w:t>
            </w:r>
            <w:r w:rsidRPr="00376EF6">
              <w:rPr>
                <w:color w:val="000000"/>
              </w:rPr>
              <w:t xml:space="preserve"> is </w:t>
            </w:r>
            <w:r w:rsidR="00167A62">
              <w:rPr>
                <w:color w:val="000000"/>
              </w:rPr>
              <w:t>below</w:t>
            </w:r>
            <w:r w:rsidRPr="00376EF6">
              <w:rPr>
                <w:color w:val="000000"/>
              </w:rPr>
              <w:t xml:space="preserve"> the £2m </w:t>
            </w:r>
            <w:r w:rsidR="00F1487E" w:rsidRPr="00376EF6">
              <w:rPr>
                <w:color w:val="000000"/>
              </w:rPr>
              <w:t xml:space="preserve">minimum </w:t>
            </w:r>
            <w:r w:rsidRPr="00376EF6">
              <w:rPr>
                <w:color w:val="000000"/>
              </w:rPr>
              <w:t xml:space="preserve">threshold </w:t>
            </w:r>
            <w:r w:rsidR="00F1487E" w:rsidRPr="00376EF6">
              <w:rPr>
                <w:color w:val="000000"/>
              </w:rPr>
              <w:t xml:space="preserve">established by Ofgem late in </w:t>
            </w:r>
            <w:r w:rsidR="007F69F2">
              <w:rPr>
                <w:color w:val="000000"/>
              </w:rPr>
              <w:t xml:space="preserve">the </w:t>
            </w:r>
            <w:r w:rsidR="00F1487E" w:rsidRPr="00376EF6">
              <w:rPr>
                <w:color w:val="000000"/>
              </w:rPr>
              <w:t xml:space="preserve">business plan submission process. </w:t>
            </w:r>
          </w:p>
          <w:p w14:paraId="2CA66D63" w14:textId="07BF2B49" w:rsidR="008B790A" w:rsidRPr="00376EF6" w:rsidRDefault="008B790A" w:rsidP="00004B8C">
            <w:pPr>
              <w:pStyle w:val="xmsonormal"/>
              <w:rPr>
                <w:color w:val="000000"/>
              </w:rPr>
            </w:pPr>
          </w:p>
          <w:p w14:paraId="4BEC4B76" w14:textId="67C7B25B" w:rsidR="008B790A" w:rsidRPr="00376EF6" w:rsidRDefault="008B790A" w:rsidP="00004B8C">
            <w:pPr>
              <w:pStyle w:val="xmsonormal"/>
              <w:rPr>
                <w:color w:val="000000"/>
              </w:rPr>
            </w:pPr>
            <w:r w:rsidRPr="00376EF6">
              <w:rPr>
                <w:color w:val="000000"/>
              </w:rPr>
              <w:t>It is an error that network</w:t>
            </w:r>
            <w:r w:rsidR="007F69F2">
              <w:rPr>
                <w:color w:val="000000"/>
              </w:rPr>
              <w:t>s</w:t>
            </w:r>
            <w:r w:rsidRPr="00376EF6">
              <w:rPr>
                <w:color w:val="000000"/>
              </w:rPr>
              <w:t xml:space="preserve"> should be subject to a business plan incentive penalty for having provided more information than required </w:t>
            </w:r>
            <w:r w:rsidR="004660DF" w:rsidRPr="00376EF6">
              <w:rPr>
                <w:color w:val="000000"/>
              </w:rPr>
              <w:t xml:space="preserve">by </w:t>
            </w:r>
            <w:r w:rsidR="007F69F2">
              <w:rPr>
                <w:color w:val="000000"/>
              </w:rPr>
              <w:t>O</w:t>
            </w:r>
            <w:r w:rsidR="004660DF" w:rsidRPr="00376EF6">
              <w:rPr>
                <w:color w:val="000000"/>
              </w:rPr>
              <w:t xml:space="preserve">fgem. </w:t>
            </w:r>
          </w:p>
          <w:p w14:paraId="3202FFF8" w14:textId="38228CB5" w:rsidR="00131161" w:rsidRPr="00376EF6" w:rsidRDefault="00131161" w:rsidP="00004B8C">
            <w:pPr>
              <w:pStyle w:val="xmsonormal"/>
              <w:rPr>
                <w:color w:val="000000"/>
              </w:rPr>
            </w:pPr>
          </w:p>
          <w:p w14:paraId="207CDDC3" w14:textId="7A37979F" w:rsidR="00131161" w:rsidRPr="00376EF6" w:rsidRDefault="00386528" w:rsidP="00004B8C">
            <w:pPr>
              <w:pStyle w:val="xmsonormal"/>
              <w:rPr>
                <w:color w:val="000000"/>
              </w:rPr>
            </w:pPr>
            <w:r w:rsidRPr="00376EF6">
              <w:rPr>
                <w:color w:val="000000"/>
              </w:rPr>
              <w:t xml:space="preserve">Can Ofgem confirm </w:t>
            </w:r>
            <w:r w:rsidR="00007746" w:rsidRPr="00376EF6">
              <w:rPr>
                <w:color w:val="000000"/>
              </w:rPr>
              <w:t>this is an error and their intention is not to</w:t>
            </w:r>
            <w:r w:rsidRPr="00376EF6">
              <w:rPr>
                <w:color w:val="000000"/>
              </w:rPr>
              <w:t xml:space="preserve"> penalise</w:t>
            </w:r>
            <w:r w:rsidR="00B702DE" w:rsidRPr="00376EF6">
              <w:rPr>
                <w:color w:val="000000"/>
              </w:rPr>
              <w:t xml:space="preserve"> network companies</w:t>
            </w:r>
            <w:r w:rsidRPr="00376EF6">
              <w:rPr>
                <w:color w:val="000000"/>
              </w:rPr>
              <w:t xml:space="preserve"> for </w:t>
            </w:r>
            <w:r w:rsidR="00B702DE" w:rsidRPr="00376EF6">
              <w:rPr>
                <w:color w:val="000000"/>
              </w:rPr>
              <w:t>providing more information than otherwise required as set out in the business plan guidance</w:t>
            </w:r>
            <w:r w:rsidR="007A2D66" w:rsidRPr="00376EF6">
              <w:rPr>
                <w:color w:val="000000"/>
              </w:rPr>
              <w:t>?</w:t>
            </w:r>
          </w:p>
          <w:p w14:paraId="469E47BC" w14:textId="4132D5DB" w:rsidR="00386528" w:rsidRPr="00376EF6" w:rsidRDefault="00386528" w:rsidP="00004B8C">
            <w:pPr>
              <w:pStyle w:val="xmsonormal"/>
              <w:rPr>
                <w:color w:val="000000"/>
              </w:rPr>
            </w:pPr>
          </w:p>
          <w:p w14:paraId="72E6522D" w14:textId="77777777" w:rsidR="00951B43" w:rsidRPr="00376EF6" w:rsidRDefault="00386528" w:rsidP="00004B8C">
            <w:pPr>
              <w:pStyle w:val="xmsonormal"/>
              <w:rPr>
                <w:color w:val="000000"/>
              </w:rPr>
            </w:pPr>
            <w:r w:rsidRPr="00376EF6">
              <w:rPr>
                <w:color w:val="000000"/>
              </w:rPr>
              <w:t xml:space="preserve">If Ofgem disagree </w:t>
            </w:r>
            <w:r w:rsidR="007A2D66" w:rsidRPr="00376EF6">
              <w:rPr>
                <w:color w:val="000000"/>
              </w:rPr>
              <w:t xml:space="preserve">that this is an error, can </w:t>
            </w:r>
            <w:r w:rsidR="00EA5441" w:rsidRPr="00376EF6">
              <w:rPr>
                <w:color w:val="000000"/>
              </w:rPr>
              <w:t xml:space="preserve">Ofgem set out </w:t>
            </w:r>
          </w:p>
          <w:p w14:paraId="3FCBC885" w14:textId="3743BFD5" w:rsidR="00951B43" w:rsidRPr="00376EF6" w:rsidRDefault="00EA5441" w:rsidP="00951B43">
            <w:pPr>
              <w:pStyle w:val="xmsonormal"/>
              <w:numPr>
                <w:ilvl w:val="0"/>
                <w:numId w:val="7"/>
              </w:numPr>
              <w:rPr>
                <w:color w:val="000000"/>
              </w:rPr>
            </w:pPr>
            <w:r w:rsidRPr="00376EF6">
              <w:rPr>
                <w:color w:val="000000"/>
              </w:rPr>
              <w:t>the basis of this assessment</w:t>
            </w:r>
            <w:r w:rsidR="003A5E2D" w:rsidRPr="00376EF6">
              <w:rPr>
                <w:color w:val="000000"/>
              </w:rPr>
              <w:t xml:space="preserve"> that the costs are considered low confidence as requested in our draft determination response</w:t>
            </w:r>
            <w:r w:rsidR="004726F1" w:rsidRPr="00376EF6">
              <w:rPr>
                <w:color w:val="000000"/>
              </w:rPr>
              <w:t xml:space="preserve"> (pg175)</w:t>
            </w:r>
            <w:r w:rsidR="00BA45A5" w:rsidRPr="00376EF6">
              <w:rPr>
                <w:color w:val="000000"/>
              </w:rPr>
              <w:t>?</w:t>
            </w:r>
          </w:p>
          <w:p w14:paraId="2B2FD244" w14:textId="2EA56427" w:rsidR="00004B8C" w:rsidRPr="00376EF6" w:rsidRDefault="009A3C0A" w:rsidP="00004B8C">
            <w:pPr>
              <w:pStyle w:val="xmsonormal"/>
              <w:numPr>
                <w:ilvl w:val="0"/>
                <w:numId w:val="7"/>
              </w:numPr>
              <w:rPr>
                <w:color w:val="000000"/>
              </w:rPr>
            </w:pPr>
            <w:r w:rsidRPr="00376EF6">
              <w:rPr>
                <w:color w:val="000000"/>
              </w:rPr>
              <w:t>how their decision to penalise networks that have provide</w:t>
            </w:r>
            <w:r w:rsidR="005239D4">
              <w:rPr>
                <w:color w:val="000000"/>
              </w:rPr>
              <w:t>d</w:t>
            </w:r>
            <w:r w:rsidRPr="00376EF6">
              <w:rPr>
                <w:color w:val="000000"/>
              </w:rPr>
              <w:t xml:space="preserve"> more information and greater transparency aligns with the business plan guidance?</w:t>
            </w:r>
          </w:p>
          <w:p w14:paraId="373E21D8" w14:textId="66A655F9" w:rsidR="00A0584E" w:rsidRPr="00376EF6" w:rsidRDefault="00A0584E" w:rsidP="00004B8C">
            <w:pPr>
              <w:pStyle w:val="xmsonormal"/>
              <w:rPr>
                <w:color w:val="000000"/>
              </w:rPr>
            </w:pPr>
          </w:p>
        </w:tc>
      </w:tr>
      <w:tr w:rsidR="005927B6" w:rsidRPr="00376EF6" w14:paraId="5689E132" w14:textId="77777777" w:rsidTr="051C614C">
        <w:trPr>
          <w:trHeight w:hRule="exact" w:val="397"/>
        </w:trPr>
        <w:tc>
          <w:tcPr>
            <w:tcW w:w="2268" w:type="dxa"/>
            <w:gridSpan w:val="2"/>
            <w:shd w:val="clear" w:color="auto" w:fill="auto"/>
            <w:vAlign w:val="center"/>
          </w:tcPr>
          <w:p w14:paraId="00E00379" w14:textId="0380BCDB" w:rsidR="005927B6" w:rsidRPr="00376EF6" w:rsidRDefault="005927B6" w:rsidP="00945C7C">
            <w:pPr>
              <w:rPr>
                <w:rFonts w:ascii="Calibri" w:hAnsi="Calibri" w:cs="Arial"/>
                <w:b/>
                <w:bCs/>
                <w:sz w:val="22"/>
              </w:rPr>
            </w:pPr>
            <w:r w:rsidRPr="00376EF6">
              <w:rPr>
                <w:rFonts w:ascii="Calibri" w:hAnsi="Calibri" w:cs="Arial"/>
                <w:b/>
                <w:bCs/>
                <w:sz w:val="22"/>
              </w:rPr>
              <w:t>Confidential</w:t>
            </w:r>
          </w:p>
        </w:tc>
        <w:tc>
          <w:tcPr>
            <w:tcW w:w="8081" w:type="dxa"/>
            <w:gridSpan w:val="2"/>
            <w:shd w:val="clear" w:color="auto" w:fill="auto"/>
            <w:vAlign w:val="center"/>
          </w:tcPr>
          <w:p w14:paraId="2CF1E278" w14:textId="15E2F96C" w:rsidR="005927B6" w:rsidRPr="00376EF6" w:rsidRDefault="005927B6" w:rsidP="005927B6">
            <w:pPr>
              <w:rPr>
                <w:rFonts w:ascii="Calibri" w:hAnsi="Calibri" w:cs="Arial"/>
                <w:sz w:val="22"/>
              </w:rPr>
            </w:pPr>
            <w:r w:rsidRPr="00376EF6">
              <w:rPr>
                <w:rFonts w:ascii="Calibri" w:hAnsi="Calibri" w:cs="Arial"/>
                <w:sz w:val="22"/>
              </w:rPr>
              <w:t>No</w:t>
            </w:r>
          </w:p>
        </w:tc>
      </w:tr>
      <w:tr w:rsidR="00345419" w:rsidRPr="00376EF6" w14:paraId="373E21DC" w14:textId="77777777" w:rsidTr="051C614C">
        <w:trPr>
          <w:trHeight w:hRule="exact" w:val="397"/>
        </w:trPr>
        <w:tc>
          <w:tcPr>
            <w:tcW w:w="2268" w:type="dxa"/>
            <w:gridSpan w:val="2"/>
            <w:shd w:val="clear" w:color="auto" w:fill="auto"/>
            <w:vAlign w:val="center"/>
          </w:tcPr>
          <w:p w14:paraId="373E21DA" w14:textId="31C9A8AB" w:rsidR="00345419" w:rsidRPr="00376EF6" w:rsidRDefault="00345419" w:rsidP="00345419">
            <w:pPr>
              <w:rPr>
                <w:rFonts w:ascii="Calibri" w:hAnsi="Calibri" w:cs="Arial"/>
                <w:b/>
                <w:bCs/>
                <w:sz w:val="22"/>
              </w:rPr>
            </w:pPr>
            <w:r w:rsidRPr="00376EF6">
              <w:rPr>
                <w:rFonts w:ascii="Calibri" w:hAnsi="Calibri" w:cs="Arial"/>
                <w:b/>
                <w:bCs/>
                <w:sz w:val="22"/>
              </w:rPr>
              <w:t xml:space="preserve">FDQ raised by </w:t>
            </w:r>
          </w:p>
        </w:tc>
        <w:tc>
          <w:tcPr>
            <w:tcW w:w="8081" w:type="dxa"/>
            <w:gridSpan w:val="2"/>
            <w:shd w:val="clear" w:color="auto" w:fill="auto"/>
            <w:vAlign w:val="center"/>
          </w:tcPr>
          <w:p w14:paraId="373E21DB" w14:textId="22223005" w:rsidR="00345419" w:rsidRPr="00376EF6" w:rsidRDefault="00345419" w:rsidP="00345419">
            <w:pPr>
              <w:rPr>
                <w:rFonts w:ascii="Calibri" w:hAnsi="Calibri" w:cs="Arial"/>
                <w:sz w:val="22"/>
              </w:rPr>
            </w:pPr>
            <w:r>
              <w:rPr>
                <w:rFonts w:asciiTheme="minorHAnsi" w:hAnsiTheme="minorHAnsi" w:cs="Arial"/>
                <w:sz w:val="22"/>
              </w:rPr>
              <w:t>SGN</w:t>
            </w:r>
          </w:p>
        </w:tc>
      </w:tr>
      <w:tr w:rsidR="00345419" w:rsidRPr="00376EF6" w14:paraId="373E21DF" w14:textId="77777777" w:rsidTr="051C614C">
        <w:trPr>
          <w:trHeight w:hRule="exact" w:val="397"/>
        </w:trPr>
        <w:tc>
          <w:tcPr>
            <w:tcW w:w="2268" w:type="dxa"/>
            <w:gridSpan w:val="2"/>
            <w:shd w:val="clear" w:color="auto" w:fill="auto"/>
            <w:vAlign w:val="center"/>
          </w:tcPr>
          <w:p w14:paraId="373E21DD" w14:textId="43C86628" w:rsidR="00345419" w:rsidRPr="00376EF6" w:rsidRDefault="00345419" w:rsidP="00345419">
            <w:pPr>
              <w:rPr>
                <w:rFonts w:ascii="Calibri" w:hAnsi="Calibri" w:cs="Arial"/>
                <w:b/>
                <w:bCs/>
                <w:sz w:val="22"/>
              </w:rPr>
            </w:pPr>
            <w:r w:rsidRPr="00376EF6">
              <w:rPr>
                <w:rFonts w:ascii="Calibri" w:hAnsi="Calibri" w:cs="Arial"/>
                <w:b/>
                <w:bCs/>
                <w:sz w:val="22"/>
              </w:rPr>
              <w:t>Date Sent</w:t>
            </w:r>
          </w:p>
        </w:tc>
        <w:tc>
          <w:tcPr>
            <w:tcW w:w="8081" w:type="dxa"/>
            <w:gridSpan w:val="2"/>
            <w:shd w:val="clear" w:color="auto" w:fill="auto"/>
            <w:vAlign w:val="center"/>
          </w:tcPr>
          <w:p w14:paraId="373E21DE" w14:textId="1498E76B" w:rsidR="00345419" w:rsidRPr="00376EF6" w:rsidRDefault="00345419" w:rsidP="00345419">
            <w:pPr>
              <w:rPr>
                <w:rFonts w:ascii="Calibri" w:hAnsi="Calibri" w:cs="Arial"/>
                <w:sz w:val="22"/>
              </w:rPr>
            </w:pPr>
            <w:r>
              <w:rPr>
                <w:rFonts w:asciiTheme="minorHAnsi" w:hAnsiTheme="minorHAnsi" w:cs="Arial"/>
                <w:sz w:val="22"/>
              </w:rPr>
              <w:t>11/12/2020</w:t>
            </w:r>
          </w:p>
        </w:tc>
      </w:tr>
      <w:tr w:rsidR="000E5B6D" w:rsidRPr="00376EF6" w14:paraId="237714F0" w14:textId="77777777" w:rsidTr="051C614C">
        <w:trPr>
          <w:trHeight w:val="127"/>
        </w:trPr>
        <w:tc>
          <w:tcPr>
            <w:tcW w:w="2268" w:type="dxa"/>
            <w:gridSpan w:val="2"/>
            <w:shd w:val="clear" w:color="auto" w:fill="auto"/>
            <w:vAlign w:val="center"/>
          </w:tcPr>
          <w:p w14:paraId="4CD6EE6F" w14:textId="77777777" w:rsidR="000E5B6D" w:rsidRPr="00376EF6" w:rsidRDefault="000E5B6D" w:rsidP="00945C7C">
            <w:pPr>
              <w:rPr>
                <w:rFonts w:ascii="Calibri" w:hAnsi="Calibri" w:cs="Arial"/>
                <w:b/>
                <w:bCs/>
                <w:sz w:val="22"/>
              </w:rPr>
            </w:pPr>
            <w:r w:rsidRPr="00376EF6">
              <w:rPr>
                <w:rFonts w:ascii="Calibri" w:hAnsi="Calibri" w:cs="Arial"/>
                <w:b/>
                <w:bCs/>
                <w:sz w:val="22"/>
              </w:rPr>
              <w:t xml:space="preserve">Ofgem Response </w:t>
            </w:r>
          </w:p>
          <w:p w14:paraId="68C4F125" w14:textId="77777777" w:rsidR="000E5B6D" w:rsidRPr="00376EF6" w:rsidRDefault="000E5B6D" w:rsidP="00945C7C">
            <w:pPr>
              <w:rPr>
                <w:rFonts w:ascii="Calibri" w:hAnsi="Calibri" w:cs="Arial"/>
                <w:b/>
                <w:bCs/>
                <w:sz w:val="22"/>
              </w:rPr>
            </w:pPr>
          </w:p>
          <w:p w14:paraId="260FE646" w14:textId="77777777" w:rsidR="000E5B6D" w:rsidRPr="00376EF6" w:rsidRDefault="000E5B6D" w:rsidP="00945C7C">
            <w:pPr>
              <w:rPr>
                <w:rFonts w:ascii="Calibri" w:hAnsi="Calibri" w:cs="Arial"/>
                <w:b/>
                <w:bCs/>
                <w:sz w:val="22"/>
              </w:rPr>
            </w:pPr>
          </w:p>
          <w:p w14:paraId="02C5C34A" w14:textId="66640490" w:rsidR="000E5B6D" w:rsidRPr="00376EF6" w:rsidRDefault="000E5B6D" w:rsidP="00945C7C">
            <w:pPr>
              <w:rPr>
                <w:rFonts w:ascii="Calibri" w:hAnsi="Calibri" w:cs="Arial"/>
                <w:b/>
                <w:bCs/>
                <w:sz w:val="22"/>
              </w:rPr>
            </w:pPr>
          </w:p>
        </w:tc>
        <w:tc>
          <w:tcPr>
            <w:tcW w:w="8081" w:type="dxa"/>
            <w:gridSpan w:val="2"/>
            <w:shd w:val="clear" w:color="auto" w:fill="auto"/>
            <w:vAlign w:val="center"/>
          </w:tcPr>
          <w:p w14:paraId="77E190A5" w14:textId="59A96D35" w:rsidR="000E5B6D" w:rsidRPr="000A6CFB" w:rsidRDefault="000A6CFB" w:rsidP="000A6CFB">
            <w:pPr>
              <w:rPr>
                <w:rFonts w:ascii="Calibri" w:hAnsi="Calibri" w:cs="Arial"/>
                <w:sz w:val="22"/>
              </w:rPr>
            </w:pPr>
            <w:r w:rsidRPr="000A6CFB">
              <w:rPr>
                <w:rFonts w:ascii="Calibri" w:hAnsi="Calibri" w:cs="Arial"/>
                <w:sz w:val="22"/>
              </w:rPr>
              <w:t xml:space="preserve">We do not agree that this is an error. </w:t>
            </w:r>
            <w:r w:rsidRPr="000A6CFB">
              <w:rPr>
                <w:rFonts w:ascii="Calibri" w:hAnsi="Calibri" w:cs="Arial"/>
                <w:sz w:val="22"/>
              </w:rPr>
              <w:t>We note SGN’s view but the GD annex sets out Ofgem’s position on this for Final Determinations.</w:t>
            </w: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6EE49" w14:textId="77777777" w:rsidR="001A770F" w:rsidRDefault="001A770F" w:rsidP="00526623">
      <w:pPr>
        <w:spacing w:after="0" w:line="240" w:lineRule="auto"/>
      </w:pPr>
      <w:r>
        <w:separator/>
      </w:r>
    </w:p>
  </w:endnote>
  <w:endnote w:type="continuationSeparator" w:id="0">
    <w:p w14:paraId="17531A52" w14:textId="77777777" w:rsidR="001A770F" w:rsidRDefault="001A770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1BE7F" w14:textId="77777777" w:rsidR="001A770F" w:rsidRDefault="001A770F" w:rsidP="00526623">
      <w:pPr>
        <w:spacing w:after="0" w:line="240" w:lineRule="auto"/>
      </w:pPr>
      <w:r>
        <w:separator/>
      </w:r>
    </w:p>
  </w:footnote>
  <w:footnote w:type="continuationSeparator" w:id="0">
    <w:p w14:paraId="6742CDFC" w14:textId="77777777" w:rsidR="001A770F" w:rsidRDefault="001A770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144106"/>
    <w:multiLevelType w:val="hybridMultilevel"/>
    <w:tmpl w:val="0A083BA0"/>
    <w:lvl w:ilvl="0" w:tplc="02D26C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4F0664"/>
    <w:multiLevelType w:val="hybridMultilevel"/>
    <w:tmpl w:val="670A5B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3"/>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746"/>
    <w:rsid w:val="00007AB6"/>
    <w:rsid w:val="00041711"/>
    <w:rsid w:val="000436C2"/>
    <w:rsid w:val="000473D3"/>
    <w:rsid w:val="00050C54"/>
    <w:rsid w:val="000A6CFB"/>
    <w:rsid w:val="000B0536"/>
    <w:rsid w:val="000D235A"/>
    <w:rsid w:val="000E5B6D"/>
    <w:rsid w:val="0010126C"/>
    <w:rsid w:val="00107296"/>
    <w:rsid w:val="00131161"/>
    <w:rsid w:val="00133BD9"/>
    <w:rsid w:val="00133CFC"/>
    <w:rsid w:val="001372A5"/>
    <w:rsid w:val="00167A62"/>
    <w:rsid w:val="00172809"/>
    <w:rsid w:val="00174A50"/>
    <w:rsid w:val="001A770F"/>
    <w:rsid w:val="001D0151"/>
    <w:rsid w:val="00206D5F"/>
    <w:rsid w:val="00231107"/>
    <w:rsid w:val="002707B1"/>
    <w:rsid w:val="00291D51"/>
    <w:rsid w:val="00293724"/>
    <w:rsid w:val="002A4AD8"/>
    <w:rsid w:val="002B4955"/>
    <w:rsid w:val="002B6549"/>
    <w:rsid w:val="002C45C9"/>
    <w:rsid w:val="002E3EFB"/>
    <w:rsid w:val="00300FB4"/>
    <w:rsid w:val="003043A4"/>
    <w:rsid w:val="00336182"/>
    <w:rsid w:val="00342E6F"/>
    <w:rsid w:val="003452B0"/>
    <w:rsid w:val="00345419"/>
    <w:rsid w:val="00360385"/>
    <w:rsid w:val="00376EF6"/>
    <w:rsid w:val="00385085"/>
    <w:rsid w:val="00386528"/>
    <w:rsid w:val="00386B68"/>
    <w:rsid w:val="003A5E2D"/>
    <w:rsid w:val="003B3576"/>
    <w:rsid w:val="003F465C"/>
    <w:rsid w:val="00400822"/>
    <w:rsid w:val="00441845"/>
    <w:rsid w:val="004660DF"/>
    <w:rsid w:val="004726F1"/>
    <w:rsid w:val="004C4D2B"/>
    <w:rsid w:val="004D0311"/>
    <w:rsid w:val="004D1F2F"/>
    <w:rsid w:val="00503895"/>
    <w:rsid w:val="005239D4"/>
    <w:rsid w:val="00526623"/>
    <w:rsid w:val="00526A8E"/>
    <w:rsid w:val="00530757"/>
    <w:rsid w:val="00534E92"/>
    <w:rsid w:val="00536220"/>
    <w:rsid w:val="00584F30"/>
    <w:rsid w:val="00586A8E"/>
    <w:rsid w:val="005927B6"/>
    <w:rsid w:val="005A506C"/>
    <w:rsid w:val="005A74DE"/>
    <w:rsid w:val="005E2894"/>
    <w:rsid w:val="0060723D"/>
    <w:rsid w:val="006224F4"/>
    <w:rsid w:val="006279ED"/>
    <w:rsid w:val="00650CA3"/>
    <w:rsid w:val="006847DA"/>
    <w:rsid w:val="006A25DD"/>
    <w:rsid w:val="006B26DE"/>
    <w:rsid w:val="00716508"/>
    <w:rsid w:val="00721734"/>
    <w:rsid w:val="007400B7"/>
    <w:rsid w:val="00753976"/>
    <w:rsid w:val="007572D8"/>
    <w:rsid w:val="007649AC"/>
    <w:rsid w:val="00772D1E"/>
    <w:rsid w:val="007974DA"/>
    <w:rsid w:val="007A2D66"/>
    <w:rsid w:val="007B03EA"/>
    <w:rsid w:val="007B29A9"/>
    <w:rsid w:val="007C2E37"/>
    <w:rsid w:val="007D7648"/>
    <w:rsid w:val="007E30C4"/>
    <w:rsid w:val="007F69F2"/>
    <w:rsid w:val="008170C7"/>
    <w:rsid w:val="00845396"/>
    <w:rsid w:val="0085400C"/>
    <w:rsid w:val="008A5062"/>
    <w:rsid w:val="008B3636"/>
    <w:rsid w:val="008B7043"/>
    <w:rsid w:val="008B7817"/>
    <w:rsid w:val="008B790A"/>
    <w:rsid w:val="008C5A35"/>
    <w:rsid w:val="00924DEC"/>
    <w:rsid w:val="00935000"/>
    <w:rsid w:val="00937BF5"/>
    <w:rsid w:val="00942721"/>
    <w:rsid w:val="00945C7C"/>
    <w:rsid w:val="00946125"/>
    <w:rsid w:val="00951B43"/>
    <w:rsid w:val="009762C9"/>
    <w:rsid w:val="009845A8"/>
    <w:rsid w:val="009A3C0A"/>
    <w:rsid w:val="009B26A0"/>
    <w:rsid w:val="009B7577"/>
    <w:rsid w:val="009D4F56"/>
    <w:rsid w:val="00A032EE"/>
    <w:rsid w:val="00A054D1"/>
    <w:rsid w:val="00A0584E"/>
    <w:rsid w:val="00A06191"/>
    <w:rsid w:val="00A56CF3"/>
    <w:rsid w:val="00A77899"/>
    <w:rsid w:val="00A922CF"/>
    <w:rsid w:val="00A94192"/>
    <w:rsid w:val="00AC6418"/>
    <w:rsid w:val="00AE2C71"/>
    <w:rsid w:val="00AF2854"/>
    <w:rsid w:val="00B264CD"/>
    <w:rsid w:val="00B33B74"/>
    <w:rsid w:val="00B33BDA"/>
    <w:rsid w:val="00B35E40"/>
    <w:rsid w:val="00B378CC"/>
    <w:rsid w:val="00B41AEB"/>
    <w:rsid w:val="00B702DE"/>
    <w:rsid w:val="00B82400"/>
    <w:rsid w:val="00B86DDF"/>
    <w:rsid w:val="00B94613"/>
    <w:rsid w:val="00BA4154"/>
    <w:rsid w:val="00BA45A5"/>
    <w:rsid w:val="00BA5A79"/>
    <w:rsid w:val="00BB2BBA"/>
    <w:rsid w:val="00BB4793"/>
    <w:rsid w:val="00BB56A8"/>
    <w:rsid w:val="00BB682C"/>
    <w:rsid w:val="00BD48A8"/>
    <w:rsid w:val="00C10D99"/>
    <w:rsid w:val="00C47D05"/>
    <w:rsid w:val="00C57345"/>
    <w:rsid w:val="00C814D0"/>
    <w:rsid w:val="00C81B4C"/>
    <w:rsid w:val="00CA4297"/>
    <w:rsid w:val="00CC7214"/>
    <w:rsid w:val="00CF22EF"/>
    <w:rsid w:val="00D1736D"/>
    <w:rsid w:val="00D22A70"/>
    <w:rsid w:val="00D50036"/>
    <w:rsid w:val="00D53135"/>
    <w:rsid w:val="00D77DBA"/>
    <w:rsid w:val="00D81399"/>
    <w:rsid w:val="00D815E6"/>
    <w:rsid w:val="00DA4D94"/>
    <w:rsid w:val="00DA67E5"/>
    <w:rsid w:val="00E040EA"/>
    <w:rsid w:val="00E11C0E"/>
    <w:rsid w:val="00E346B6"/>
    <w:rsid w:val="00E525E0"/>
    <w:rsid w:val="00E55A7F"/>
    <w:rsid w:val="00E566F5"/>
    <w:rsid w:val="00EA5441"/>
    <w:rsid w:val="00EB123E"/>
    <w:rsid w:val="00EB179A"/>
    <w:rsid w:val="00EB2613"/>
    <w:rsid w:val="00EE1C79"/>
    <w:rsid w:val="00EE2493"/>
    <w:rsid w:val="00F071AB"/>
    <w:rsid w:val="00F129C1"/>
    <w:rsid w:val="00F1487E"/>
    <w:rsid w:val="00F20F23"/>
    <w:rsid w:val="00F23B18"/>
    <w:rsid w:val="00F266D1"/>
    <w:rsid w:val="00F31270"/>
    <w:rsid w:val="00F34CB1"/>
    <w:rsid w:val="00F678C1"/>
    <w:rsid w:val="00F82AB4"/>
    <w:rsid w:val="00FB0EC9"/>
    <w:rsid w:val="00FF2606"/>
    <w:rsid w:val="051C614C"/>
    <w:rsid w:val="69F0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customStyle="1" w:styleId="Default">
    <w:name w:val="Default"/>
    <w:rsid w:val="0053075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1869297207">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62488AB1AA15E14D84DFA7E22D330EDE"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04B4F33-AA6E-4A8D-9F7D-9E9CAD0A1C61}">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596970FB-BA0C-4A2C-9E2E-4A49E7C2F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purl.org/dc/terms/"/>
    <ds:schemaRef ds:uri="http://schemas.microsoft.com/office/2006/documentManagement/types"/>
    <ds:schemaRef ds:uri="http://purl.org/dc/dcmitype/"/>
    <ds:schemaRef ds:uri="http://schemas.microsoft.com/sharepoint/v3/fields"/>
    <ds:schemaRef ds:uri="http://www.w3.org/XML/1998/namespace"/>
    <ds:schemaRef ds:uri="http://purl.org/dc/elements/1.1/"/>
    <ds:schemaRef ds:uri="http://schemas.microsoft.com/office/infopath/2007/PartnerControls"/>
    <ds:schemaRef ds:uri="http://schemas.openxmlformats.org/package/2006/metadata/core-properties"/>
    <ds:schemaRef ds:uri="631298fc-6a88-4548-b7d9-3b164918c4a3"/>
  </ds:schemaRefs>
</ds:datastoreItem>
</file>

<file path=customXml/itemProps5.xml><?xml version="1.0" encoding="utf-8"?>
<ds:datastoreItem xmlns:ds="http://schemas.openxmlformats.org/officeDocument/2006/customXml" ds:itemID="{45F61181-23A1-42A1-85FF-2045D36EA45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253</Words>
  <Characters>1447</Characters>
  <Application>Microsoft Office Word</Application>
  <DocSecurity>0</DocSecurity>
  <Lines>12</Lines>
  <Paragraphs>3</Paragraphs>
  <ScaleCrop>false</ScaleCrop>
  <Company>Ofgem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30</cp:revision>
  <dcterms:created xsi:type="dcterms:W3CDTF">2020-12-10T21:26:00Z</dcterms:created>
  <dcterms:modified xsi:type="dcterms:W3CDTF">2020-12-23T12:11:00Z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y fmtid="{D5CDD505-2E9C-101B-9397-08002B2CF9AE}" pid="45" name="MSIP_Label_2b73dd0b-afe1-4a46-943f-1bdb914b8a49_Enabled">
    <vt:lpwstr>true</vt:lpwstr>
  </property>
  <property fmtid="{D5CDD505-2E9C-101B-9397-08002B2CF9AE}" pid="46" name="MSIP_Label_2b73dd0b-afe1-4a46-943f-1bdb914b8a49_SetDate">
    <vt:lpwstr>2020-12-10T21:00:04Z</vt:lpwstr>
  </property>
  <property fmtid="{D5CDD505-2E9C-101B-9397-08002B2CF9AE}" pid="47" name="MSIP_Label_2b73dd0b-afe1-4a46-943f-1bdb914b8a49_Method">
    <vt:lpwstr>Standard</vt:lpwstr>
  </property>
  <property fmtid="{D5CDD505-2E9C-101B-9397-08002B2CF9AE}" pid="48" name="MSIP_Label_2b73dd0b-afe1-4a46-943f-1bdb914b8a49_Name">
    <vt:lpwstr>Internal</vt:lpwstr>
  </property>
  <property fmtid="{D5CDD505-2E9C-101B-9397-08002B2CF9AE}" pid="49" name="MSIP_Label_2b73dd0b-afe1-4a46-943f-1bdb914b8a49_SiteId">
    <vt:lpwstr>b9563cbc-9874-41ab-b448-7e0f61aff3eb</vt:lpwstr>
  </property>
  <property fmtid="{D5CDD505-2E9C-101B-9397-08002B2CF9AE}" pid="50" name="MSIP_Label_2b73dd0b-afe1-4a46-943f-1bdb914b8a49_ActionId">
    <vt:lpwstr>744a0660-0faf-4336-b578-00004c4bec3f</vt:lpwstr>
  </property>
  <property fmtid="{D5CDD505-2E9C-101B-9397-08002B2CF9AE}" pid="51" name="MSIP_Label_2b73dd0b-afe1-4a46-943f-1bdb914b8a49_ContentBits">
    <vt:lpwstr>2</vt:lpwstr>
  </property>
</Properties>
</file>