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74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
        <w:gridCol w:w="20"/>
        <w:gridCol w:w="2707"/>
        <w:gridCol w:w="7230"/>
        <w:gridCol w:w="1234"/>
        <w:gridCol w:w="5996"/>
      </w:tblGrid>
      <w:tr w:rsidR="00133BD9" w:rsidRPr="00876240" w14:paraId="35B7F336" w14:textId="77777777" w:rsidTr="00C60EDD">
        <w:trPr>
          <w:gridAfter w:val="1"/>
          <w:wAfter w:w="5996" w:type="dxa"/>
          <w:trHeight w:val="315"/>
        </w:trPr>
        <w:tc>
          <w:tcPr>
            <w:tcW w:w="11407" w:type="dxa"/>
            <w:gridSpan w:val="5"/>
            <w:tcBorders>
              <w:top w:val="nil"/>
              <w:left w:val="nil"/>
              <w:bottom w:val="nil"/>
              <w:right w:val="nil"/>
            </w:tcBorders>
            <w:shd w:val="clear" w:color="auto" w:fill="auto"/>
            <w:noWrap/>
            <w:vAlign w:val="center"/>
            <w:hideMark/>
          </w:tcPr>
          <w:p w14:paraId="24539641" w14:textId="77777777"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550D00EB" w14:textId="77777777" w:rsidTr="00C60EDD">
        <w:trPr>
          <w:gridBefore w:val="1"/>
          <w:gridAfter w:val="2"/>
          <w:wBefore w:w="216" w:type="dxa"/>
          <w:wAfter w:w="7230" w:type="dxa"/>
          <w:trHeight w:val="315"/>
        </w:trPr>
        <w:tc>
          <w:tcPr>
            <w:tcW w:w="9957" w:type="dxa"/>
            <w:gridSpan w:val="3"/>
            <w:tcBorders>
              <w:top w:val="nil"/>
              <w:left w:val="nil"/>
              <w:right w:val="nil"/>
            </w:tcBorders>
            <w:shd w:val="clear" w:color="auto" w:fill="auto"/>
            <w:noWrap/>
            <w:vAlign w:val="center"/>
            <w:hideMark/>
          </w:tcPr>
          <w:p w14:paraId="6CFA2FE9" w14:textId="77777777"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597A19CD" w14:textId="77777777" w:rsidTr="00C60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7230" w:type="dxa"/>
          <w:trHeight w:val="614"/>
        </w:trPr>
        <w:tc>
          <w:tcPr>
            <w:tcW w:w="236" w:type="dxa"/>
            <w:gridSpan w:val="2"/>
            <w:vAlign w:val="center"/>
            <w:hideMark/>
          </w:tcPr>
          <w:p w14:paraId="6EE91A33"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9F06C4"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7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D3914E"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CADENT_FDQ_ </w:t>
            </w:r>
            <w:r w:rsidR="004C4C19">
              <w:rPr>
                <w:rFonts w:ascii="Arial" w:hAnsi="Arial" w:cs="Arial"/>
                <w:sz w:val="20"/>
                <w:szCs w:val="20"/>
                <w:lang w:eastAsia="en-US"/>
              </w:rPr>
              <w:t>28</w:t>
            </w:r>
          </w:p>
        </w:tc>
      </w:tr>
      <w:tr w:rsidR="00EA1559" w:rsidRPr="00EA1559" w14:paraId="6724ACCA" w14:textId="77777777" w:rsidTr="00C60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7230" w:type="dxa"/>
          <w:trHeight w:val="127"/>
        </w:trPr>
        <w:tc>
          <w:tcPr>
            <w:tcW w:w="236" w:type="dxa"/>
            <w:gridSpan w:val="2"/>
            <w:vAlign w:val="center"/>
          </w:tcPr>
          <w:p w14:paraId="3C3CBDB7"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46F312"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7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E7A7FF" w14:textId="77777777" w:rsidR="00EA1559" w:rsidRPr="00EA1559" w:rsidRDefault="00EA1559">
            <w:pPr>
              <w:pStyle w:val="NormalWeb"/>
              <w:spacing w:after="200" w:afterAutospacing="0" w:line="276" w:lineRule="auto"/>
              <w:rPr>
                <w:rFonts w:ascii="Arial" w:hAnsi="Arial" w:cs="Arial"/>
                <w:sz w:val="20"/>
                <w:szCs w:val="20"/>
                <w:lang w:eastAsia="en-US"/>
              </w:rPr>
            </w:pPr>
            <w:r w:rsidRPr="00EA1559">
              <w:rPr>
                <w:rFonts w:ascii="Arial" w:hAnsi="Arial" w:cs="Arial"/>
                <w:sz w:val="20"/>
                <w:szCs w:val="20"/>
                <w:lang w:eastAsia="en-US"/>
              </w:rPr>
              <w:t xml:space="preserve">High </w:t>
            </w:r>
            <w:r w:rsidR="00012030">
              <w:rPr>
                <w:rFonts w:ascii="Arial" w:hAnsi="Arial" w:cs="Arial"/>
                <w:sz w:val="20"/>
                <w:szCs w:val="20"/>
                <w:lang w:eastAsia="en-US"/>
              </w:rPr>
              <w:t>– Technical Error</w:t>
            </w:r>
          </w:p>
        </w:tc>
      </w:tr>
      <w:tr w:rsidR="00EA1559" w:rsidRPr="00EA1559" w14:paraId="28F97128" w14:textId="77777777" w:rsidTr="00C60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7230" w:type="dxa"/>
          <w:trHeight w:val="127"/>
        </w:trPr>
        <w:tc>
          <w:tcPr>
            <w:tcW w:w="236" w:type="dxa"/>
            <w:gridSpan w:val="2"/>
            <w:vAlign w:val="center"/>
            <w:hideMark/>
          </w:tcPr>
          <w:p w14:paraId="0505ADD8"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45EAFB34"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723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62B3DB85" w14:textId="77777777" w:rsidR="00EA1559" w:rsidRPr="00EA1559" w:rsidRDefault="00206CA9">
            <w:pPr>
              <w:pStyle w:val="NormalWeb"/>
              <w:spacing w:after="200" w:afterAutospacing="0" w:line="276" w:lineRule="auto"/>
              <w:rPr>
                <w:rFonts w:ascii="Verdana" w:hAnsi="Verdana"/>
                <w:sz w:val="20"/>
                <w:szCs w:val="20"/>
                <w:lang w:eastAsia="en-US"/>
              </w:rPr>
            </w:pPr>
            <w:r>
              <w:rPr>
                <w:rFonts w:ascii="Arial" w:hAnsi="Arial" w:cs="Arial"/>
                <w:sz w:val="20"/>
                <w:szCs w:val="20"/>
                <w:lang w:eastAsia="en-US"/>
              </w:rPr>
              <w:t>FD modelling suite</w:t>
            </w:r>
          </w:p>
        </w:tc>
      </w:tr>
      <w:tr w:rsidR="00EA1559" w:rsidRPr="00EA1559" w14:paraId="1AF97B66" w14:textId="77777777" w:rsidTr="00C60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7230" w:type="dxa"/>
          <w:trHeight w:val="127"/>
        </w:trPr>
        <w:tc>
          <w:tcPr>
            <w:tcW w:w="236" w:type="dxa"/>
            <w:gridSpan w:val="2"/>
            <w:tcBorders>
              <w:right w:val="single" w:sz="4" w:space="0" w:color="auto"/>
            </w:tcBorders>
            <w:vAlign w:val="center"/>
            <w:hideMark/>
          </w:tcPr>
          <w:p w14:paraId="0476DE55" w14:textId="77777777" w:rsidR="00EA1559" w:rsidRPr="00EA1559" w:rsidRDefault="00EA1559">
            <w:pPr>
              <w:rPr>
                <w:rFonts w:ascii="Calibri" w:hAnsi="Calibri"/>
                <w:sz w:val="22"/>
              </w:rPr>
            </w:pPr>
            <w:r w:rsidRPr="00EA1559">
              <w:t> </w:t>
            </w:r>
          </w:p>
        </w:tc>
        <w:tc>
          <w:tcPr>
            <w:tcW w:w="2707"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5F3C0B57"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7230" w:type="dxa"/>
            <w:tcBorders>
              <w:top w:val="single" w:sz="4" w:space="0" w:color="auto"/>
              <w:left w:val="nil"/>
              <w:right w:val="single" w:sz="4" w:space="0" w:color="auto"/>
            </w:tcBorders>
            <w:tcMar>
              <w:top w:w="0" w:type="dxa"/>
              <w:left w:w="108" w:type="dxa"/>
              <w:bottom w:w="0" w:type="dxa"/>
              <w:right w:w="108" w:type="dxa"/>
            </w:tcMar>
            <w:vAlign w:val="center"/>
          </w:tcPr>
          <w:p w14:paraId="1D8BE5BE" w14:textId="77777777" w:rsidR="00EA1559" w:rsidRPr="00EA1559" w:rsidRDefault="000C05FF" w:rsidP="00FD5CD1">
            <w:pPr>
              <w:pStyle w:val="NormalWeb"/>
              <w:spacing w:after="200" w:afterAutospacing="0" w:line="276" w:lineRule="auto"/>
              <w:ind w:right="1255"/>
              <w:rPr>
                <w:rFonts w:ascii="Verdana" w:hAnsi="Verdana"/>
                <w:sz w:val="20"/>
                <w:szCs w:val="20"/>
                <w:lang w:eastAsia="en-US"/>
              </w:rPr>
            </w:pPr>
            <w:r>
              <w:rPr>
                <w:rFonts w:ascii="Verdana" w:hAnsi="Verdana"/>
                <w:sz w:val="20"/>
                <w:szCs w:val="20"/>
                <w:lang w:eastAsia="en-US"/>
              </w:rPr>
              <w:t xml:space="preserve">Technical Assessment - </w:t>
            </w:r>
            <w:r w:rsidR="00232BEB">
              <w:rPr>
                <w:rFonts w:ascii="Verdana" w:hAnsi="Verdana"/>
                <w:sz w:val="20"/>
                <w:szCs w:val="20"/>
                <w:lang w:eastAsia="en-US"/>
              </w:rPr>
              <w:t>LTS Diversions</w:t>
            </w:r>
          </w:p>
        </w:tc>
      </w:tr>
      <w:tr w:rsidR="00C60EDD" w:rsidRPr="00EA1559" w14:paraId="552A4F5C" w14:textId="77777777" w:rsidTr="00C60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7230" w:type="dxa"/>
          <w:trHeight w:val="127"/>
        </w:trPr>
        <w:tc>
          <w:tcPr>
            <w:tcW w:w="236" w:type="dxa"/>
            <w:gridSpan w:val="2"/>
            <w:tcBorders>
              <w:right w:val="single" w:sz="4" w:space="0" w:color="auto"/>
            </w:tcBorders>
            <w:vAlign w:val="center"/>
          </w:tcPr>
          <w:p w14:paraId="6FFFB591" w14:textId="77777777" w:rsidR="00C60EDD" w:rsidRPr="00EA1559" w:rsidRDefault="00C60EDD" w:rsidP="00FD5CD1"/>
        </w:tc>
        <w:tc>
          <w:tcPr>
            <w:tcW w:w="2707"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3FE580C0" w14:textId="77777777" w:rsidR="00C60EDD" w:rsidRDefault="00C60EDD" w:rsidP="00FD5CD1">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7230" w:type="dxa"/>
            <w:tcBorders>
              <w:top w:val="single" w:sz="4" w:space="0" w:color="auto"/>
              <w:left w:val="single" w:sz="4" w:space="0" w:color="auto"/>
              <w:right w:val="single" w:sz="4" w:space="0" w:color="auto"/>
            </w:tcBorders>
            <w:vAlign w:val="center"/>
          </w:tcPr>
          <w:p w14:paraId="62891001" w14:textId="77777777" w:rsidR="000C05FF" w:rsidRDefault="000C05FF" w:rsidP="00FD5CD1">
            <w:pPr>
              <w:pStyle w:val="NormalWeb"/>
              <w:spacing w:after="200" w:afterAutospacing="0" w:line="276" w:lineRule="auto"/>
              <w:rPr>
                <w:rFonts w:ascii="Verdana" w:hAnsi="Verdana"/>
                <w:sz w:val="20"/>
                <w:szCs w:val="20"/>
                <w:lang w:eastAsia="en-US"/>
              </w:rPr>
            </w:pPr>
          </w:p>
          <w:p w14:paraId="3F37D06D" w14:textId="77777777" w:rsidR="00732827" w:rsidRDefault="00732827" w:rsidP="00FD5CD1">
            <w:pPr>
              <w:pStyle w:val="NormalWeb"/>
              <w:spacing w:after="200" w:afterAutospacing="0" w:line="276" w:lineRule="auto"/>
              <w:rPr>
                <w:rFonts w:ascii="Verdana" w:hAnsi="Verdana"/>
                <w:sz w:val="20"/>
                <w:szCs w:val="20"/>
                <w:lang w:eastAsia="en-US"/>
              </w:rPr>
            </w:pPr>
            <w:r>
              <w:rPr>
                <w:rFonts w:ascii="Verdana" w:hAnsi="Verdana"/>
                <w:sz w:val="20"/>
                <w:szCs w:val="20"/>
                <w:lang w:eastAsia="en-US"/>
              </w:rPr>
              <w:t xml:space="preserve">This FDQ raises a </w:t>
            </w:r>
            <w:r w:rsidR="000C05FF">
              <w:rPr>
                <w:rFonts w:ascii="Verdana" w:hAnsi="Verdana"/>
                <w:sz w:val="20"/>
                <w:szCs w:val="20"/>
                <w:lang w:eastAsia="en-US"/>
              </w:rPr>
              <w:t>highly significant e</w:t>
            </w:r>
            <w:r>
              <w:rPr>
                <w:rFonts w:ascii="Verdana" w:hAnsi="Verdana"/>
                <w:sz w:val="20"/>
                <w:szCs w:val="20"/>
                <w:lang w:eastAsia="en-US"/>
              </w:rPr>
              <w:t xml:space="preserve">rror with regard to </w:t>
            </w:r>
            <w:r w:rsidR="000C05FF">
              <w:rPr>
                <w:rFonts w:ascii="Verdana" w:hAnsi="Verdana"/>
                <w:sz w:val="20"/>
                <w:szCs w:val="20"/>
                <w:lang w:eastAsia="en-US"/>
              </w:rPr>
              <w:t xml:space="preserve">the treatment of expenditure on Cadent’s </w:t>
            </w:r>
            <w:r>
              <w:rPr>
                <w:rFonts w:ascii="Verdana" w:hAnsi="Verdana"/>
                <w:sz w:val="20"/>
                <w:szCs w:val="20"/>
                <w:lang w:eastAsia="en-US"/>
              </w:rPr>
              <w:t>LTS Diversions</w:t>
            </w:r>
            <w:r w:rsidR="00295816">
              <w:rPr>
                <w:rFonts w:ascii="Verdana" w:hAnsi="Verdana"/>
                <w:sz w:val="20"/>
                <w:szCs w:val="20"/>
                <w:lang w:eastAsia="en-US"/>
              </w:rPr>
              <w:t xml:space="preserve">, in particular </w:t>
            </w:r>
            <w:r w:rsidR="00F2223E">
              <w:rPr>
                <w:rFonts w:ascii="Verdana" w:hAnsi="Verdana"/>
                <w:sz w:val="20"/>
                <w:szCs w:val="20"/>
                <w:lang w:eastAsia="en-US"/>
              </w:rPr>
              <w:t xml:space="preserve">the failure </w:t>
            </w:r>
            <w:r w:rsidR="00295816">
              <w:rPr>
                <w:rFonts w:ascii="Verdana" w:hAnsi="Verdana"/>
                <w:sz w:val="20"/>
                <w:szCs w:val="20"/>
                <w:lang w:eastAsia="en-US"/>
              </w:rPr>
              <w:t xml:space="preserve">to </w:t>
            </w:r>
            <w:r w:rsidR="009D4673">
              <w:rPr>
                <w:rFonts w:ascii="Verdana" w:hAnsi="Verdana"/>
                <w:sz w:val="20"/>
                <w:szCs w:val="20"/>
                <w:lang w:eastAsia="en-US"/>
              </w:rPr>
              <w:t>remove these from the regression model in line with the approach to</w:t>
            </w:r>
            <w:r w:rsidR="00295816">
              <w:rPr>
                <w:rFonts w:ascii="Verdana" w:hAnsi="Verdana"/>
                <w:sz w:val="20"/>
                <w:szCs w:val="20"/>
                <w:lang w:eastAsia="en-US"/>
              </w:rPr>
              <w:t xml:space="preserve"> Technical Assessment of </w:t>
            </w:r>
            <w:r w:rsidR="00D379ED">
              <w:rPr>
                <w:rFonts w:ascii="Verdana" w:hAnsi="Verdana"/>
                <w:sz w:val="20"/>
                <w:szCs w:val="20"/>
                <w:lang w:eastAsia="en-US"/>
              </w:rPr>
              <w:t>these</w:t>
            </w:r>
            <w:r w:rsidR="009D4673">
              <w:rPr>
                <w:rFonts w:ascii="Verdana" w:hAnsi="Verdana"/>
                <w:sz w:val="20"/>
                <w:szCs w:val="20"/>
                <w:lang w:eastAsia="en-US"/>
              </w:rPr>
              <w:t xml:space="preserve"> types of cost</w:t>
            </w:r>
            <w:r w:rsidR="00D32844">
              <w:rPr>
                <w:rFonts w:ascii="Verdana" w:hAnsi="Verdana"/>
                <w:sz w:val="20"/>
                <w:szCs w:val="20"/>
                <w:lang w:eastAsia="en-US"/>
              </w:rPr>
              <w:t>, resulting in GDN</w:t>
            </w:r>
            <w:r w:rsidR="009D4673">
              <w:rPr>
                <w:rFonts w:ascii="Verdana" w:hAnsi="Verdana"/>
                <w:sz w:val="20"/>
                <w:szCs w:val="20"/>
                <w:lang w:eastAsia="en-US"/>
              </w:rPr>
              <w:t xml:space="preserve"> costs</w:t>
            </w:r>
            <w:r w:rsidR="00D32844">
              <w:rPr>
                <w:rFonts w:ascii="Verdana" w:hAnsi="Verdana"/>
                <w:sz w:val="20"/>
                <w:szCs w:val="20"/>
                <w:lang w:eastAsia="en-US"/>
              </w:rPr>
              <w:t xml:space="preserve"> not being treated equally, and </w:t>
            </w:r>
            <w:r w:rsidR="009D4673">
              <w:rPr>
                <w:rFonts w:ascii="Verdana" w:hAnsi="Verdana"/>
                <w:sz w:val="20"/>
                <w:szCs w:val="20"/>
                <w:lang w:eastAsia="en-US"/>
              </w:rPr>
              <w:t>the modelled efficiency regression being materially affected</w:t>
            </w:r>
            <w:r w:rsidR="00D379ED">
              <w:rPr>
                <w:rFonts w:ascii="Verdana" w:hAnsi="Verdana"/>
                <w:sz w:val="20"/>
                <w:szCs w:val="20"/>
                <w:lang w:eastAsia="en-US"/>
              </w:rPr>
              <w:t xml:space="preserve"> </w:t>
            </w:r>
            <w:r w:rsidR="00295816">
              <w:rPr>
                <w:rFonts w:ascii="Verdana" w:hAnsi="Verdana"/>
                <w:sz w:val="20"/>
                <w:szCs w:val="20"/>
                <w:lang w:eastAsia="en-US"/>
              </w:rPr>
              <w:t xml:space="preserve"> </w:t>
            </w:r>
            <w:r>
              <w:rPr>
                <w:rFonts w:ascii="Verdana" w:hAnsi="Verdana"/>
                <w:sz w:val="20"/>
                <w:szCs w:val="20"/>
                <w:lang w:eastAsia="en-US"/>
              </w:rPr>
              <w:t xml:space="preserve">   </w:t>
            </w:r>
          </w:p>
          <w:p w14:paraId="5B43CC2C" w14:textId="77777777" w:rsidR="00295816" w:rsidRPr="00295816" w:rsidRDefault="0052326B" w:rsidP="00FD5CD1">
            <w:pPr>
              <w:pStyle w:val="NormalWeb"/>
              <w:spacing w:after="200" w:afterAutospacing="0" w:line="276" w:lineRule="auto"/>
              <w:rPr>
                <w:rFonts w:ascii="Verdana" w:hAnsi="Verdana"/>
                <w:b/>
                <w:sz w:val="20"/>
                <w:szCs w:val="20"/>
                <w:lang w:eastAsia="en-US"/>
              </w:rPr>
            </w:pPr>
            <w:r>
              <w:rPr>
                <w:rFonts w:ascii="Verdana" w:hAnsi="Verdana"/>
                <w:b/>
                <w:sz w:val="20"/>
                <w:szCs w:val="20"/>
                <w:lang w:eastAsia="en-US"/>
              </w:rPr>
              <w:t>Issue</w:t>
            </w:r>
          </w:p>
          <w:p w14:paraId="52FCA760" w14:textId="77777777" w:rsidR="00295816" w:rsidRDefault="00295816" w:rsidP="00FD5CD1">
            <w:pPr>
              <w:pStyle w:val="NormalWeb"/>
              <w:spacing w:after="200" w:afterAutospacing="0" w:line="276" w:lineRule="auto"/>
              <w:rPr>
                <w:rFonts w:ascii="Verdana" w:hAnsi="Verdana"/>
                <w:sz w:val="20"/>
                <w:szCs w:val="20"/>
                <w:lang w:eastAsia="en-US"/>
              </w:rPr>
            </w:pPr>
            <w:r>
              <w:rPr>
                <w:rFonts w:ascii="Verdana" w:hAnsi="Verdana"/>
                <w:sz w:val="20"/>
                <w:szCs w:val="20"/>
                <w:lang w:eastAsia="en-US"/>
              </w:rPr>
              <w:t>LTS Diversions are raised by external organisations/developers who require GDNs to divert our LTS pipes given their investment development.  These are individual bespoke jobs, from diversions due to road construction (M25 and M42), railway development (HS2 and other) and also Lower Thames river crossings</w:t>
            </w:r>
            <w:r w:rsidR="00D379ED">
              <w:rPr>
                <w:rFonts w:ascii="Verdana" w:hAnsi="Verdana"/>
                <w:sz w:val="20"/>
                <w:szCs w:val="20"/>
                <w:lang w:eastAsia="en-US"/>
              </w:rPr>
              <w:t>.</w:t>
            </w:r>
            <w:r w:rsidR="009D4673">
              <w:rPr>
                <w:rFonts w:ascii="Verdana" w:hAnsi="Verdana"/>
                <w:sz w:val="20"/>
                <w:szCs w:val="20"/>
                <w:lang w:eastAsia="en-US"/>
              </w:rPr>
              <w:t xml:space="preserve">  The third parties pay for these diversions hence net costs to the consumers are broadly zero.</w:t>
            </w:r>
          </w:p>
          <w:p w14:paraId="41ADDD39" w14:textId="77777777" w:rsidR="00295816" w:rsidRDefault="00295816" w:rsidP="00295816">
            <w:pPr>
              <w:pStyle w:val="NormalWeb"/>
              <w:rPr>
                <w:rFonts w:ascii="Verdana" w:hAnsi="Verdana"/>
                <w:sz w:val="20"/>
                <w:szCs w:val="20"/>
                <w:lang w:eastAsia="en-US"/>
              </w:rPr>
            </w:pPr>
            <w:r>
              <w:rPr>
                <w:rFonts w:ascii="Verdana" w:hAnsi="Verdana"/>
                <w:sz w:val="20"/>
                <w:szCs w:val="20"/>
                <w:lang w:eastAsia="en-US"/>
              </w:rPr>
              <w:t xml:space="preserve">Paragraphs 3.170 and 3.39 of the GD Annex set out how Ofgem has decided how to apply Technical Assessment outside of the regression, in particular for capex projects with a cost threshold of £5m.  </w:t>
            </w:r>
          </w:p>
          <w:p w14:paraId="460CBB42" w14:textId="77777777" w:rsidR="00295816" w:rsidRPr="00295816" w:rsidRDefault="00295816" w:rsidP="00295816">
            <w:pPr>
              <w:pStyle w:val="NormalWeb"/>
              <w:rPr>
                <w:rFonts w:ascii="Verdana" w:hAnsi="Verdana"/>
                <w:sz w:val="20"/>
                <w:szCs w:val="20"/>
                <w:lang w:eastAsia="en-US"/>
              </w:rPr>
            </w:pPr>
            <w:r w:rsidRPr="00295816">
              <w:rPr>
                <w:rFonts w:ascii="Verdana" w:hAnsi="Verdana"/>
                <w:sz w:val="20"/>
                <w:szCs w:val="20"/>
                <w:lang w:eastAsia="en-US"/>
              </w:rPr>
              <w:t>Para</w:t>
            </w:r>
            <w:r>
              <w:rPr>
                <w:rFonts w:ascii="Verdana" w:hAnsi="Verdana"/>
                <w:sz w:val="20"/>
                <w:szCs w:val="20"/>
                <w:lang w:eastAsia="en-US"/>
              </w:rPr>
              <w:t>graph</w:t>
            </w:r>
            <w:r w:rsidRPr="00295816">
              <w:rPr>
                <w:rFonts w:ascii="Verdana" w:hAnsi="Verdana"/>
                <w:sz w:val="20"/>
                <w:szCs w:val="20"/>
                <w:lang w:eastAsia="en-US"/>
              </w:rPr>
              <w:t xml:space="preserve"> 3.170 </w:t>
            </w:r>
            <w:r>
              <w:rPr>
                <w:rFonts w:ascii="Verdana" w:hAnsi="Verdana"/>
                <w:sz w:val="20"/>
                <w:szCs w:val="20"/>
                <w:lang w:eastAsia="en-US"/>
              </w:rPr>
              <w:t xml:space="preserve">states </w:t>
            </w:r>
            <w:r w:rsidR="003E3813">
              <w:rPr>
                <w:rFonts w:ascii="Verdana" w:hAnsi="Verdana"/>
                <w:sz w:val="20"/>
                <w:szCs w:val="20"/>
                <w:lang w:eastAsia="en-US"/>
              </w:rPr>
              <w:t xml:space="preserve">that </w:t>
            </w:r>
            <w:r w:rsidRPr="00295816">
              <w:rPr>
                <w:rFonts w:ascii="Verdana" w:hAnsi="Verdana"/>
                <w:sz w:val="20"/>
                <w:szCs w:val="20"/>
                <w:lang w:eastAsia="en-US"/>
              </w:rPr>
              <w:t>“</w:t>
            </w:r>
            <w:r w:rsidRPr="00295816">
              <w:rPr>
                <w:rFonts w:ascii="Verdana" w:hAnsi="Verdana"/>
                <w:i/>
                <w:sz w:val="20"/>
                <w:szCs w:val="20"/>
                <w:lang w:eastAsia="en-US"/>
              </w:rPr>
              <w:t>The discrete nature of some investments limits our ability to model costs and benchmark through direct comparisons.  This may be because an investment is uncommon across networks, lacks historical comparators or has other highly unique characteristics</w:t>
            </w:r>
            <w:r w:rsidRPr="00295816">
              <w:rPr>
                <w:rFonts w:ascii="Verdana" w:hAnsi="Verdana"/>
                <w:sz w:val="20"/>
                <w:szCs w:val="20"/>
                <w:lang w:eastAsia="en-US"/>
              </w:rPr>
              <w:t>”</w:t>
            </w:r>
          </w:p>
          <w:p w14:paraId="7178ADDD" w14:textId="77777777" w:rsidR="00295816" w:rsidRDefault="00295816" w:rsidP="00295816">
            <w:pPr>
              <w:pStyle w:val="NormalWeb"/>
              <w:spacing w:after="200" w:afterAutospacing="0" w:line="276" w:lineRule="auto"/>
              <w:rPr>
                <w:rFonts w:ascii="Verdana" w:hAnsi="Verdana"/>
                <w:sz w:val="20"/>
                <w:szCs w:val="20"/>
                <w:lang w:eastAsia="en-US"/>
              </w:rPr>
            </w:pPr>
            <w:r w:rsidRPr="00295816">
              <w:rPr>
                <w:rFonts w:ascii="Verdana" w:hAnsi="Verdana"/>
                <w:sz w:val="20"/>
                <w:szCs w:val="20"/>
                <w:lang w:eastAsia="en-US"/>
              </w:rPr>
              <w:t>Para</w:t>
            </w:r>
            <w:r>
              <w:rPr>
                <w:rFonts w:ascii="Verdana" w:hAnsi="Verdana"/>
                <w:sz w:val="20"/>
                <w:szCs w:val="20"/>
                <w:lang w:eastAsia="en-US"/>
              </w:rPr>
              <w:t>graph</w:t>
            </w:r>
            <w:r w:rsidRPr="00295816">
              <w:rPr>
                <w:rFonts w:ascii="Verdana" w:hAnsi="Verdana"/>
                <w:sz w:val="20"/>
                <w:szCs w:val="20"/>
                <w:lang w:eastAsia="en-US"/>
              </w:rPr>
              <w:t xml:space="preserve"> </w:t>
            </w:r>
            <w:r>
              <w:rPr>
                <w:rFonts w:ascii="Verdana" w:hAnsi="Verdana"/>
                <w:sz w:val="20"/>
                <w:szCs w:val="20"/>
                <w:lang w:eastAsia="en-US"/>
              </w:rPr>
              <w:t xml:space="preserve">3.39 states that </w:t>
            </w:r>
            <w:r w:rsidRPr="00295816">
              <w:rPr>
                <w:rFonts w:ascii="Verdana" w:hAnsi="Verdana"/>
                <w:sz w:val="20"/>
                <w:szCs w:val="20"/>
                <w:lang w:eastAsia="en-US"/>
              </w:rPr>
              <w:t>“</w:t>
            </w:r>
            <w:r w:rsidRPr="00295816">
              <w:rPr>
                <w:rFonts w:ascii="Verdana" w:hAnsi="Verdana"/>
                <w:i/>
                <w:sz w:val="20"/>
                <w:szCs w:val="20"/>
                <w:lang w:eastAsia="en-US"/>
              </w:rPr>
              <w:t>We have decided to increase the materiality threshold for technically assessed capex projects from £1m to £5m, because including costs in our regression model wherever possible allows for a more integrated totex assessment, better accounts for opex / capex trade-offs, and strikes a more even proportion of technically assessed costs across networks</w:t>
            </w:r>
            <w:r w:rsidRPr="00295816">
              <w:rPr>
                <w:rFonts w:ascii="Verdana" w:hAnsi="Verdana"/>
                <w:sz w:val="20"/>
                <w:szCs w:val="20"/>
                <w:lang w:eastAsia="en-US"/>
              </w:rPr>
              <w:t>.”</w:t>
            </w:r>
          </w:p>
          <w:p w14:paraId="3DB2DDCA" w14:textId="77777777" w:rsidR="00295816" w:rsidRDefault="00295816" w:rsidP="00FD5CD1">
            <w:pPr>
              <w:pStyle w:val="NormalWeb"/>
              <w:spacing w:after="200" w:afterAutospacing="0" w:line="276" w:lineRule="auto"/>
              <w:rPr>
                <w:rFonts w:ascii="Verdana" w:hAnsi="Verdana"/>
                <w:sz w:val="20"/>
                <w:szCs w:val="20"/>
                <w:lang w:eastAsia="en-US"/>
              </w:rPr>
            </w:pPr>
            <w:r>
              <w:rPr>
                <w:rFonts w:ascii="Verdana" w:hAnsi="Verdana"/>
                <w:sz w:val="20"/>
                <w:szCs w:val="20"/>
                <w:lang w:eastAsia="en-US"/>
              </w:rPr>
              <w:t xml:space="preserve">According to the policy set out in FD, Cadent’s LTS Diversions, which almost entirely consist of bespoke projects with a gross cost </w:t>
            </w:r>
            <w:r w:rsidR="00D32844">
              <w:rPr>
                <w:rFonts w:ascii="Verdana" w:hAnsi="Verdana"/>
                <w:sz w:val="20"/>
                <w:szCs w:val="20"/>
                <w:lang w:eastAsia="en-US"/>
              </w:rPr>
              <w:t xml:space="preserve">(the FD’s basis of assessment being gross costs) </w:t>
            </w:r>
            <w:r>
              <w:rPr>
                <w:rFonts w:ascii="Verdana" w:hAnsi="Verdana"/>
                <w:sz w:val="20"/>
                <w:szCs w:val="20"/>
                <w:lang w:eastAsia="en-US"/>
              </w:rPr>
              <w:t xml:space="preserve">in excess of £5m, should have </w:t>
            </w:r>
            <w:r>
              <w:rPr>
                <w:rFonts w:ascii="Verdana" w:hAnsi="Verdana"/>
                <w:sz w:val="20"/>
                <w:szCs w:val="20"/>
                <w:lang w:eastAsia="en-US"/>
              </w:rPr>
              <w:lastRenderedPageBreak/>
              <w:t xml:space="preserve">been subject to Technical Assessment – and so removed from the regression – but were not. </w:t>
            </w:r>
          </w:p>
          <w:p w14:paraId="11F35472" w14:textId="77777777" w:rsidR="00295816" w:rsidRPr="00295816" w:rsidRDefault="00295816" w:rsidP="00FD5CD1">
            <w:pPr>
              <w:pStyle w:val="NormalWeb"/>
              <w:spacing w:after="200" w:afterAutospacing="0" w:line="276" w:lineRule="auto"/>
              <w:rPr>
                <w:rFonts w:ascii="Verdana" w:hAnsi="Verdana"/>
                <w:b/>
                <w:sz w:val="20"/>
                <w:szCs w:val="20"/>
                <w:lang w:eastAsia="en-US"/>
              </w:rPr>
            </w:pPr>
            <w:r w:rsidRPr="00295816">
              <w:rPr>
                <w:rFonts w:ascii="Verdana" w:hAnsi="Verdana"/>
                <w:b/>
                <w:sz w:val="20"/>
                <w:szCs w:val="20"/>
                <w:lang w:eastAsia="en-US"/>
              </w:rPr>
              <w:t xml:space="preserve">Why </w:t>
            </w:r>
            <w:r w:rsidR="0052326B">
              <w:rPr>
                <w:rFonts w:ascii="Verdana" w:hAnsi="Verdana"/>
                <w:b/>
                <w:sz w:val="20"/>
                <w:szCs w:val="20"/>
                <w:lang w:eastAsia="en-US"/>
              </w:rPr>
              <w:t>this is a problem</w:t>
            </w:r>
            <w:r w:rsidRPr="00295816">
              <w:rPr>
                <w:rFonts w:ascii="Verdana" w:hAnsi="Verdana"/>
                <w:b/>
                <w:sz w:val="20"/>
                <w:szCs w:val="20"/>
                <w:lang w:eastAsia="en-US"/>
              </w:rPr>
              <w:t xml:space="preserve">  </w:t>
            </w:r>
          </w:p>
          <w:p w14:paraId="3EFB4685" w14:textId="77777777" w:rsidR="00295816" w:rsidRDefault="0052326B" w:rsidP="00FD5CD1">
            <w:pPr>
              <w:pStyle w:val="NormalWeb"/>
              <w:spacing w:after="200" w:afterAutospacing="0" w:line="276" w:lineRule="auto"/>
              <w:rPr>
                <w:rFonts w:ascii="Verdana" w:hAnsi="Verdana"/>
                <w:sz w:val="20"/>
                <w:szCs w:val="20"/>
                <w:lang w:eastAsia="en-US"/>
              </w:rPr>
            </w:pPr>
            <w:r>
              <w:rPr>
                <w:rFonts w:ascii="Verdana" w:hAnsi="Verdana"/>
                <w:sz w:val="20"/>
                <w:szCs w:val="20"/>
                <w:lang w:eastAsia="en-US"/>
              </w:rPr>
              <w:t>This is a problem for t</w:t>
            </w:r>
            <w:r w:rsidR="00F2223E">
              <w:rPr>
                <w:rFonts w:ascii="Verdana" w:hAnsi="Verdana"/>
                <w:sz w:val="20"/>
                <w:szCs w:val="20"/>
                <w:lang w:eastAsia="en-US"/>
              </w:rPr>
              <w:t xml:space="preserve">wo </w:t>
            </w:r>
            <w:r>
              <w:rPr>
                <w:rFonts w:ascii="Verdana" w:hAnsi="Verdana"/>
                <w:sz w:val="20"/>
                <w:szCs w:val="20"/>
                <w:lang w:eastAsia="en-US"/>
              </w:rPr>
              <w:t>reasons.</w:t>
            </w:r>
          </w:p>
          <w:p w14:paraId="48CD437E" w14:textId="77777777" w:rsidR="0052326B" w:rsidRDefault="0052326B" w:rsidP="00FD5CD1">
            <w:pPr>
              <w:pStyle w:val="NormalWeb"/>
              <w:spacing w:after="200" w:afterAutospacing="0" w:line="276" w:lineRule="auto"/>
              <w:rPr>
                <w:rFonts w:ascii="Verdana" w:hAnsi="Verdana"/>
                <w:sz w:val="20"/>
                <w:szCs w:val="20"/>
                <w:lang w:eastAsia="en-US"/>
              </w:rPr>
            </w:pPr>
            <w:r>
              <w:rPr>
                <w:rFonts w:ascii="Verdana" w:hAnsi="Verdana"/>
                <w:sz w:val="20"/>
                <w:szCs w:val="20"/>
                <w:lang w:eastAsia="en-US"/>
              </w:rPr>
              <w:t xml:space="preserve">First, because the level of </w:t>
            </w:r>
            <w:r w:rsidR="009D4673">
              <w:rPr>
                <w:rFonts w:ascii="Verdana" w:hAnsi="Verdana"/>
                <w:sz w:val="20"/>
                <w:szCs w:val="20"/>
                <w:lang w:eastAsia="en-US"/>
              </w:rPr>
              <w:t>LTS diversion costs</w:t>
            </w:r>
            <w:r>
              <w:rPr>
                <w:rFonts w:ascii="Verdana" w:hAnsi="Verdana"/>
                <w:sz w:val="20"/>
                <w:szCs w:val="20"/>
                <w:lang w:eastAsia="en-US"/>
              </w:rPr>
              <w:t xml:space="preserve"> is very different between GDNs – the chart below shows that Cadent </w:t>
            </w:r>
            <w:r w:rsidR="009D4673">
              <w:rPr>
                <w:rFonts w:ascii="Verdana" w:hAnsi="Verdana"/>
                <w:sz w:val="20"/>
                <w:szCs w:val="20"/>
                <w:lang w:eastAsia="en-US"/>
              </w:rPr>
              <w:t xml:space="preserve">forecast around </w:t>
            </w:r>
            <w:r>
              <w:rPr>
                <w:rFonts w:ascii="Verdana" w:hAnsi="Verdana"/>
                <w:sz w:val="20"/>
                <w:szCs w:val="20"/>
                <w:lang w:eastAsia="en-US"/>
              </w:rPr>
              <w:t xml:space="preserve">£250m of </w:t>
            </w:r>
            <w:r w:rsidR="009D4673">
              <w:rPr>
                <w:rFonts w:ascii="Verdana" w:hAnsi="Verdana"/>
                <w:sz w:val="20"/>
                <w:szCs w:val="20"/>
                <w:lang w:eastAsia="en-US"/>
              </w:rPr>
              <w:t xml:space="preserve">LTS diversions costs (shown here are the projected customer </w:t>
            </w:r>
            <w:r>
              <w:rPr>
                <w:rFonts w:ascii="Verdana" w:hAnsi="Verdana"/>
                <w:sz w:val="20"/>
                <w:szCs w:val="20"/>
                <w:lang w:eastAsia="en-US"/>
              </w:rPr>
              <w:t>contribution in RIIO-2</w:t>
            </w:r>
            <w:r w:rsidR="009D4673">
              <w:rPr>
                <w:rFonts w:ascii="Verdana" w:hAnsi="Verdana"/>
                <w:sz w:val="20"/>
                <w:szCs w:val="20"/>
                <w:lang w:eastAsia="en-US"/>
              </w:rPr>
              <w:t xml:space="preserve"> which is broadly same amount)</w:t>
            </w:r>
            <w:r>
              <w:rPr>
                <w:rFonts w:ascii="Verdana" w:hAnsi="Verdana"/>
                <w:sz w:val="20"/>
                <w:szCs w:val="20"/>
                <w:lang w:eastAsia="en-US"/>
              </w:rPr>
              <w:t>, against zero for the other GDNs</w:t>
            </w:r>
            <w:r w:rsidR="009D4673">
              <w:rPr>
                <w:rFonts w:ascii="Verdana" w:hAnsi="Verdana"/>
                <w:sz w:val="20"/>
                <w:szCs w:val="20"/>
                <w:lang w:eastAsia="en-US"/>
              </w:rPr>
              <w:t xml:space="preserve"> plans</w:t>
            </w:r>
            <w:r>
              <w:rPr>
                <w:rFonts w:ascii="Verdana" w:hAnsi="Verdana"/>
                <w:sz w:val="20"/>
                <w:szCs w:val="20"/>
                <w:lang w:eastAsia="en-US"/>
              </w:rPr>
              <w:t>.</w:t>
            </w:r>
            <w:r w:rsidR="009D4673">
              <w:rPr>
                <w:rFonts w:ascii="Verdana" w:hAnsi="Verdana"/>
                <w:sz w:val="20"/>
                <w:szCs w:val="20"/>
                <w:lang w:eastAsia="en-US"/>
              </w:rPr>
              <w:t xml:space="preserve">  </w:t>
            </w:r>
          </w:p>
          <w:p w14:paraId="05A31730" w14:textId="77777777" w:rsidR="0052326B" w:rsidRDefault="00507060" w:rsidP="00FD5CD1">
            <w:pPr>
              <w:pStyle w:val="NormalWeb"/>
              <w:spacing w:after="200" w:afterAutospacing="0" w:line="276" w:lineRule="auto"/>
              <w:rPr>
                <w:rFonts w:ascii="Verdana" w:hAnsi="Verdana"/>
                <w:sz w:val="20"/>
                <w:szCs w:val="20"/>
                <w:lang w:eastAsia="en-US"/>
              </w:rPr>
            </w:pPr>
            <w:r w:rsidRPr="00507060">
              <w:rPr>
                <w:rFonts w:ascii="Verdana" w:hAnsi="Verdana"/>
                <w:noProof/>
                <w:sz w:val="20"/>
                <w:szCs w:val="20"/>
                <w:lang w:eastAsia="en-US"/>
              </w:rPr>
              <w:drawing>
                <wp:inline distT="0" distB="0" distL="0" distR="0" wp14:anchorId="4E65ECFE" wp14:editId="3741A1C4">
                  <wp:extent cx="3909060" cy="234803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18093" cy="2353464"/>
                          </a:xfrm>
                          <a:prstGeom prst="rect">
                            <a:avLst/>
                          </a:prstGeom>
                          <a:noFill/>
                          <a:ln>
                            <a:noFill/>
                          </a:ln>
                        </pic:spPr>
                      </pic:pic>
                    </a:graphicData>
                  </a:graphic>
                </wp:inline>
              </w:drawing>
            </w:r>
          </w:p>
          <w:p w14:paraId="5CBD3AD1" w14:textId="77777777" w:rsidR="00F2223E" w:rsidRDefault="0052326B" w:rsidP="00FD5CD1">
            <w:pPr>
              <w:pStyle w:val="NormalWeb"/>
              <w:spacing w:after="200" w:afterAutospacing="0" w:line="276" w:lineRule="auto"/>
              <w:rPr>
                <w:rFonts w:ascii="Verdana" w:hAnsi="Verdana"/>
                <w:sz w:val="20"/>
                <w:szCs w:val="20"/>
                <w:lang w:eastAsia="en-US"/>
              </w:rPr>
            </w:pPr>
            <w:r>
              <w:rPr>
                <w:rFonts w:ascii="Verdana" w:hAnsi="Verdana"/>
                <w:sz w:val="20"/>
                <w:szCs w:val="20"/>
                <w:lang w:eastAsia="en-US"/>
              </w:rPr>
              <w:t xml:space="preserve">Second, because the regression has no workload driver </w:t>
            </w:r>
            <w:r w:rsidR="00F2223E">
              <w:rPr>
                <w:rFonts w:ascii="Verdana" w:hAnsi="Verdana"/>
                <w:sz w:val="20"/>
                <w:szCs w:val="20"/>
                <w:lang w:eastAsia="en-US"/>
              </w:rPr>
              <w:t>for LTS work.  Consequently, any additional LTS activity, not taken out of the regression for Technical Assessment, feeds through into apparent inefficiency, as shown in the example below.</w:t>
            </w:r>
          </w:p>
          <w:p w14:paraId="62864E79" w14:textId="77777777" w:rsidR="0052326B" w:rsidRPr="00F2223E" w:rsidRDefault="00F2223E" w:rsidP="00FD5CD1">
            <w:pPr>
              <w:pStyle w:val="NormalWeb"/>
              <w:spacing w:after="200" w:afterAutospacing="0" w:line="276" w:lineRule="auto"/>
              <w:rPr>
                <w:rFonts w:ascii="Verdana" w:hAnsi="Verdana"/>
                <w:i/>
                <w:sz w:val="20"/>
                <w:szCs w:val="20"/>
                <w:lang w:eastAsia="en-US"/>
              </w:rPr>
            </w:pPr>
            <w:r w:rsidRPr="00F2223E">
              <w:rPr>
                <w:rFonts w:ascii="Verdana" w:hAnsi="Verdana"/>
                <w:i/>
                <w:sz w:val="20"/>
                <w:szCs w:val="20"/>
                <w:lang w:eastAsia="en-US"/>
              </w:rPr>
              <w:t>Example</w:t>
            </w:r>
            <w:r w:rsidR="0052326B" w:rsidRPr="00F2223E">
              <w:rPr>
                <w:rFonts w:ascii="Verdana" w:hAnsi="Verdana"/>
                <w:i/>
                <w:sz w:val="20"/>
                <w:szCs w:val="20"/>
                <w:lang w:eastAsia="en-US"/>
              </w:rPr>
              <w:t xml:space="preserve"> </w:t>
            </w:r>
          </w:p>
          <w:p w14:paraId="557D5D09" w14:textId="77777777" w:rsidR="00F2223E" w:rsidRDefault="00F2223E" w:rsidP="00F2223E">
            <w:pPr>
              <w:ind w:left="3"/>
              <w:rPr>
                <w:szCs w:val="20"/>
              </w:rPr>
            </w:pPr>
            <w:r>
              <w:rPr>
                <w:szCs w:val="20"/>
              </w:rPr>
              <w:t xml:space="preserve">Assume two GDNs are the same size and have the same cost efficiency, i.e. the same Totex.  The only difference is that GDN1 has an LTS Diversion.  </w:t>
            </w:r>
          </w:p>
          <w:p w14:paraId="4566FD62" w14:textId="77777777" w:rsidR="00F2223E" w:rsidRDefault="00F2223E" w:rsidP="00F2223E">
            <w:pPr>
              <w:ind w:left="3"/>
              <w:rPr>
                <w:szCs w:val="20"/>
              </w:rPr>
            </w:pPr>
            <w:r>
              <w:rPr>
                <w:szCs w:val="20"/>
              </w:rPr>
              <w:t xml:space="preserve">Both experience a cost reduction as not operating at the deemed efficient level, but GD1 has a greater disallowance because LTS Diversion cost category has no workload driver associated with it in the CSV. </w:t>
            </w:r>
          </w:p>
          <w:p w14:paraId="1B136DA6" w14:textId="77777777" w:rsidR="00F2223E" w:rsidRDefault="00F2223E" w:rsidP="00F2223E">
            <w:pPr>
              <w:ind w:left="3"/>
              <w:rPr>
                <w:szCs w:val="20"/>
              </w:rPr>
            </w:pPr>
            <w:r>
              <w:rPr>
                <w:szCs w:val="20"/>
              </w:rPr>
              <w:t>Instead the regression uses MEAV values as the driver for LTS, which are the same for the two GDNs, so the CSVs are same but GDN1 has higher gross costs.</w:t>
            </w:r>
          </w:p>
          <w:p w14:paraId="53623300" w14:textId="77777777" w:rsidR="00F2223E" w:rsidRDefault="00F2223E" w:rsidP="00F2223E">
            <w:pPr>
              <w:ind w:left="3"/>
              <w:rPr>
                <w:szCs w:val="20"/>
              </w:rPr>
            </w:pPr>
            <w:r>
              <w:rPr>
                <w:szCs w:val="20"/>
              </w:rPr>
              <w:t xml:space="preserve">This higher gross cost is deemed cost inefficiency – it is not.  </w:t>
            </w:r>
          </w:p>
          <w:p w14:paraId="794B5B97" w14:textId="77777777" w:rsidR="00F2223E" w:rsidRDefault="00F2223E" w:rsidP="00F2223E">
            <w:pPr>
              <w:ind w:left="3"/>
              <w:rPr>
                <w:rFonts w:ascii="Calibri" w:hAnsi="Calibri"/>
              </w:rPr>
            </w:pPr>
            <w:r>
              <w:rPr>
                <w:szCs w:val="20"/>
              </w:rPr>
              <w:t>The use of gross costs for LTS Diversions will therefore creat</w:t>
            </w:r>
            <w:r w:rsidR="009D4673">
              <w:rPr>
                <w:szCs w:val="20"/>
              </w:rPr>
              <w:t>e</w:t>
            </w:r>
            <w:r>
              <w:rPr>
                <w:szCs w:val="20"/>
              </w:rPr>
              <w:t xml:space="preserve"> a bias against GDN1.</w:t>
            </w:r>
          </w:p>
          <w:p w14:paraId="5B05B2D4" w14:textId="77777777" w:rsidR="0052326B" w:rsidRDefault="00F2223E" w:rsidP="00FD5CD1">
            <w:pPr>
              <w:pStyle w:val="NormalWeb"/>
              <w:spacing w:after="200" w:afterAutospacing="0" w:line="276" w:lineRule="auto"/>
              <w:rPr>
                <w:rFonts w:ascii="Verdana" w:hAnsi="Verdana"/>
                <w:sz w:val="20"/>
                <w:szCs w:val="20"/>
                <w:lang w:eastAsia="en-US"/>
              </w:rPr>
            </w:pPr>
            <w:r>
              <w:rPr>
                <w:noProof/>
              </w:rPr>
              <w:lastRenderedPageBreak/>
              <w:drawing>
                <wp:inline distT="0" distB="0" distL="0" distR="0" wp14:anchorId="6BE7BFB5" wp14:editId="34B264FC">
                  <wp:extent cx="3266440" cy="231149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r:link="rId15">
                            <a:extLst>
                              <a:ext uri="{28A0092B-C50C-407E-A947-70E740481C1C}">
                                <a14:useLocalDpi xmlns:a14="http://schemas.microsoft.com/office/drawing/2010/main" val="0"/>
                              </a:ext>
                            </a:extLst>
                          </a:blip>
                          <a:srcRect t="12031"/>
                          <a:stretch/>
                        </pic:blipFill>
                        <pic:spPr bwMode="auto">
                          <a:xfrm>
                            <a:off x="0" y="0"/>
                            <a:ext cx="3266440" cy="2311499"/>
                          </a:xfrm>
                          <a:prstGeom prst="rect">
                            <a:avLst/>
                          </a:prstGeom>
                          <a:noFill/>
                          <a:ln>
                            <a:noFill/>
                          </a:ln>
                          <a:extLst>
                            <a:ext uri="{53640926-AAD7-44D8-BBD7-CCE9431645EC}">
                              <a14:shadowObscured xmlns:a14="http://schemas.microsoft.com/office/drawing/2010/main"/>
                            </a:ext>
                          </a:extLst>
                        </pic:spPr>
                      </pic:pic>
                    </a:graphicData>
                  </a:graphic>
                </wp:inline>
              </w:drawing>
            </w:r>
          </w:p>
          <w:p w14:paraId="04AA5C57" w14:textId="77777777" w:rsidR="000C05FF" w:rsidRPr="00F2223E" w:rsidRDefault="00F2223E" w:rsidP="00FD5CD1">
            <w:pPr>
              <w:pStyle w:val="NormalWeb"/>
              <w:spacing w:after="200" w:afterAutospacing="0" w:line="276" w:lineRule="auto"/>
              <w:rPr>
                <w:rFonts w:ascii="Verdana" w:hAnsi="Verdana"/>
                <w:b/>
                <w:sz w:val="20"/>
                <w:szCs w:val="20"/>
                <w:lang w:eastAsia="en-US"/>
              </w:rPr>
            </w:pPr>
            <w:r w:rsidRPr="00F2223E">
              <w:rPr>
                <w:rFonts w:ascii="Verdana" w:hAnsi="Verdana"/>
                <w:b/>
                <w:sz w:val="20"/>
                <w:szCs w:val="20"/>
                <w:lang w:eastAsia="en-US"/>
              </w:rPr>
              <w:t>Modelling</w:t>
            </w:r>
          </w:p>
          <w:p w14:paraId="16A5299C" w14:textId="77777777" w:rsidR="00F2223E" w:rsidRDefault="00F2223E" w:rsidP="00F2223E">
            <w:pPr>
              <w:pStyle w:val="NormalWeb"/>
              <w:spacing w:after="200" w:afterAutospacing="0" w:line="276" w:lineRule="auto"/>
              <w:rPr>
                <w:rFonts w:ascii="Verdana" w:hAnsi="Verdana"/>
                <w:sz w:val="20"/>
                <w:szCs w:val="20"/>
                <w:lang w:eastAsia="en-US"/>
              </w:rPr>
            </w:pPr>
            <w:r>
              <w:rPr>
                <w:rFonts w:ascii="Verdana" w:hAnsi="Verdana"/>
                <w:sz w:val="20"/>
                <w:szCs w:val="20"/>
                <w:lang w:eastAsia="en-US"/>
              </w:rPr>
              <w:t xml:space="preserve">Applying this correction to treat LTS Diversions as Technically Assessed costs to the model suite, </w:t>
            </w:r>
            <w:r w:rsidR="00D32844">
              <w:rPr>
                <w:rFonts w:ascii="Verdana" w:hAnsi="Verdana"/>
                <w:sz w:val="20"/>
                <w:szCs w:val="20"/>
                <w:lang w:eastAsia="en-US"/>
              </w:rPr>
              <w:t xml:space="preserve">based on our latest approximate modelling, </w:t>
            </w:r>
            <w:r>
              <w:rPr>
                <w:rFonts w:ascii="Verdana" w:hAnsi="Verdana"/>
                <w:sz w:val="20"/>
                <w:szCs w:val="20"/>
                <w:lang w:eastAsia="en-US"/>
              </w:rPr>
              <w:t>we obtained the following results.</w:t>
            </w:r>
          </w:p>
          <w:p w14:paraId="5939FB65" w14:textId="77777777" w:rsidR="000C05FF" w:rsidRDefault="00D32844" w:rsidP="00FD5CD1">
            <w:pPr>
              <w:pStyle w:val="NormalWeb"/>
              <w:spacing w:after="200" w:afterAutospacing="0" w:line="276" w:lineRule="auto"/>
              <w:rPr>
                <w:rFonts w:ascii="Verdana" w:hAnsi="Verdana"/>
                <w:sz w:val="20"/>
                <w:szCs w:val="20"/>
                <w:lang w:eastAsia="en-US"/>
              </w:rPr>
            </w:pPr>
            <w:r w:rsidRPr="00D32844">
              <w:rPr>
                <w:rFonts w:ascii="Verdana" w:hAnsi="Verdana"/>
                <w:noProof/>
                <w:sz w:val="20"/>
                <w:szCs w:val="20"/>
                <w:lang w:eastAsia="en-US"/>
              </w:rPr>
              <w:drawing>
                <wp:inline distT="0" distB="0" distL="0" distR="0" wp14:anchorId="3AD8F67B" wp14:editId="3074ABD8">
                  <wp:extent cx="4305300" cy="2385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05300" cy="2385060"/>
                          </a:xfrm>
                          <a:prstGeom prst="rect">
                            <a:avLst/>
                          </a:prstGeom>
                          <a:noFill/>
                          <a:ln>
                            <a:noFill/>
                          </a:ln>
                        </pic:spPr>
                      </pic:pic>
                    </a:graphicData>
                  </a:graphic>
                </wp:inline>
              </w:drawing>
            </w:r>
          </w:p>
          <w:p w14:paraId="206E3499" w14:textId="77777777" w:rsidR="00F2223E" w:rsidRDefault="00F2223E" w:rsidP="00FD5CD1">
            <w:pPr>
              <w:pStyle w:val="NormalWeb"/>
              <w:spacing w:after="200" w:afterAutospacing="0" w:line="276" w:lineRule="auto"/>
              <w:rPr>
                <w:rFonts w:ascii="Verdana" w:hAnsi="Verdana"/>
                <w:sz w:val="20"/>
                <w:szCs w:val="20"/>
                <w:lang w:eastAsia="en-US"/>
              </w:rPr>
            </w:pPr>
            <w:r>
              <w:rPr>
                <w:rFonts w:ascii="Verdana" w:hAnsi="Verdana"/>
                <w:sz w:val="20"/>
                <w:szCs w:val="20"/>
                <w:lang w:eastAsia="en-US"/>
              </w:rPr>
              <w:t>The correction to the modelling has a major impact</w:t>
            </w:r>
            <w:r w:rsidR="00AC195E">
              <w:rPr>
                <w:rFonts w:ascii="Verdana" w:hAnsi="Verdana"/>
                <w:sz w:val="20"/>
                <w:szCs w:val="20"/>
                <w:lang w:eastAsia="en-US"/>
              </w:rPr>
              <w:t xml:space="preserve">.  The regression now has a higher R2, and passes the RESET test. </w:t>
            </w:r>
            <w:r>
              <w:rPr>
                <w:rFonts w:ascii="Verdana" w:hAnsi="Verdana"/>
                <w:sz w:val="20"/>
                <w:szCs w:val="20"/>
                <w:lang w:eastAsia="en-US"/>
              </w:rPr>
              <w:t xml:space="preserve"> </w:t>
            </w:r>
            <w:r w:rsidR="00AC195E">
              <w:rPr>
                <w:rFonts w:ascii="Verdana" w:hAnsi="Verdana"/>
                <w:sz w:val="20"/>
                <w:szCs w:val="20"/>
                <w:lang w:eastAsia="en-US"/>
              </w:rPr>
              <w:t xml:space="preserve">In respect of efficiency and allowances, the rankings for the Cadent GDNs are significantly improved, and those for other GDNs worsened, leading to a significant reduction in the </w:t>
            </w:r>
            <w:r w:rsidR="009D4673">
              <w:rPr>
                <w:rFonts w:ascii="Verdana" w:hAnsi="Verdana"/>
                <w:sz w:val="20"/>
                <w:szCs w:val="20"/>
                <w:lang w:eastAsia="en-US"/>
              </w:rPr>
              <w:t>other network company</w:t>
            </w:r>
            <w:r w:rsidR="00AC195E">
              <w:rPr>
                <w:rFonts w:ascii="Verdana" w:hAnsi="Verdana"/>
                <w:sz w:val="20"/>
                <w:szCs w:val="20"/>
                <w:lang w:eastAsia="en-US"/>
              </w:rPr>
              <w:t xml:space="preserve"> allowances.  </w:t>
            </w:r>
          </w:p>
          <w:p w14:paraId="3EE4A26E" w14:textId="77777777" w:rsidR="00AC195E" w:rsidRDefault="00AC195E" w:rsidP="00FD5CD1">
            <w:pPr>
              <w:pStyle w:val="NormalWeb"/>
              <w:spacing w:after="200" w:afterAutospacing="0" w:line="276" w:lineRule="auto"/>
              <w:rPr>
                <w:rFonts w:ascii="Verdana" w:hAnsi="Verdana"/>
                <w:sz w:val="20"/>
                <w:szCs w:val="20"/>
                <w:lang w:eastAsia="en-US"/>
              </w:rPr>
            </w:pPr>
            <w:r>
              <w:rPr>
                <w:rFonts w:ascii="Verdana" w:hAnsi="Verdana"/>
                <w:sz w:val="20"/>
                <w:szCs w:val="20"/>
                <w:lang w:eastAsia="en-US"/>
              </w:rPr>
              <w:t>For clarity, in this modelling we applied 4 changes:</w:t>
            </w:r>
          </w:p>
          <w:p w14:paraId="64382F6C" w14:textId="77777777" w:rsidR="00F2223E" w:rsidRDefault="00AC195E" w:rsidP="00AC195E">
            <w:pPr>
              <w:pStyle w:val="NormalWeb"/>
              <w:numPr>
                <w:ilvl w:val="0"/>
                <w:numId w:val="12"/>
              </w:numPr>
              <w:spacing w:after="200" w:afterAutospacing="0" w:line="276" w:lineRule="auto"/>
              <w:rPr>
                <w:rFonts w:ascii="Verdana" w:hAnsi="Verdana"/>
                <w:sz w:val="20"/>
                <w:szCs w:val="20"/>
                <w:lang w:eastAsia="en-US"/>
              </w:rPr>
            </w:pPr>
            <w:r>
              <w:rPr>
                <w:rFonts w:ascii="Verdana" w:hAnsi="Verdana"/>
                <w:sz w:val="20"/>
                <w:szCs w:val="20"/>
                <w:lang w:eastAsia="en-US"/>
              </w:rPr>
              <w:t>We removed the LTS contributions for GD1 and GD2 from the Normalised costs for all GDNs.</w:t>
            </w:r>
          </w:p>
          <w:p w14:paraId="5A803DCA" w14:textId="77777777" w:rsidR="00AC195E" w:rsidRDefault="00AC195E" w:rsidP="00426429">
            <w:pPr>
              <w:pStyle w:val="NormalWeb"/>
              <w:numPr>
                <w:ilvl w:val="0"/>
                <w:numId w:val="12"/>
              </w:numPr>
              <w:spacing w:after="200" w:afterAutospacing="0" w:line="276" w:lineRule="auto"/>
              <w:rPr>
                <w:rFonts w:ascii="Verdana" w:hAnsi="Verdana"/>
                <w:sz w:val="20"/>
                <w:szCs w:val="20"/>
                <w:lang w:eastAsia="en-US"/>
              </w:rPr>
            </w:pPr>
            <w:r w:rsidRPr="00AC195E">
              <w:rPr>
                <w:rFonts w:ascii="Verdana" w:hAnsi="Verdana"/>
                <w:sz w:val="20"/>
                <w:szCs w:val="20"/>
                <w:lang w:eastAsia="en-US"/>
              </w:rPr>
              <w:t>We adjusted the Net to Gross ratio applied to the regression result to remove the gross cost of LTS Diversion</w:t>
            </w:r>
            <w:r w:rsidR="00D32844">
              <w:rPr>
                <w:rFonts w:ascii="Verdana" w:hAnsi="Verdana"/>
                <w:sz w:val="20"/>
                <w:szCs w:val="20"/>
                <w:lang w:eastAsia="en-US"/>
              </w:rPr>
              <w:t>s</w:t>
            </w:r>
            <w:r w:rsidRPr="00AC195E">
              <w:rPr>
                <w:rFonts w:ascii="Verdana" w:hAnsi="Verdana"/>
                <w:sz w:val="20"/>
                <w:szCs w:val="20"/>
                <w:lang w:eastAsia="en-US"/>
              </w:rPr>
              <w:t xml:space="preserve"> and associated Contributions – so increasing the </w:t>
            </w:r>
            <w:r>
              <w:rPr>
                <w:rFonts w:ascii="Verdana" w:hAnsi="Verdana"/>
                <w:sz w:val="20"/>
                <w:szCs w:val="20"/>
                <w:lang w:eastAsia="en-US"/>
              </w:rPr>
              <w:t>Net to Gross ratio</w:t>
            </w:r>
            <w:r w:rsidR="00D32844">
              <w:rPr>
                <w:rFonts w:ascii="Verdana" w:hAnsi="Verdana"/>
                <w:sz w:val="20"/>
                <w:szCs w:val="20"/>
                <w:lang w:eastAsia="en-US"/>
              </w:rPr>
              <w:t xml:space="preserve"> for Cadent’s GDNs</w:t>
            </w:r>
            <w:r>
              <w:rPr>
                <w:rFonts w:ascii="Verdana" w:hAnsi="Verdana"/>
                <w:sz w:val="20"/>
                <w:szCs w:val="20"/>
                <w:lang w:eastAsia="en-US"/>
              </w:rPr>
              <w:t xml:space="preserve">. It would be a clear error not to make this </w:t>
            </w:r>
            <w:r>
              <w:rPr>
                <w:rFonts w:ascii="Verdana" w:hAnsi="Verdana"/>
                <w:sz w:val="20"/>
                <w:szCs w:val="20"/>
                <w:lang w:eastAsia="en-US"/>
              </w:rPr>
              <w:lastRenderedPageBreak/>
              <w:t xml:space="preserve">adjustment because not to do so would effectively double count several hundred million pounds of LTS contributions. </w:t>
            </w:r>
          </w:p>
          <w:p w14:paraId="04CF5C62" w14:textId="77777777" w:rsidR="007205B9" w:rsidRDefault="00AC195E" w:rsidP="00426429">
            <w:pPr>
              <w:pStyle w:val="NormalWeb"/>
              <w:numPr>
                <w:ilvl w:val="0"/>
                <w:numId w:val="12"/>
              </w:numPr>
              <w:spacing w:after="200" w:afterAutospacing="0" w:line="276" w:lineRule="auto"/>
              <w:rPr>
                <w:rFonts w:ascii="Verdana" w:hAnsi="Verdana"/>
                <w:sz w:val="20"/>
                <w:szCs w:val="20"/>
                <w:lang w:eastAsia="en-US"/>
              </w:rPr>
            </w:pPr>
            <w:r>
              <w:rPr>
                <w:rFonts w:ascii="Verdana" w:hAnsi="Verdana"/>
                <w:sz w:val="20"/>
                <w:szCs w:val="20"/>
                <w:lang w:eastAsia="en-US"/>
              </w:rPr>
              <w:t>We removed the cap on EoE’s allowance, which restrict</w:t>
            </w:r>
            <w:r w:rsidR="00D32844">
              <w:rPr>
                <w:rFonts w:ascii="Verdana" w:hAnsi="Verdana"/>
                <w:sz w:val="20"/>
                <w:szCs w:val="20"/>
                <w:lang w:eastAsia="en-US"/>
              </w:rPr>
              <w:t>s</w:t>
            </w:r>
            <w:r>
              <w:rPr>
                <w:rFonts w:ascii="Verdana" w:hAnsi="Verdana"/>
                <w:sz w:val="20"/>
                <w:szCs w:val="20"/>
                <w:lang w:eastAsia="en-US"/>
              </w:rPr>
              <w:t xml:space="preserve"> its allowance to the level of modelled costs in the Plan.  We consider that, due to cost allocation issues, such a cap can only reasonably be applied at a company</w:t>
            </w:r>
            <w:r w:rsidR="00D32844">
              <w:rPr>
                <w:rFonts w:ascii="Verdana" w:hAnsi="Verdana"/>
                <w:sz w:val="20"/>
                <w:szCs w:val="20"/>
                <w:lang w:eastAsia="en-US"/>
              </w:rPr>
              <w:t>, rather than GDN</w:t>
            </w:r>
            <w:r w:rsidR="00FE55D9">
              <w:rPr>
                <w:rFonts w:ascii="Verdana" w:hAnsi="Verdana"/>
                <w:sz w:val="20"/>
                <w:szCs w:val="20"/>
                <w:lang w:eastAsia="en-US"/>
              </w:rPr>
              <w:t>,</w:t>
            </w:r>
            <w:r w:rsidR="00D32844">
              <w:rPr>
                <w:rFonts w:ascii="Verdana" w:hAnsi="Verdana"/>
                <w:sz w:val="20"/>
                <w:szCs w:val="20"/>
                <w:lang w:eastAsia="en-US"/>
              </w:rPr>
              <w:t xml:space="preserve"> </w:t>
            </w:r>
            <w:r>
              <w:rPr>
                <w:rFonts w:ascii="Verdana" w:hAnsi="Verdana"/>
                <w:sz w:val="20"/>
                <w:szCs w:val="20"/>
                <w:lang w:eastAsia="en-US"/>
              </w:rPr>
              <w:t>level</w:t>
            </w:r>
            <w:r w:rsidR="00D32844">
              <w:rPr>
                <w:rFonts w:ascii="Verdana" w:hAnsi="Verdana"/>
                <w:sz w:val="20"/>
                <w:szCs w:val="20"/>
                <w:lang w:eastAsia="en-US"/>
              </w:rPr>
              <w:t xml:space="preserve">, and given that </w:t>
            </w:r>
            <w:r w:rsidR="00FE55D9">
              <w:rPr>
                <w:rFonts w:ascii="Verdana" w:hAnsi="Verdana"/>
                <w:sz w:val="20"/>
                <w:szCs w:val="20"/>
                <w:lang w:eastAsia="en-US"/>
              </w:rPr>
              <w:t>our company Plan costs are above modelled costs a cap should not apply</w:t>
            </w:r>
            <w:r>
              <w:rPr>
                <w:rFonts w:ascii="Verdana" w:hAnsi="Verdana"/>
                <w:sz w:val="20"/>
                <w:szCs w:val="20"/>
                <w:lang w:eastAsia="en-US"/>
              </w:rPr>
              <w:t>.</w:t>
            </w:r>
          </w:p>
          <w:p w14:paraId="2217C198" w14:textId="77777777" w:rsidR="00AC195E" w:rsidRPr="00AC195E" w:rsidRDefault="00AC195E" w:rsidP="00426429">
            <w:pPr>
              <w:pStyle w:val="NormalWeb"/>
              <w:numPr>
                <w:ilvl w:val="0"/>
                <w:numId w:val="12"/>
              </w:numPr>
              <w:spacing w:after="200" w:afterAutospacing="0" w:line="276" w:lineRule="auto"/>
              <w:rPr>
                <w:rFonts w:ascii="Verdana" w:hAnsi="Verdana"/>
                <w:sz w:val="20"/>
                <w:szCs w:val="20"/>
                <w:lang w:eastAsia="en-US"/>
              </w:rPr>
            </w:pPr>
            <w:r>
              <w:rPr>
                <w:rFonts w:ascii="Verdana" w:hAnsi="Verdana"/>
                <w:sz w:val="20"/>
                <w:szCs w:val="20"/>
                <w:lang w:eastAsia="en-US"/>
              </w:rPr>
              <w:t xml:space="preserve">We made a TA allowance for LTS diversions of zero – because the TA allowances are made after the application of the Net to Gross ratio, and, because </w:t>
            </w:r>
            <w:r w:rsidR="00D32844">
              <w:rPr>
                <w:rFonts w:ascii="Verdana" w:hAnsi="Verdana"/>
                <w:sz w:val="20"/>
                <w:szCs w:val="20"/>
                <w:lang w:eastAsia="en-US"/>
              </w:rPr>
              <w:t xml:space="preserve">the work is chargeable, the net cost </w:t>
            </w:r>
            <w:r>
              <w:rPr>
                <w:rFonts w:ascii="Verdana" w:hAnsi="Verdana"/>
                <w:sz w:val="20"/>
                <w:szCs w:val="20"/>
                <w:lang w:eastAsia="en-US"/>
              </w:rPr>
              <w:t>should be zero.</w:t>
            </w:r>
          </w:p>
          <w:p w14:paraId="046A9B38" w14:textId="77777777" w:rsidR="00D32844" w:rsidRDefault="00D32844" w:rsidP="00D32844">
            <w:pPr>
              <w:pStyle w:val="NormalWeb"/>
              <w:spacing w:after="200" w:afterAutospacing="0" w:line="276" w:lineRule="auto"/>
              <w:rPr>
                <w:rFonts w:ascii="Verdana" w:hAnsi="Verdana"/>
                <w:sz w:val="20"/>
                <w:szCs w:val="20"/>
                <w:lang w:eastAsia="en-US"/>
              </w:rPr>
            </w:pPr>
            <w:r>
              <w:rPr>
                <w:rFonts w:ascii="Verdana" w:hAnsi="Verdana"/>
                <w:sz w:val="20"/>
                <w:szCs w:val="20"/>
                <w:lang w:eastAsia="en-US"/>
              </w:rPr>
              <w:t>Because EoE represents the second ranked GDN against which others are benchmarked, the correction acts to remove an error under which customers in other GDNs are paying higher bills driven by the gross cost of EoE’s LTS diversions.</w:t>
            </w:r>
          </w:p>
          <w:p w14:paraId="08D17343" w14:textId="77777777" w:rsidR="00D32844" w:rsidRDefault="00D32844" w:rsidP="00D32844">
            <w:pPr>
              <w:pStyle w:val="NormalWeb"/>
              <w:spacing w:after="200" w:afterAutospacing="0" w:line="276" w:lineRule="auto"/>
              <w:rPr>
                <w:rFonts w:ascii="Verdana" w:hAnsi="Verdana"/>
                <w:sz w:val="20"/>
                <w:szCs w:val="20"/>
                <w:lang w:eastAsia="en-US"/>
              </w:rPr>
            </w:pPr>
            <w:r>
              <w:rPr>
                <w:rFonts w:ascii="Verdana" w:hAnsi="Verdana"/>
                <w:sz w:val="20"/>
                <w:szCs w:val="20"/>
                <w:lang w:eastAsia="en-US"/>
              </w:rPr>
              <w:t xml:space="preserve">The correction </w:t>
            </w:r>
            <w:r w:rsidR="00FE55D9">
              <w:rPr>
                <w:rFonts w:ascii="Verdana" w:hAnsi="Verdana"/>
                <w:sz w:val="20"/>
                <w:szCs w:val="20"/>
                <w:lang w:eastAsia="en-US"/>
              </w:rPr>
              <w:t xml:space="preserve">also </w:t>
            </w:r>
            <w:r>
              <w:rPr>
                <w:rFonts w:ascii="Verdana" w:hAnsi="Verdana"/>
                <w:sz w:val="20"/>
                <w:szCs w:val="20"/>
                <w:lang w:eastAsia="en-US"/>
              </w:rPr>
              <w:t xml:space="preserve">results in far greater consistency in the treatment of projects of a similar nature between GDNs, with GDNs and their customers being treated more equally. </w:t>
            </w:r>
          </w:p>
          <w:p w14:paraId="663F827E" w14:textId="77777777" w:rsidR="007205B9" w:rsidRPr="00AC195E" w:rsidRDefault="00AC195E" w:rsidP="00FD5CD1">
            <w:pPr>
              <w:pStyle w:val="NormalWeb"/>
              <w:spacing w:after="200" w:afterAutospacing="0" w:line="276" w:lineRule="auto"/>
              <w:rPr>
                <w:rFonts w:ascii="Verdana" w:hAnsi="Verdana"/>
                <w:bCs/>
                <w:sz w:val="20"/>
                <w:szCs w:val="20"/>
                <w:lang w:eastAsia="en-US"/>
              </w:rPr>
            </w:pPr>
            <w:r>
              <w:rPr>
                <w:rFonts w:ascii="Verdana" w:hAnsi="Verdana"/>
                <w:bCs/>
                <w:sz w:val="20"/>
                <w:szCs w:val="20"/>
                <w:lang w:eastAsia="en-US"/>
              </w:rPr>
              <w:t xml:space="preserve">Please could Ofgem confirm </w:t>
            </w:r>
            <w:r w:rsidRPr="00AC195E">
              <w:rPr>
                <w:rFonts w:ascii="Verdana" w:hAnsi="Verdana"/>
                <w:bCs/>
                <w:sz w:val="20"/>
                <w:szCs w:val="20"/>
                <w:lang w:eastAsia="en-US"/>
              </w:rPr>
              <w:t>th</w:t>
            </w:r>
            <w:r>
              <w:rPr>
                <w:rFonts w:ascii="Verdana" w:hAnsi="Verdana"/>
                <w:bCs/>
                <w:sz w:val="20"/>
                <w:szCs w:val="20"/>
                <w:lang w:eastAsia="en-US"/>
              </w:rPr>
              <w:t xml:space="preserve">is error, and how it proposes to correct it.   </w:t>
            </w:r>
            <w:r w:rsidRPr="00AC195E">
              <w:rPr>
                <w:rFonts w:ascii="Verdana" w:hAnsi="Verdana"/>
                <w:bCs/>
                <w:sz w:val="20"/>
                <w:szCs w:val="20"/>
                <w:lang w:eastAsia="en-US"/>
              </w:rPr>
              <w:t xml:space="preserve"> </w:t>
            </w:r>
          </w:p>
          <w:p w14:paraId="2D7DFB9C" w14:textId="77777777" w:rsidR="00C905FD" w:rsidRDefault="00C905FD" w:rsidP="00C905FD">
            <w:pPr>
              <w:pStyle w:val="NormalWeb"/>
              <w:spacing w:after="200" w:afterAutospacing="0" w:line="276" w:lineRule="auto"/>
              <w:ind w:left="1440"/>
              <w:rPr>
                <w:rFonts w:ascii="Verdana" w:hAnsi="Verdana"/>
                <w:sz w:val="20"/>
                <w:szCs w:val="20"/>
                <w:lang w:eastAsia="en-US"/>
              </w:rPr>
            </w:pPr>
          </w:p>
        </w:tc>
      </w:tr>
      <w:tr w:rsidR="00C60EDD" w:rsidRPr="00EA1559" w14:paraId="69028BF1" w14:textId="77777777" w:rsidTr="00C60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tcBorders>
              <w:right w:val="single" w:sz="4" w:space="0" w:color="auto"/>
            </w:tcBorders>
            <w:vAlign w:val="center"/>
          </w:tcPr>
          <w:p w14:paraId="53336565" w14:textId="77777777" w:rsidR="00C60EDD" w:rsidRPr="00EA1559" w:rsidRDefault="00C60EDD" w:rsidP="00C60EDD">
            <w:pPr>
              <w:rPr>
                <w:rFonts w:ascii="Calibri" w:hAnsi="Calibri"/>
                <w:sz w:val="22"/>
              </w:rPr>
            </w:pPr>
          </w:p>
        </w:tc>
        <w:tc>
          <w:tcPr>
            <w:tcW w:w="9937"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75C5BFE3" w14:textId="77777777" w:rsidR="00C60EDD" w:rsidRPr="00EA1559" w:rsidRDefault="00C60EDD" w:rsidP="00C60EDD">
            <w:pPr>
              <w:pStyle w:val="xmsobodytext"/>
              <w:shd w:val="clear" w:color="auto" w:fill="FFFFFF"/>
              <w:spacing w:before="0" w:beforeAutospacing="0" w:after="0" w:afterAutospacing="0"/>
              <w:rPr>
                <w:rFonts w:ascii="Verdana" w:hAnsi="Verdana"/>
                <w:sz w:val="20"/>
                <w:szCs w:val="20"/>
                <w:lang w:eastAsia="en-US"/>
              </w:rPr>
            </w:pPr>
            <w:r w:rsidRPr="00EA1559">
              <w:t> </w:t>
            </w:r>
          </w:p>
        </w:tc>
        <w:tc>
          <w:tcPr>
            <w:tcW w:w="7230" w:type="dxa"/>
            <w:gridSpan w:val="2"/>
            <w:vAlign w:val="center"/>
          </w:tcPr>
          <w:p w14:paraId="3E5F4C65" w14:textId="77777777" w:rsidR="00C60EDD" w:rsidRPr="00EA1559" w:rsidRDefault="00C60EDD" w:rsidP="00C60EDD"/>
        </w:tc>
      </w:tr>
      <w:tr w:rsidR="00C60EDD" w:rsidRPr="00EA1559" w14:paraId="224437BD" w14:textId="77777777" w:rsidTr="00C60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7230" w:type="dxa"/>
          <w:trHeight w:val="127"/>
        </w:trPr>
        <w:tc>
          <w:tcPr>
            <w:tcW w:w="236" w:type="dxa"/>
            <w:gridSpan w:val="2"/>
            <w:vAlign w:val="center"/>
          </w:tcPr>
          <w:p w14:paraId="21BF80CF" w14:textId="77777777" w:rsidR="00C60EDD" w:rsidRPr="00EA1559" w:rsidRDefault="00C60EDD" w:rsidP="00C60EDD">
            <w:pPr>
              <w:rPr>
                <w:rFonts w:asciiTheme="minorHAnsi" w:hAnsiTheme="minorHAnsi"/>
                <w:sz w:val="22"/>
              </w:rPr>
            </w:pPr>
          </w:p>
        </w:tc>
        <w:tc>
          <w:tcPr>
            <w:tcW w:w="270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ABD3A06" w14:textId="77777777" w:rsidR="00C60EDD" w:rsidRPr="00EA1559" w:rsidRDefault="00C60EDD" w:rsidP="00C60EDD">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723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5867D431" w14:textId="77777777" w:rsidR="00C60EDD" w:rsidRPr="00EA1559" w:rsidRDefault="00C60EDD" w:rsidP="00C60EDD">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C60EDD" w:rsidRPr="00EA1559" w14:paraId="2BB0A3EC" w14:textId="77777777" w:rsidTr="00C60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7230" w:type="dxa"/>
          <w:trHeight w:val="127"/>
        </w:trPr>
        <w:tc>
          <w:tcPr>
            <w:tcW w:w="236" w:type="dxa"/>
            <w:gridSpan w:val="2"/>
            <w:vAlign w:val="center"/>
            <w:hideMark/>
          </w:tcPr>
          <w:p w14:paraId="2E1B22A1" w14:textId="77777777" w:rsidR="00C60EDD" w:rsidRPr="00EA1559" w:rsidRDefault="00C60EDD" w:rsidP="00C60EDD">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0C5394" w14:textId="77777777" w:rsidR="00C60EDD" w:rsidRPr="00EA1559" w:rsidRDefault="00C60EDD" w:rsidP="00C60EDD">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7230" w:type="dxa"/>
            <w:tcBorders>
              <w:top w:val="nil"/>
              <w:left w:val="nil"/>
              <w:bottom w:val="single" w:sz="8" w:space="0" w:color="auto"/>
              <w:right w:val="single" w:sz="8" w:space="0" w:color="auto"/>
            </w:tcBorders>
            <w:tcMar>
              <w:top w:w="0" w:type="dxa"/>
              <w:left w:w="108" w:type="dxa"/>
              <w:bottom w:w="0" w:type="dxa"/>
              <w:right w:w="108" w:type="dxa"/>
            </w:tcMar>
            <w:vAlign w:val="center"/>
          </w:tcPr>
          <w:p w14:paraId="0DEF2D7C" w14:textId="77777777" w:rsidR="00C60EDD" w:rsidRPr="00EA1559" w:rsidRDefault="00C60EDD" w:rsidP="00C60EDD">
            <w:pPr>
              <w:pStyle w:val="NormalWeb"/>
              <w:spacing w:after="200" w:afterAutospacing="0" w:line="276" w:lineRule="auto"/>
              <w:rPr>
                <w:rFonts w:ascii="Verdana" w:hAnsi="Verdana"/>
                <w:sz w:val="20"/>
                <w:szCs w:val="20"/>
                <w:lang w:eastAsia="en-US"/>
              </w:rPr>
            </w:pPr>
            <w:r>
              <w:rPr>
                <w:rFonts w:ascii="Verdana" w:hAnsi="Verdana"/>
                <w:sz w:val="20"/>
                <w:szCs w:val="20"/>
                <w:lang w:eastAsia="en-US"/>
              </w:rPr>
              <w:t>Adrian Swift</w:t>
            </w:r>
            <w:r w:rsidR="00732827">
              <w:rPr>
                <w:rFonts w:ascii="Verdana" w:hAnsi="Verdana"/>
                <w:sz w:val="20"/>
                <w:szCs w:val="20"/>
                <w:lang w:eastAsia="en-US"/>
              </w:rPr>
              <w:t xml:space="preserve"> / Jeremy Thomson</w:t>
            </w:r>
          </w:p>
        </w:tc>
      </w:tr>
      <w:tr w:rsidR="00C60EDD" w:rsidRPr="00EA1559" w14:paraId="346002E8" w14:textId="77777777" w:rsidTr="00C60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7230" w:type="dxa"/>
          <w:trHeight w:val="127"/>
        </w:trPr>
        <w:tc>
          <w:tcPr>
            <w:tcW w:w="236" w:type="dxa"/>
            <w:gridSpan w:val="2"/>
            <w:vAlign w:val="center"/>
            <w:hideMark/>
          </w:tcPr>
          <w:p w14:paraId="328D5F37" w14:textId="77777777" w:rsidR="00C60EDD" w:rsidRPr="00EA1559" w:rsidRDefault="00C60EDD" w:rsidP="00C60EDD">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8A8995" w14:textId="77777777" w:rsidR="00C60EDD" w:rsidRPr="00EA1559" w:rsidRDefault="00C60EDD" w:rsidP="00C60EDD">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7230" w:type="dxa"/>
            <w:tcBorders>
              <w:top w:val="nil"/>
              <w:left w:val="nil"/>
              <w:bottom w:val="single" w:sz="8" w:space="0" w:color="auto"/>
              <w:right w:val="single" w:sz="8" w:space="0" w:color="auto"/>
            </w:tcBorders>
            <w:tcMar>
              <w:top w:w="0" w:type="dxa"/>
              <w:left w:w="108" w:type="dxa"/>
              <w:bottom w:w="0" w:type="dxa"/>
              <w:right w:w="108" w:type="dxa"/>
            </w:tcMar>
            <w:vAlign w:val="center"/>
          </w:tcPr>
          <w:p w14:paraId="01CD19B6" w14:textId="77777777" w:rsidR="00C60EDD" w:rsidRPr="00EA1559" w:rsidRDefault="00732827" w:rsidP="00C60EDD">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11</w:t>
            </w:r>
            <w:r w:rsidR="00C60EDD">
              <w:rPr>
                <w:rFonts w:ascii="Verdana" w:hAnsi="Verdana"/>
                <w:sz w:val="20"/>
                <w:szCs w:val="20"/>
                <w:lang w:eastAsia="en-US"/>
              </w:rPr>
              <w:t>/01/2021</w:t>
            </w:r>
          </w:p>
        </w:tc>
      </w:tr>
      <w:tr w:rsidR="00C60EDD" w:rsidRPr="00EA1559" w14:paraId="1C0D1FAA" w14:textId="77777777" w:rsidTr="00C60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7230" w:type="dxa"/>
          <w:trHeight w:val="127"/>
        </w:trPr>
        <w:tc>
          <w:tcPr>
            <w:tcW w:w="236" w:type="dxa"/>
            <w:gridSpan w:val="2"/>
            <w:vAlign w:val="center"/>
            <w:hideMark/>
          </w:tcPr>
          <w:p w14:paraId="625C4311" w14:textId="77777777" w:rsidR="00C60EDD" w:rsidRPr="00EA1559" w:rsidRDefault="00C60EDD" w:rsidP="00C60EDD">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85CA48" w14:textId="77777777" w:rsidR="00C60EDD" w:rsidRPr="00EA1559" w:rsidRDefault="00C60EDD" w:rsidP="00C60EDD">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7230" w:type="dxa"/>
            <w:tcBorders>
              <w:top w:val="nil"/>
              <w:left w:val="nil"/>
              <w:bottom w:val="single" w:sz="8" w:space="0" w:color="auto"/>
              <w:right w:val="single" w:sz="8" w:space="0" w:color="auto"/>
            </w:tcBorders>
            <w:tcMar>
              <w:top w:w="0" w:type="dxa"/>
              <w:left w:w="108" w:type="dxa"/>
              <w:bottom w:w="0" w:type="dxa"/>
              <w:right w:w="108" w:type="dxa"/>
            </w:tcMar>
            <w:vAlign w:val="center"/>
          </w:tcPr>
          <w:p w14:paraId="0FADDD3D" w14:textId="77777777" w:rsidR="00C60EDD" w:rsidRPr="00EA1559" w:rsidRDefault="00C60EDD" w:rsidP="00C60EDD">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w:t>
            </w:r>
            <w:r w:rsidR="00732827">
              <w:rPr>
                <w:rFonts w:ascii="Verdana" w:hAnsi="Verdana"/>
                <w:sz w:val="20"/>
                <w:szCs w:val="20"/>
                <w:lang w:eastAsia="en-US"/>
              </w:rPr>
              <w:t>4</w:t>
            </w:r>
            <w:r>
              <w:rPr>
                <w:rFonts w:ascii="Verdana" w:hAnsi="Verdana"/>
                <w:sz w:val="20"/>
                <w:szCs w:val="20"/>
                <w:lang w:eastAsia="en-US"/>
              </w:rPr>
              <w:t>/01/2021</w:t>
            </w:r>
          </w:p>
        </w:tc>
      </w:tr>
      <w:tr w:rsidR="00C60EDD" w:rsidRPr="00EA1559" w14:paraId="03672427" w14:textId="77777777" w:rsidTr="00C60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7230" w:type="dxa"/>
          <w:trHeight w:val="1978"/>
        </w:trPr>
        <w:tc>
          <w:tcPr>
            <w:tcW w:w="236" w:type="dxa"/>
            <w:gridSpan w:val="2"/>
            <w:vAlign w:val="center"/>
            <w:hideMark/>
          </w:tcPr>
          <w:p w14:paraId="3E848091" w14:textId="77777777" w:rsidR="00C60EDD" w:rsidRPr="00EA1559" w:rsidRDefault="00C60EDD" w:rsidP="00C60EDD">
            <w:pPr>
              <w:rPr>
                <w:rFonts w:ascii="Calibri" w:hAnsi="Calibri"/>
                <w:sz w:val="22"/>
              </w:rPr>
            </w:pPr>
            <w:r w:rsidRPr="00EA1559">
              <w:t> </w:t>
            </w:r>
          </w:p>
        </w:tc>
        <w:tc>
          <w:tcPr>
            <w:tcW w:w="993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452346" w14:textId="77777777" w:rsidR="00C60EDD" w:rsidRPr="00281066" w:rsidRDefault="00C60EDD" w:rsidP="00C60EDD">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9C0367" w:rsidRPr="00EA1559" w14:paraId="77788E76" w14:textId="77777777" w:rsidTr="00C60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7230" w:type="dxa"/>
          <w:trHeight w:val="1978"/>
        </w:trPr>
        <w:tc>
          <w:tcPr>
            <w:tcW w:w="236" w:type="dxa"/>
            <w:gridSpan w:val="2"/>
            <w:vAlign w:val="center"/>
          </w:tcPr>
          <w:p w14:paraId="2E6E6DC1" w14:textId="66FE38B4" w:rsidR="009C0367" w:rsidRPr="00EA1559" w:rsidRDefault="009C0367" w:rsidP="00C60EDD"/>
        </w:tc>
        <w:tc>
          <w:tcPr>
            <w:tcW w:w="993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7548D9" w14:textId="77777777" w:rsidR="009C0367" w:rsidRPr="00EA1559" w:rsidRDefault="009C0367" w:rsidP="00C60EDD">
            <w:pPr>
              <w:pStyle w:val="NormalWeb"/>
              <w:spacing w:line="276" w:lineRule="auto"/>
              <w:rPr>
                <w:rFonts w:ascii="Arial" w:hAnsi="Arial" w:cs="Arial"/>
                <w:sz w:val="24"/>
                <w:szCs w:val="24"/>
                <w:lang w:eastAsia="en-US"/>
              </w:rPr>
            </w:pPr>
          </w:p>
        </w:tc>
      </w:tr>
      <w:tr w:rsidR="00C60EDD" w:rsidRPr="00EA1559" w14:paraId="5416AFFA" w14:textId="77777777" w:rsidTr="00C60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7230" w:type="dxa"/>
          <w:trHeight w:val="2226"/>
        </w:trPr>
        <w:tc>
          <w:tcPr>
            <w:tcW w:w="236" w:type="dxa"/>
            <w:gridSpan w:val="2"/>
            <w:vAlign w:val="center"/>
            <w:hideMark/>
          </w:tcPr>
          <w:p w14:paraId="26E2990D" w14:textId="77777777" w:rsidR="00C60EDD" w:rsidRPr="00EA1559" w:rsidRDefault="00C60EDD" w:rsidP="00C60EDD">
            <w:pPr>
              <w:rPr>
                <w:rFonts w:ascii="Calibri" w:hAnsi="Calibri" w:cs="Calibri"/>
                <w:sz w:val="22"/>
              </w:rPr>
            </w:pPr>
            <w:r w:rsidRPr="00EA1559">
              <w:t> </w:t>
            </w:r>
          </w:p>
        </w:tc>
        <w:tc>
          <w:tcPr>
            <w:tcW w:w="993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1659FE" w14:textId="77777777" w:rsidR="00C60EDD" w:rsidRDefault="00C60EDD" w:rsidP="00C60EDD">
            <w:pPr>
              <w:rPr>
                <w:rFonts w:ascii="Arial" w:hAnsi="Arial" w:cs="Arial"/>
                <w:b/>
                <w:bCs/>
                <w:szCs w:val="20"/>
              </w:rPr>
            </w:pPr>
            <w:r w:rsidRPr="00EA1559">
              <w:rPr>
                <w:rFonts w:ascii="Arial" w:hAnsi="Arial" w:cs="Arial"/>
                <w:b/>
                <w:bCs/>
                <w:szCs w:val="20"/>
              </w:rPr>
              <w:t xml:space="preserve">Response to Cadent: </w:t>
            </w:r>
          </w:p>
          <w:p w14:paraId="2B1885A8" w14:textId="2A75E564" w:rsidR="0006497A" w:rsidRDefault="0006497A" w:rsidP="0006497A">
            <w:pPr>
              <w:pStyle w:val="ListParagraph"/>
              <w:numPr>
                <w:ilvl w:val="0"/>
                <w:numId w:val="13"/>
              </w:numPr>
              <w:rPr>
                <w:rFonts w:ascii="Arial" w:hAnsi="Arial" w:cs="Arial"/>
                <w:szCs w:val="20"/>
              </w:rPr>
            </w:pPr>
            <w:r w:rsidRPr="0006497A">
              <w:rPr>
                <w:rFonts w:ascii="Arial" w:hAnsi="Arial" w:cs="Arial"/>
                <w:szCs w:val="20"/>
              </w:rPr>
              <w:t xml:space="preserve">Whilst we recognise that LTS diversion costs may vary between networks at specific points in time, </w:t>
            </w:r>
            <w:r w:rsidR="00D93349">
              <w:rPr>
                <w:rFonts w:ascii="Arial" w:hAnsi="Arial" w:cs="Arial"/>
                <w:szCs w:val="20"/>
              </w:rPr>
              <w:t xml:space="preserve">as set out in Chapter 3 of the FD Core Document </w:t>
            </w:r>
            <w:r w:rsidRPr="0006497A">
              <w:rPr>
                <w:rFonts w:ascii="Arial" w:hAnsi="Arial" w:cs="Arial"/>
                <w:szCs w:val="20"/>
              </w:rPr>
              <w:t>we have applied two measures</w:t>
            </w:r>
            <w:r w:rsidR="004819EC">
              <w:rPr>
                <w:rFonts w:ascii="Arial" w:hAnsi="Arial" w:cs="Arial"/>
                <w:szCs w:val="20"/>
              </w:rPr>
              <w:t xml:space="preserve"> in our assessment</w:t>
            </w:r>
            <w:r w:rsidRPr="0006497A">
              <w:rPr>
                <w:rFonts w:ascii="Arial" w:hAnsi="Arial" w:cs="Arial"/>
                <w:szCs w:val="20"/>
              </w:rPr>
              <w:t xml:space="preserve"> to account for this. Firstly, we have based our assessment on a long time-period of 13 years (GD1 + GD2) to avoid short-term projects creating material distortions. Secondly, we have smoothed LTS diversion costs using a 7-year average to account for projects occurring on different networks at different points in</w:t>
            </w:r>
            <w:r>
              <w:rPr>
                <w:rFonts w:ascii="Arial" w:hAnsi="Arial" w:cs="Arial"/>
                <w:szCs w:val="20"/>
              </w:rPr>
              <w:t xml:space="preserve"> time</w:t>
            </w:r>
            <w:r w:rsidRPr="0006497A">
              <w:rPr>
                <w:rFonts w:ascii="Arial" w:hAnsi="Arial" w:cs="Arial"/>
                <w:szCs w:val="20"/>
              </w:rPr>
              <w:t>.</w:t>
            </w:r>
            <w:r w:rsidR="00970E6C">
              <w:rPr>
                <w:rFonts w:ascii="Arial" w:hAnsi="Arial" w:cs="Arial"/>
                <w:szCs w:val="20"/>
              </w:rPr>
              <w:t xml:space="preserve"> </w:t>
            </w:r>
            <w:r w:rsidR="00D93349">
              <w:rPr>
                <w:rFonts w:ascii="Arial" w:hAnsi="Arial" w:cs="Arial"/>
                <w:szCs w:val="20"/>
              </w:rPr>
              <w:t xml:space="preserve">These two measures </w:t>
            </w:r>
            <w:r w:rsidR="00970E6C">
              <w:rPr>
                <w:rFonts w:ascii="Arial" w:hAnsi="Arial" w:cs="Arial"/>
                <w:szCs w:val="20"/>
              </w:rPr>
              <w:t>are applicable to other LTS activities, which are subject to similar variances.</w:t>
            </w:r>
          </w:p>
          <w:p w14:paraId="70BA4F53" w14:textId="77777777" w:rsidR="0006497A" w:rsidRPr="0006497A" w:rsidRDefault="0006497A" w:rsidP="0006497A">
            <w:pPr>
              <w:pStyle w:val="ListParagraph"/>
              <w:rPr>
                <w:rFonts w:ascii="Arial" w:hAnsi="Arial" w:cs="Arial"/>
                <w:szCs w:val="20"/>
              </w:rPr>
            </w:pPr>
          </w:p>
          <w:p w14:paraId="66CC58C4" w14:textId="7CFAACA6" w:rsidR="0006497A" w:rsidRDefault="0006497A" w:rsidP="0006497A">
            <w:pPr>
              <w:pStyle w:val="ListParagraph"/>
              <w:numPr>
                <w:ilvl w:val="0"/>
                <w:numId w:val="13"/>
              </w:numPr>
              <w:rPr>
                <w:rFonts w:ascii="Arial" w:hAnsi="Arial" w:cs="Arial"/>
                <w:szCs w:val="20"/>
              </w:rPr>
            </w:pPr>
            <w:r w:rsidRPr="0006497A">
              <w:rPr>
                <w:rFonts w:ascii="Arial" w:hAnsi="Arial" w:cs="Arial"/>
                <w:szCs w:val="20"/>
              </w:rPr>
              <w:t>We accept that some LTS diversions are driven and fully funded by third</w:t>
            </w:r>
            <w:r>
              <w:rPr>
                <w:rFonts w:ascii="Arial" w:hAnsi="Arial" w:cs="Arial"/>
                <w:szCs w:val="20"/>
              </w:rPr>
              <w:t xml:space="preserve"> </w:t>
            </w:r>
            <w:r w:rsidRPr="0006497A">
              <w:rPr>
                <w:rFonts w:ascii="Arial" w:hAnsi="Arial" w:cs="Arial"/>
                <w:szCs w:val="20"/>
              </w:rPr>
              <w:t>parties, but this is not exclusively the case and, in some instances, GDNs/customers are required to self-fund diversion works either in part or in full.</w:t>
            </w:r>
            <w:r w:rsidR="00116985">
              <w:rPr>
                <w:rFonts w:ascii="Arial" w:hAnsi="Arial" w:cs="Arial"/>
                <w:szCs w:val="20"/>
              </w:rPr>
              <w:t xml:space="preserve"> </w:t>
            </w:r>
            <w:r w:rsidR="007B0EE4">
              <w:rPr>
                <w:rFonts w:ascii="Arial" w:hAnsi="Arial" w:cs="Arial"/>
                <w:szCs w:val="20"/>
              </w:rPr>
              <w:t>Assessing</w:t>
            </w:r>
            <w:r w:rsidR="00116985">
              <w:rPr>
                <w:rFonts w:ascii="Arial" w:hAnsi="Arial" w:cs="Arial"/>
                <w:szCs w:val="20"/>
              </w:rPr>
              <w:t xml:space="preserve"> costs on a gross basis </w:t>
            </w:r>
            <w:r w:rsidR="007B0EE4">
              <w:rPr>
                <w:rFonts w:ascii="Arial" w:hAnsi="Arial" w:cs="Arial"/>
                <w:szCs w:val="20"/>
              </w:rPr>
              <w:t>accommodates</w:t>
            </w:r>
            <w:r w:rsidR="00116985">
              <w:rPr>
                <w:rFonts w:ascii="Arial" w:hAnsi="Arial" w:cs="Arial"/>
                <w:szCs w:val="20"/>
              </w:rPr>
              <w:t xml:space="preserve"> </w:t>
            </w:r>
            <w:r w:rsidR="007B0EE4">
              <w:rPr>
                <w:rFonts w:ascii="Arial" w:hAnsi="Arial" w:cs="Arial"/>
                <w:szCs w:val="20"/>
              </w:rPr>
              <w:t xml:space="preserve">such </w:t>
            </w:r>
            <w:r w:rsidR="00116985">
              <w:rPr>
                <w:rFonts w:ascii="Arial" w:hAnsi="Arial" w:cs="Arial"/>
                <w:szCs w:val="20"/>
              </w:rPr>
              <w:t xml:space="preserve">differences </w:t>
            </w:r>
            <w:r w:rsidR="00970E6C">
              <w:rPr>
                <w:rFonts w:ascii="Arial" w:hAnsi="Arial" w:cs="Arial"/>
                <w:szCs w:val="20"/>
              </w:rPr>
              <w:t>between</w:t>
            </w:r>
            <w:r w:rsidR="00116985">
              <w:rPr>
                <w:rFonts w:ascii="Arial" w:hAnsi="Arial" w:cs="Arial"/>
                <w:szCs w:val="20"/>
              </w:rPr>
              <w:t xml:space="preserve"> networks in</w:t>
            </w:r>
            <w:r w:rsidR="007B0EE4">
              <w:rPr>
                <w:rFonts w:ascii="Arial" w:hAnsi="Arial" w:cs="Arial"/>
                <w:szCs w:val="20"/>
              </w:rPr>
              <w:t xml:space="preserve"> terms of</w:t>
            </w:r>
            <w:r w:rsidR="00116985">
              <w:rPr>
                <w:rFonts w:ascii="Arial" w:hAnsi="Arial" w:cs="Arial"/>
                <w:szCs w:val="20"/>
              </w:rPr>
              <w:t xml:space="preserve"> the proportion of costs they are able to recover from third parties.</w:t>
            </w:r>
            <w:r w:rsidRPr="0006497A">
              <w:rPr>
                <w:rFonts w:ascii="Arial" w:hAnsi="Arial" w:cs="Arial"/>
                <w:szCs w:val="20"/>
              </w:rPr>
              <w:t xml:space="preserve"> Since there are various drivers of LTS diversion projects, there can </w:t>
            </w:r>
            <w:r w:rsidR="00910A5E">
              <w:rPr>
                <w:rFonts w:ascii="Arial" w:hAnsi="Arial" w:cs="Arial"/>
                <w:szCs w:val="20"/>
              </w:rPr>
              <w:t>be</w:t>
            </w:r>
            <w:r w:rsidR="007B0EE4">
              <w:rPr>
                <w:rFonts w:ascii="Arial" w:hAnsi="Arial" w:cs="Arial"/>
                <w:szCs w:val="20"/>
              </w:rPr>
              <w:t xml:space="preserve"> </w:t>
            </w:r>
            <w:r w:rsidRPr="0006497A">
              <w:rPr>
                <w:rFonts w:ascii="Arial" w:hAnsi="Arial" w:cs="Arial"/>
                <w:szCs w:val="20"/>
              </w:rPr>
              <w:t>opex/capex trade-offs. As we set out in our</w:t>
            </w:r>
            <w:r w:rsidR="00910A5E">
              <w:rPr>
                <w:rFonts w:ascii="Arial" w:hAnsi="Arial" w:cs="Arial"/>
                <w:szCs w:val="20"/>
              </w:rPr>
              <w:t xml:space="preserve"> Final</w:t>
            </w:r>
            <w:r w:rsidRPr="0006497A">
              <w:rPr>
                <w:rFonts w:ascii="Arial" w:hAnsi="Arial" w:cs="Arial"/>
                <w:szCs w:val="20"/>
              </w:rPr>
              <w:t xml:space="preserve"> </w:t>
            </w:r>
            <w:r w:rsidR="00910A5E">
              <w:rPr>
                <w:rFonts w:ascii="Arial" w:hAnsi="Arial" w:cs="Arial"/>
                <w:szCs w:val="20"/>
              </w:rPr>
              <w:t>D</w:t>
            </w:r>
            <w:r w:rsidRPr="0006497A">
              <w:rPr>
                <w:rFonts w:ascii="Arial" w:hAnsi="Arial" w:cs="Arial"/>
                <w:szCs w:val="20"/>
              </w:rPr>
              <w:t>eterminations, including costs in our regression model wherever possible allows for a more integrated totex assessment and better accounts for opex/capex trade-offs.</w:t>
            </w:r>
          </w:p>
          <w:p w14:paraId="375A056A" w14:textId="77777777" w:rsidR="0006497A" w:rsidRPr="0006497A" w:rsidRDefault="0006497A" w:rsidP="0006497A">
            <w:pPr>
              <w:pStyle w:val="ListParagraph"/>
              <w:rPr>
                <w:rFonts w:ascii="Arial" w:hAnsi="Arial" w:cs="Arial"/>
                <w:szCs w:val="20"/>
              </w:rPr>
            </w:pPr>
          </w:p>
          <w:p w14:paraId="48765622" w14:textId="46099DC9" w:rsidR="0006497A" w:rsidRDefault="00B60977" w:rsidP="0006497A">
            <w:pPr>
              <w:pStyle w:val="ListParagraph"/>
              <w:numPr>
                <w:ilvl w:val="0"/>
                <w:numId w:val="13"/>
              </w:numPr>
              <w:rPr>
                <w:rFonts w:ascii="Arial" w:hAnsi="Arial" w:cs="Arial"/>
                <w:szCs w:val="20"/>
              </w:rPr>
            </w:pPr>
            <w:r>
              <w:rPr>
                <w:rFonts w:ascii="Arial" w:hAnsi="Arial" w:cs="Arial"/>
                <w:szCs w:val="20"/>
              </w:rPr>
              <w:t xml:space="preserve">We have included these costs in the regression, </w:t>
            </w:r>
            <w:r w:rsidRPr="0006497A">
              <w:rPr>
                <w:rFonts w:ascii="Arial" w:hAnsi="Arial" w:cs="Arial"/>
                <w:szCs w:val="20"/>
              </w:rPr>
              <w:t xml:space="preserve">consistent with our approach to other companies’ </w:t>
            </w:r>
            <w:r>
              <w:rPr>
                <w:rFonts w:ascii="Arial" w:hAnsi="Arial" w:cs="Arial"/>
                <w:szCs w:val="20"/>
              </w:rPr>
              <w:t>costs</w:t>
            </w:r>
            <w:r w:rsidRPr="0006497A">
              <w:rPr>
                <w:rFonts w:ascii="Arial" w:hAnsi="Arial" w:cs="Arial"/>
                <w:szCs w:val="20"/>
              </w:rPr>
              <w:t xml:space="preserve"> that were submitted on a similar basis.</w:t>
            </w:r>
            <w:r>
              <w:rPr>
                <w:rFonts w:ascii="Arial" w:hAnsi="Arial" w:cs="Arial"/>
                <w:szCs w:val="20"/>
              </w:rPr>
              <w:t xml:space="preserve"> </w:t>
            </w:r>
            <w:r w:rsidR="0006497A" w:rsidRPr="0006497A">
              <w:rPr>
                <w:rFonts w:ascii="Arial" w:hAnsi="Arial" w:cs="Arial"/>
                <w:szCs w:val="20"/>
              </w:rPr>
              <w:t xml:space="preserve">Our technical assessment process for RIIO-GD2 was applied to large, discrete projects </w:t>
            </w:r>
            <w:r w:rsidR="007B0EE4">
              <w:rPr>
                <w:rFonts w:ascii="Arial" w:hAnsi="Arial" w:cs="Arial"/>
                <w:szCs w:val="20"/>
              </w:rPr>
              <w:t>that passed our engineering needs case assessment</w:t>
            </w:r>
            <w:r w:rsidR="0006497A" w:rsidRPr="0006497A">
              <w:rPr>
                <w:rFonts w:ascii="Arial" w:hAnsi="Arial" w:cs="Arial"/>
                <w:szCs w:val="20"/>
              </w:rPr>
              <w:t xml:space="preserve">, as determined through our engineering review of project EJPs. We note that Cadent did not submit project-level EJPs for their LTS diversion works. </w:t>
            </w:r>
          </w:p>
          <w:p w14:paraId="5865DDFE" w14:textId="77777777" w:rsidR="0006497A" w:rsidRPr="0006497A" w:rsidRDefault="0006497A" w:rsidP="0006497A">
            <w:pPr>
              <w:pStyle w:val="ListParagraph"/>
              <w:rPr>
                <w:rFonts w:ascii="Arial" w:hAnsi="Arial" w:cs="Arial"/>
                <w:szCs w:val="20"/>
              </w:rPr>
            </w:pPr>
          </w:p>
          <w:p w14:paraId="59C62157" w14:textId="1B99359C" w:rsidR="0006497A" w:rsidRPr="00002AC9" w:rsidRDefault="00970E6C" w:rsidP="0022780B">
            <w:pPr>
              <w:pStyle w:val="ListParagraph"/>
              <w:numPr>
                <w:ilvl w:val="0"/>
                <w:numId w:val="13"/>
              </w:numPr>
              <w:rPr>
                <w:rFonts w:ascii="Arial" w:hAnsi="Arial" w:cs="Arial"/>
                <w:szCs w:val="20"/>
              </w:rPr>
            </w:pPr>
            <w:r w:rsidRPr="00002AC9">
              <w:rPr>
                <w:rFonts w:ascii="Arial" w:hAnsi="Arial" w:cs="Arial"/>
                <w:szCs w:val="20"/>
              </w:rPr>
              <w:t>O</w:t>
            </w:r>
            <w:r w:rsidR="0006497A" w:rsidRPr="0006497A">
              <w:rPr>
                <w:rFonts w:ascii="Arial" w:hAnsi="Arial" w:cs="Arial"/>
                <w:szCs w:val="20"/>
              </w:rPr>
              <w:t xml:space="preserve">ur </w:t>
            </w:r>
            <w:r w:rsidR="008873E8" w:rsidRPr="00002AC9">
              <w:rPr>
                <w:rFonts w:ascii="Arial" w:hAnsi="Arial" w:cs="Arial"/>
                <w:szCs w:val="20"/>
              </w:rPr>
              <w:t>decision</w:t>
            </w:r>
            <w:r w:rsidR="00E5592A">
              <w:rPr>
                <w:rFonts w:ascii="Arial" w:hAnsi="Arial" w:cs="Arial"/>
                <w:szCs w:val="20"/>
              </w:rPr>
              <w:t xml:space="preserve"> at FDs</w:t>
            </w:r>
            <w:r w:rsidR="008873E8" w:rsidRPr="00002AC9">
              <w:rPr>
                <w:rFonts w:ascii="Arial" w:hAnsi="Arial" w:cs="Arial"/>
                <w:szCs w:val="20"/>
              </w:rPr>
              <w:t xml:space="preserve"> to include</w:t>
            </w:r>
            <w:r w:rsidR="0006497A" w:rsidRPr="0006497A">
              <w:rPr>
                <w:rFonts w:ascii="Arial" w:hAnsi="Arial" w:cs="Arial"/>
                <w:szCs w:val="20"/>
              </w:rPr>
              <w:t xml:space="preserve"> LTS diversions in the regression</w:t>
            </w:r>
            <w:r w:rsidRPr="00002AC9">
              <w:rPr>
                <w:rFonts w:ascii="Arial" w:hAnsi="Arial" w:cs="Arial"/>
                <w:szCs w:val="20"/>
              </w:rPr>
              <w:t xml:space="preserve"> on a gross basis</w:t>
            </w:r>
            <w:r w:rsidR="008873E8" w:rsidRPr="00002AC9">
              <w:rPr>
                <w:rFonts w:ascii="Arial" w:hAnsi="Arial" w:cs="Arial"/>
                <w:szCs w:val="20"/>
              </w:rPr>
              <w:t xml:space="preserve"> is consistent with our </w:t>
            </w:r>
            <w:r w:rsidRPr="00002AC9">
              <w:rPr>
                <w:rFonts w:ascii="Arial" w:hAnsi="Arial" w:cs="Arial"/>
                <w:szCs w:val="20"/>
              </w:rPr>
              <w:t xml:space="preserve">proposed </w:t>
            </w:r>
            <w:r w:rsidR="00E5592A">
              <w:rPr>
                <w:rFonts w:ascii="Arial" w:hAnsi="Arial" w:cs="Arial"/>
                <w:szCs w:val="20"/>
              </w:rPr>
              <w:t>position that we consulted on</w:t>
            </w:r>
            <w:r w:rsidR="008873E8" w:rsidRPr="00002AC9">
              <w:rPr>
                <w:rFonts w:ascii="Arial" w:hAnsi="Arial" w:cs="Arial"/>
                <w:szCs w:val="20"/>
              </w:rPr>
              <w:t xml:space="preserve"> at Draft Determinations</w:t>
            </w:r>
            <w:r w:rsidR="00B46692">
              <w:rPr>
                <w:rFonts w:ascii="Arial" w:hAnsi="Arial" w:cs="Arial"/>
                <w:szCs w:val="20"/>
              </w:rPr>
              <w:t>, and reflects open discussions that we held with companies prior to Draft Determinations to identify pre-regression adjustments and normalisations</w:t>
            </w:r>
            <w:r w:rsidRPr="00002AC9">
              <w:rPr>
                <w:rFonts w:ascii="Arial" w:hAnsi="Arial" w:cs="Arial"/>
                <w:szCs w:val="20"/>
              </w:rPr>
              <w:t xml:space="preserve">. Similarly, our decision to use </w:t>
            </w:r>
            <w:r w:rsidR="00002AC9" w:rsidRPr="00002AC9">
              <w:rPr>
                <w:rFonts w:ascii="Arial" w:hAnsi="Arial" w:cs="Arial"/>
                <w:szCs w:val="20"/>
              </w:rPr>
              <w:t>MEAV</w:t>
            </w:r>
            <w:r w:rsidRPr="00002AC9">
              <w:rPr>
                <w:rFonts w:ascii="Arial" w:hAnsi="Arial" w:cs="Arial"/>
                <w:szCs w:val="20"/>
              </w:rPr>
              <w:t xml:space="preserve"> to represent LTS costs in the regression</w:t>
            </w:r>
            <w:r w:rsidR="00002AC9" w:rsidRPr="00002AC9">
              <w:rPr>
                <w:rFonts w:ascii="Arial" w:hAnsi="Arial" w:cs="Arial"/>
                <w:szCs w:val="20"/>
              </w:rPr>
              <w:t>, as was our approach at RIIO-GD1,</w:t>
            </w:r>
            <w:r w:rsidRPr="00002AC9">
              <w:rPr>
                <w:rFonts w:ascii="Arial" w:hAnsi="Arial" w:cs="Arial"/>
                <w:szCs w:val="20"/>
              </w:rPr>
              <w:t xml:space="preserve"> is </w:t>
            </w:r>
            <w:r w:rsidR="00E5592A">
              <w:rPr>
                <w:rFonts w:ascii="Arial" w:hAnsi="Arial" w:cs="Arial"/>
                <w:szCs w:val="20"/>
              </w:rPr>
              <w:t>the</w:t>
            </w:r>
            <w:r w:rsidRPr="00002AC9">
              <w:rPr>
                <w:rFonts w:ascii="Arial" w:hAnsi="Arial" w:cs="Arial"/>
                <w:szCs w:val="20"/>
              </w:rPr>
              <w:t xml:space="preserve"> position </w:t>
            </w:r>
            <w:r w:rsidR="00E5592A">
              <w:rPr>
                <w:rFonts w:ascii="Arial" w:hAnsi="Arial" w:cs="Arial"/>
                <w:szCs w:val="20"/>
              </w:rPr>
              <w:t xml:space="preserve">that was proposed </w:t>
            </w:r>
            <w:r w:rsidRPr="00002AC9">
              <w:rPr>
                <w:rFonts w:ascii="Arial" w:hAnsi="Arial" w:cs="Arial"/>
                <w:szCs w:val="20"/>
              </w:rPr>
              <w:t>at Draft Determinations</w:t>
            </w:r>
            <w:r w:rsidR="00002AC9" w:rsidRPr="00002AC9">
              <w:rPr>
                <w:rFonts w:ascii="Arial" w:hAnsi="Arial" w:cs="Arial"/>
                <w:szCs w:val="20"/>
              </w:rPr>
              <w:t>.</w:t>
            </w:r>
          </w:p>
          <w:p w14:paraId="0518B9BD" w14:textId="77777777" w:rsidR="00970E6C" w:rsidRPr="00970E6C" w:rsidRDefault="00970E6C" w:rsidP="00970E6C">
            <w:pPr>
              <w:pStyle w:val="ListParagraph"/>
              <w:rPr>
                <w:rFonts w:ascii="Arial" w:hAnsi="Arial" w:cs="Arial"/>
                <w:szCs w:val="20"/>
              </w:rPr>
            </w:pPr>
          </w:p>
          <w:p w14:paraId="41C030B0" w14:textId="678BE5C5" w:rsidR="00970E6C" w:rsidRPr="00970E6C" w:rsidRDefault="00002AC9" w:rsidP="00970E6C">
            <w:pPr>
              <w:pStyle w:val="ListParagraph"/>
              <w:numPr>
                <w:ilvl w:val="0"/>
                <w:numId w:val="13"/>
              </w:numPr>
              <w:rPr>
                <w:rFonts w:ascii="Arial" w:hAnsi="Arial" w:cs="Arial"/>
                <w:szCs w:val="20"/>
              </w:rPr>
            </w:pPr>
            <w:r>
              <w:rPr>
                <w:rFonts w:ascii="Arial" w:hAnsi="Arial" w:cs="Arial"/>
                <w:szCs w:val="20"/>
              </w:rPr>
              <w:t>For the reasons set out above,</w:t>
            </w:r>
            <w:r w:rsidR="00B46692">
              <w:rPr>
                <w:rFonts w:ascii="Arial" w:hAnsi="Arial" w:cs="Arial"/>
                <w:szCs w:val="20"/>
              </w:rPr>
              <w:t xml:space="preserve"> and in line with the decisions set out in FDs,</w:t>
            </w:r>
            <w:r>
              <w:rPr>
                <w:rFonts w:ascii="Arial" w:hAnsi="Arial" w:cs="Arial"/>
                <w:szCs w:val="20"/>
              </w:rPr>
              <w:t xml:space="preserve"> we</w:t>
            </w:r>
            <w:r w:rsidR="0006497A" w:rsidRPr="0006497A">
              <w:rPr>
                <w:rFonts w:ascii="Arial" w:hAnsi="Arial" w:cs="Arial"/>
                <w:szCs w:val="20"/>
              </w:rPr>
              <w:t xml:space="preserve"> do not </w:t>
            </w:r>
            <w:r>
              <w:rPr>
                <w:rFonts w:ascii="Arial" w:hAnsi="Arial" w:cs="Arial"/>
                <w:szCs w:val="20"/>
              </w:rPr>
              <w:t xml:space="preserve">think </w:t>
            </w:r>
            <w:r w:rsidR="0006497A" w:rsidRPr="0006497A">
              <w:rPr>
                <w:rFonts w:ascii="Arial" w:hAnsi="Arial" w:cs="Arial"/>
                <w:szCs w:val="20"/>
              </w:rPr>
              <w:t>there is an error in our approach to assessing LTS diversions.</w:t>
            </w:r>
          </w:p>
          <w:p w14:paraId="1A87500D" w14:textId="1FE2C0EB" w:rsidR="009C0367" w:rsidRPr="00DE6033" w:rsidRDefault="009C0367" w:rsidP="009C0367">
            <w:pPr>
              <w:pStyle w:val="ListParagraph"/>
              <w:ind w:left="0"/>
              <w:rPr>
                <w:rFonts w:ascii="Arial" w:hAnsi="Arial" w:cs="Arial"/>
                <w:szCs w:val="20"/>
              </w:rPr>
            </w:pPr>
          </w:p>
        </w:tc>
      </w:tr>
    </w:tbl>
    <w:p w14:paraId="0569FEF0" w14:textId="77777777" w:rsidR="00945C7C" w:rsidRPr="00EA1559" w:rsidRDefault="00945C7C" w:rsidP="008A5062"/>
    <w:sectPr w:rsidR="00945C7C" w:rsidRPr="00EA1559" w:rsidSect="00DD4ADD">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29E031" w14:textId="77777777" w:rsidR="008C676C" w:rsidRDefault="008C676C" w:rsidP="00526623">
      <w:pPr>
        <w:spacing w:after="0" w:line="240" w:lineRule="auto"/>
      </w:pPr>
      <w:r>
        <w:separator/>
      </w:r>
    </w:p>
  </w:endnote>
  <w:endnote w:type="continuationSeparator" w:id="0">
    <w:p w14:paraId="3AE321B7" w14:textId="77777777" w:rsidR="008C676C" w:rsidRDefault="008C676C"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DD9852" w14:textId="77777777" w:rsidR="008C676C" w:rsidRDefault="008C676C" w:rsidP="00526623">
      <w:pPr>
        <w:spacing w:after="0" w:line="240" w:lineRule="auto"/>
      </w:pPr>
      <w:r>
        <w:separator/>
      </w:r>
    </w:p>
  </w:footnote>
  <w:footnote w:type="continuationSeparator" w:id="0">
    <w:p w14:paraId="18EBE75F" w14:textId="77777777" w:rsidR="008C676C" w:rsidRDefault="008C676C"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F699F"/>
    <w:multiLevelType w:val="hybridMultilevel"/>
    <w:tmpl w:val="7E588C32"/>
    <w:lvl w:ilvl="0" w:tplc="0809000F">
      <w:start w:val="1"/>
      <w:numFmt w:val="decimal"/>
      <w:lvlText w:val="%1."/>
      <w:lvlJc w:val="left"/>
      <w:pPr>
        <w:ind w:left="792" w:hanging="360"/>
      </w:p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1" w15:restartNumberingAfterBreak="0">
    <w:nsid w:val="29821CDE"/>
    <w:multiLevelType w:val="hybridMultilevel"/>
    <w:tmpl w:val="6BD08D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4F31346"/>
    <w:multiLevelType w:val="hybridMultilevel"/>
    <w:tmpl w:val="3BC0B9B0"/>
    <w:lvl w:ilvl="0" w:tplc="6F1C08B4">
      <w:start w:val="1"/>
      <w:numFmt w:val="decimal"/>
      <w:lvlText w:val="%1."/>
      <w:lvlJc w:val="left"/>
      <w:pPr>
        <w:ind w:left="413" w:hanging="413"/>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74648E6"/>
    <w:multiLevelType w:val="hybridMultilevel"/>
    <w:tmpl w:val="EBE2E2FE"/>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4"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86643E"/>
    <w:multiLevelType w:val="hybridMultilevel"/>
    <w:tmpl w:val="D71E5430"/>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6" w15:restartNumberingAfterBreak="0">
    <w:nsid w:val="42AC7E98"/>
    <w:multiLevelType w:val="hybridMultilevel"/>
    <w:tmpl w:val="6972B78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5E470F2"/>
    <w:multiLevelType w:val="hybridMultilevel"/>
    <w:tmpl w:val="9F782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62463EF"/>
    <w:multiLevelType w:val="hybridMultilevel"/>
    <w:tmpl w:val="041A91A8"/>
    <w:lvl w:ilvl="0" w:tplc="5E84509C">
      <w:start w:val="1"/>
      <w:numFmt w:val="bullet"/>
      <w:lvlText w:val="•"/>
      <w:lvlJc w:val="left"/>
      <w:pPr>
        <w:tabs>
          <w:tab w:val="num" w:pos="720"/>
        </w:tabs>
        <w:ind w:left="720" w:hanging="360"/>
      </w:pPr>
      <w:rPr>
        <w:rFonts w:ascii="Arial" w:hAnsi="Arial" w:hint="default"/>
      </w:rPr>
    </w:lvl>
    <w:lvl w:ilvl="1" w:tplc="001A3878" w:tentative="1">
      <w:start w:val="1"/>
      <w:numFmt w:val="bullet"/>
      <w:lvlText w:val="•"/>
      <w:lvlJc w:val="left"/>
      <w:pPr>
        <w:tabs>
          <w:tab w:val="num" w:pos="1440"/>
        </w:tabs>
        <w:ind w:left="1440" w:hanging="360"/>
      </w:pPr>
      <w:rPr>
        <w:rFonts w:ascii="Arial" w:hAnsi="Arial" w:hint="default"/>
      </w:rPr>
    </w:lvl>
    <w:lvl w:ilvl="2" w:tplc="E458C53A" w:tentative="1">
      <w:start w:val="1"/>
      <w:numFmt w:val="bullet"/>
      <w:lvlText w:val="•"/>
      <w:lvlJc w:val="left"/>
      <w:pPr>
        <w:tabs>
          <w:tab w:val="num" w:pos="2160"/>
        </w:tabs>
        <w:ind w:left="2160" w:hanging="360"/>
      </w:pPr>
      <w:rPr>
        <w:rFonts w:ascii="Arial" w:hAnsi="Arial" w:hint="default"/>
      </w:rPr>
    </w:lvl>
    <w:lvl w:ilvl="3" w:tplc="B6768228" w:tentative="1">
      <w:start w:val="1"/>
      <w:numFmt w:val="bullet"/>
      <w:lvlText w:val="•"/>
      <w:lvlJc w:val="left"/>
      <w:pPr>
        <w:tabs>
          <w:tab w:val="num" w:pos="2880"/>
        </w:tabs>
        <w:ind w:left="2880" w:hanging="360"/>
      </w:pPr>
      <w:rPr>
        <w:rFonts w:ascii="Arial" w:hAnsi="Arial" w:hint="default"/>
      </w:rPr>
    </w:lvl>
    <w:lvl w:ilvl="4" w:tplc="D9566BAC" w:tentative="1">
      <w:start w:val="1"/>
      <w:numFmt w:val="bullet"/>
      <w:lvlText w:val="•"/>
      <w:lvlJc w:val="left"/>
      <w:pPr>
        <w:tabs>
          <w:tab w:val="num" w:pos="3600"/>
        </w:tabs>
        <w:ind w:left="3600" w:hanging="360"/>
      </w:pPr>
      <w:rPr>
        <w:rFonts w:ascii="Arial" w:hAnsi="Arial" w:hint="default"/>
      </w:rPr>
    </w:lvl>
    <w:lvl w:ilvl="5" w:tplc="20969EBE" w:tentative="1">
      <w:start w:val="1"/>
      <w:numFmt w:val="bullet"/>
      <w:lvlText w:val="•"/>
      <w:lvlJc w:val="left"/>
      <w:pPr>
        <w:tabs>
          <w:tab w:val="num" w:pos="4320"/>
        </w:tabs>
        <w:ind w:left="4320" w:hanging="360"/>
      </w:pPr>
      <w:rPr>
        <w:rFonts w:ascii="Arial" w:hAnsi="Arial" w:hint="default"/>
      </w:rPr>
    </w:lvl>
    <w:lvl w:ilvl="6" w:tplc="7DC6AB1E" w:tentative="1">
      <w:start w:val="1"/>
      <w:numFmt w:val="bullet"/>
      <w:lvlText w:val="•"/>
      <w:lvlJc w:val="left"/>
      <w:pPr>
        <w:tabs>
          <w:tab w:val="num" w:pos="5040"/>
        </w:tabs>
        <w:ind w:left="5040" w:hanging="360"/>
      </w:pPr>
      <w:rPr>
        <w:rFonts w:ascii="Arial" w:hAnsi="Arial" w:hint="default"/>
      </w:rPr>
    </w:lvl>
    <w:lvl w:ilvl="7" w:tplc="2042F410" w:tentative="1">
      <w:start w:val="1"/>
      <w:numFmt w:val="bullet"/>
      <w:lvlText w:val="•"/>
      <w:lvlJc w:val="left"/>
      <w:pPr>
        <w:tabs>
          <w:tab w:val="num" w:pos="5760"/>
        </w:tabs>
        <w:ind w:left="5760" w:hanging="360"/>
      </w:pPr>
      <w:rPr>
        <w:rFonts w:ascii="Arial" w:hAnsi="Arial" w:hint="default"/>
      </w:rPr>
    </w:lvl>
    <w:lvl w:ilvl="8" w:tplc="CF384E1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C9502E3"/>
    <w:multiLevelType w:val="hybridMultilevel"/>
    <w:tmpl w:val="C24C62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3"/>
  </w:num>
  <w:num w:numId="4">
    <w:abstractNumId w:val="11"/>
  </w:num>
  <w:num w:numId="5">
    <w:abstractNumId w:val="8"/>
  </w:num>
  <w:num w:numId="6">
    <w:abstractNumId w:val="6"/>
  </w:num>
  <w:num w:numId="7">
    <w:abstractNumId w:val="5"/>
  </w:num>
  <w:num w:numId="8">
    <w:abstractNumId w:val="10"/>
  </w:num>
  <w:num w:numId="9">
    <w:abstractNumId w:val="2"/>
  </w:num>
  <w:num w:numId="10">
    <w:abstractNumId w:val="3"/>
  </w:num>
  <w:num w:numId="11">
    <w:abstractNumId w:val="1"/>
  </w:num>
  <w:num w:numId="12">
    <w:abstractNumId w:val="0"/>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155F"/>
    <w:rsid w:val="00002AC9"/>
    <w:rsid w:val="00007AB6"/>
    <w:rsid w:val="00011792"/>
    <w:rsid w:val="00012030"/>
    <w:rsid w:val="00041711"/>
    <w:rsid w:val="000428CF"/>
    <w:rsid w:val="000436C2"/>
    <w:rsid w:val="000473D3"/>
    <w:rsid w:val="00050C54"/>
    <w:rsid w:val="0006497A"/>
    <w:rsid w:val="00080ED7"/>
    <w:rsid w:val="000A17DC"/>
    <w:rsid w:val="000A5975"/>
    <w:rsid w:val="000A7013"/>
    <w:rsid w:val="000A752F"/>
    <w:rsid w:val="000B0536"/>
    <w:rsid w:val="000C05FF"/>
    <w:rsid w:val="000E5B6D"/>
    <w:rsid w:val="0010126C"/>
    <w:rsid w:val="00107296"/>
    <w:rsid w:val="00116985"/>
    <w:rsid w:val="00120234"/>
    <w:rsid w:val="00133BD9"/>
    <w:rsid w:val="00133CFC"/>
    <w:rsid w:val="00164EE9"/>
    <w:rsid w:val="0016549B"/>
    <w:rsid w:val="00172809"/>
    <w:rsid w:val="001D0151"/>
    <w:rsid w:val="00206CA9"/>
    <w:rsid w:val="00206D5F"/>
    <w:rsid w:val="00232BEB"/>
    <w:rsid w:val="002707B1"/>
    <w:rsid w:val="00281066"/>
    <w:rsid w:val="00291D51"/>
    <w:rsid w:val="00293724"/>
    <w:rsid w:val="00295816"/>
    <w:rsid w:val="002A4AD8"/>
    <w:rsid w:val="002B4955"/>
    <w:rsid w:val="002D6BBA"/>
    <w:rsid w:val="002E3EFB"/>
    <w:rsid w:val="00300FB4"/>
    <w:rsid w:val="003043A4"/>
    <w:rsid w:val="00342E6F"/>
    <w:rsid w:val="003452B0"/>
    <w:rsid w:val="00360385"/>
    <w:rsid w:val="00374CB2"/>
    <w:rsid w:val="00385085"/>
    <w:rsid w:val="00395290"/>
    <w:rsid w:val="003B3576"/>
    <w:rsid w:val="003E3813"/>
    <w:rsid w:val="003F465C"/>
    <w:rsid w:val="00400822"/>
    <w:rsid w:val="00401E4D"/>
    <w:rsid w:val="004313E4"/>
    <w:rsid w:val="004376F5"/>
    <w:rsid w:val="0047108D"/>
    <w:rsid w:val="004819EC"/>
    <w:rsid w:val="004C4C19"/>
    <w:rsid w:val="004C4D2B"/>
    <w:rsid w:val="004D0311"/>
    <w:rsid w:val="004D1F2F"/>
    <w:rsid w:val="00503895"/>
    <w:rsid w:val="0050396B"/>
    <w:rsid w:val="00507060"/>
    <w:rsid w:val="0052326B"/>
    <w:rsid w:val="00526623"/>
    <w:rsid w:val="00526A8E"/>
    <w:rsid w:val="00534E92"/>
    <w:rsid w:val="00536220"/>
    <w:rsid w:val="00536F40"/>
    <w:rsid w:val="00584F30"/>
    <w:rsid w:val="00586A8E"/>
    <w:rsid w:val="00590317"/>
    <w:rsid w:val="005927B6"/>
    <w:rsid w:val="00596CA8"/>
    <w:rsid w:val="005A506C"/>
    <w:rsid w:val="005A74DE"/>
    <w:rsid w:val="005C3DA2"/>
    <w:rsid w:val="005E2894"/>
    <w:rsid w:val="005F00FF"/>
    <w:rsid w:val="00601280"/>
    <w:rsid w:val="0060723D"/>
    <w:rsid w:val="006224F4"/>
    <w:rsid w:val="006279ED"/>
    <w:rsid w:val="0065109D"/>
    <w:rsid w:val="006802FF"/>
    <w:rsid w:val="00681BA2"/>
    <w:rsid w:val="006847DA"/>
    <w:rsid w:val="00686A77"/>
    <w:rsid w:val="006A715C"/>
    <w:rsid w:val="006B26DE"/>
    <w:rsid w:val="006B622B"/>
    <w:rsid w:val="006D0ADD"/>
    <w:rsid w:val="006E4411"/>
    <w:rsid w:val="006F0656"/>
    <w:rsid w:val="00716508"/>
    <w:rsid w:val="007205B9"/>
    <w:rsid w:val="00721734"/>
    <w:rsid w:val="00732827"/>
    <w:rsid w:val="007400B7"/>
    <w:rsid w:val="00753976"/>
    <w:rsid w:val="007572D8"/>
    <w:rsid w:val="007649AC"/>
    <w:rsid w:val="00772D1E"/>
    <w:rsid w:val="007974DA"/>
    <w:rsid w:val="007B0EE4"/>
    <w:rsid w:val="007B29A9"/>
    <w:rsid w:val="007C2E37"/>
    <w:rsid w:val="007D7648"/>
    <w:rsid w:val="007E30C4"/>
    <w:rsid w:val="007E6B8C"/>
    <w:rsid w:val="008170C7"/>
    <w:rsid w:val="00845396"/>
    <w:rsid w:val="00847224"/>
    <w:rsid w:val="0085400C"/>
    <w:rsid w:val="0086226C"/>
    <w:rsid w:val="008873E8"/>
    <w:rsid w:val="008A5062"/>
    <w:rsid w:val="008B3636"/>
    <w:rsid w:val="008B7043"/>
    <w:rsid w:val="008C5A35"/>
    <w:rsid w:val="008C676C"/>
    <w:rsid w:val="008E5CFC"/>
    <w:rsid w:val="008F5542"/>
    <w:rsid w:val="00910A5E"/>
    <w:rsid w:val="009222C6"/>
    <w:rsid w:val="00924DEC"/>
    <w:rsid w:val="00935000"/>
    <w:rsid w:val="00937BF5"/>
    <w:rsid w:val="00941E89"/>
    <w:rsid w:val="00942721"/>
    <w:rsid w:val="00945C7C"/>
    <w:rsid w:val="00946125"/>
    <w:rsid w:val="00962140"/>
    <w:rsid w:val="00970E6C"/>
    <w:rsid w:val="009762C9"/>
    <w:rsid w:val="009845A8"/>
    <w:rsid w:val="00985B98"/>
    <w:rsid w:val="009B26A0"/>
    <w:rsid w:val="009B7577"/>
    <w:rsid w:val="009C0367"/>
    <w:rsid w:val="009D4673"/>
    <w:rsid w:val="009D4F56"/>
    <w:rsid w:val="00A054D1"/>
    <w:rsid w:val="00A0584E"/>
    <w:rsid w:val="00A06191"/>
    <w:rsid w:val="00A17022"/>
    <w:rsid w:val="00A56CF3"/>
    <w:rsid w:val="00A77899"/>
    <w:rsid w:val="00A922CF"/>
    <w:rsid w:val="00AB5555"/>
    <w:rsid w:val="00AC195E"/>
    <w:rsid w:val="00AC6418"/>
    <w:rsid w:val="00AE2C71"/>
    <w:rsid w:val="00AF2854"/>
    <w:rsid w:val="00AF5861"/>
    <w:rsid w:val="00AF74F6"/>
    <w:rsid w:val="00B33B74"/>
    <w:rsid w:val="00B33BDA"/>
    <w:rsid w:val="00B35E40"/>
    <w:rsid w:val="00B378CC"/>
    <w:rsid w:val="00B41AEB"/>
    <w:rsid w:val="00B46692"/>
    <w:rsid w:val="00B54E67"/>
    <w:rsid w:val="00B60977"/>
    <w:rsid w:val="00B73EA6"/>
    <w:rsid w:val="00B82400"/>
    <w:rsid w:val="00B86DDF"/>
    <w:rsid w:val="00BA0306"/>
    <w:rsid w:val="00BA4154"/>
    <w:rsid w:val="00BA5A79"/>
    <w:rsid w:val="00BB4793"/>
    <w:rsid w:val="00BB56A8"/>
    <w:rsid w:val="00BB682C"/>
    <w:rsid w:val="00BD48A8"/>
    <w:rsid w:val="00C10D99"/>
    <w:rsid w:val="00C57345"/>
    <w:rsid w:val="00C60EDD"/>
    <w:rsid w:val="00C77097"/>
    <w:rsid w:val="00C814D0"/>
    <w:rsid w:val="00C81B4C"/>
    <w:rsid w:val="00C905FD"/>
    <w:rsid w:val="00CA4297"/>
    <w:rsid w:val="00CC4056"/>
    <w:rsid w:val="00CC7214"/>
    <w:rsid w:val="00CF22EF"/>
    <w:rsid w:val="00D1736D"/>
    <w:rsid w:val="00D32844"/>
    <w:rsid w:val="00D379ED"/>
    <w:rsid w:val="00D42E20"/>
    <w:rsid w:val="00D50036"/>
    <w:rsid w:val="00D50CA3"/>
    <w:rsid w:val="00D53135"/>
    <w:rsid w:val="00D71A1E"/>
    <w:rsid w:val="00D81399"/>
    <w:rsid w:val="00D815E6"/>
    <w:rsid w:val="00D93349"/>
    <w:rsid w:val="00DA4D94"/>
    <w:rsid w:val="00DA67E5"/>
    <w:rsid w:val="00DD4ADD"/>
    <w:rsid w:val="00DE6033"/>
    <w:rsid w:val="00E040EA"/>
    <w:rsid w:val="00E11C0E"/>
    <w:rsid w:val="00E15A6C"/>
    <w:rsid w:val="00E27AA5"/>
    <w:rsid w:val="00E346B6"/>
    <w:rsid w:val="00E525E0"/>
    <w:rsid w:val="00E5592A"/>
    <w:rsid w:val="00E55A7F"/>
    <w:rsid w:val="00E566F5"/>
    <w:rsid w:val="00E94FDE"/>
    <w:rsid w:val="00EA1559"/>
    <w:rsid w:val="00EA5A86"/>
    <w:rsid w:val="00EA658E"/>
    <w:rsid w:val="00EB123E"/>
    <w:rsid w:val="00EB179A"/>
    <w:rsid w:val="00EB2613"/>
    <w:rsid w:val="00EE1C79"/>
    <w:rsid w:val="00EE2493"/>
    <w:rsid w:val="00EF4C3E"/>
    <w:rsid w:val="00EF7E7B"/>
    <w:rsid w:val="00F129C1"/>
    <w:rsid w:val="00F20F23"/>
    <w:rsid w:val="00F2223E"/>
    <w:rsid w:val="00F23B18"/>
    <w:rsid w:val="00F31270"/>
    <w:rsid w:val="00F5577B"/>
    <w:rsid w:val="00F633A0"/>
    <w:rsid w:val="00F678C1"/>
    <w:rsid w:val="00F82AB4"/>
    <w:rsid w:val="00F90892"/>
    <w:rsid w:val="00FB0EC9"/>
    <w:rsid w:val="00FD3883"/>
    <w:rsid w:val="00FD5CD1"/>
    <w:rsid w:val="00FE55D9"/>
    <w:rsid w:val="00FF45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774F2B"/>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unhideWhenUsed/>
    <w:rsid w:val="00EA1559"/>
    <w:pPr>
      <w:spacing w:before="100" w:beforeAutospacing="1" w:after="100" w:afterAutospacing="1" w:line="240" w:lineRule="auto"/>
    </w:pPr>
    <w:rPr>
      <w:rFonts w:ascii="Calibri" w:hAnsi="Calibri" w:cs="Calibri"/>
      <w:sz w:val="22"/>
      <w:lang w:eastAsia="en-GB"/>
    </w:rPr>
  </w:style>
  <w:style w:type="paragraph" w:customStyle="1" w:styleId="xmsobodytext">
    <w:name w:val="x_msobodytext"/>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msonormal">
    <w:name w:val="x_msonormal"/>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120234"/>
    <w:rPr>
      <w:color w:val="0000FF" w:themeColor="hyperlink"/>
      <w:u w:val="single"/>
    </w:rPr>
  </w:style>
  <w:style w:type="character" w:styleId="CommentReference">
    <w:name w:val="annotation reference"/>
    <w:basedOn w:val="DefaultParagraphFont"/>
    <w:uiPriority w:val="99"/>
    <w:semiHidden/>
    <w:unhideWhenUsed/>
    <w:rsid w:val="008873E8"/>
    <w:rPr>
      <w:sz w:val="16"/>
      <w:szCs w:val="16"/>
    </w:rPr>
  </w:style>
  <w:style w:type="paragraph" w:styleId="CommentText">
    <w:name w:val="annotation text"/>
    <w:basedOn w:val="Normal"/>
    <w:link w:val="CommentTextChar"/>
    <w:uiPriority w:val="99"/>
    <w:semiHidden/>
    <w:unhideWhenUsed/>
    <w:rsid w:val="008873E8"/>
    <w:pPr>
      <w:spacing w:line="240" w:lineRule="auto"/>
    </w:pPr>
    <w:rPr>
      <w:szCs w:val="20"/>
    </w:rPr>
  </w:style>
  <w:style w:type="character" w:customStyle="1" w:styleId="CommentTextChar">
    <w:name w:val="Comment Text Char"/>
    <w:basedOn w:val="DefaultParagraphFont"/>
    <w:link w:val="CommentText"/>
    <w:uiPriority w:val="99"/>
    <w:semiHidden/>
    <w:rsid w:val="008873E8"/>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873E8"/>
    <w:rPr>
      <w:b/>
      <w:bCs/>
    </w:rPr>
  </w:style>
  <w:style w:type="character" w:customStyle="1" w:styleId="CommentSubjectChar">
    <w:name w:val="Comment Subject Char"/>
    <w:basedOn w:val="CommentTextChar"/>
    <w:link w:val="CommentSubject"/>
    <w:uiPriority w:val="99"/>
    <w:semiHidden/>
    <w:rsid w:val="008873E8"/>
    <w:rPr>
      <w:rFonts w:ascii="Verdana" w:hAnsi="Verdana"/>
      <w:b/>
      <w:bCs/>
      <w:sz w:val="20"/>
      <w:szCs w:val="20"/>
    </w:rPr>
  </w:style>
  <w:style w:type="paragraph" w:styleId="BalloonText">
    <w:name w:val="Balloon Text"/>
    <w:basedOn w:val="Normal"/>
    <w:link w:val="BalloonTextChar"/>
    <w:uiPriority w:val="99"/>
    <w:semiHidden/>
    <w:unhideWhenUsed/>
    <w:rsid w:val="00887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73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35682561">
      <w:bodyDiv w:val="1"/>
      <w:marLeft w:val="0"/>
      <w:marRight w:val="0"/>
      <w:marTop w:val="0"/>
      <w:marBottom w:val="0"/>
      <w:divBdr>
        <w:top w:val="none" w:sz="0" w:space="0" w:color="auto"/>
        <w:left w:val="none" w:sz="0" w:space="0" w:color="auto"/>
        <w:bottom w:val="none" w:sz="0" w:space="0" w:color="auto"/>
        <w:right w:val="none" w:sz="0" w:space="0" w:color="auto"/>
      </w:divBdr>
    </w:div>
    <w:div w:id="488908713">
      <w:bodyDiv w:val="1"/>
      <w:marLeft w:val="0"/>
      <w:marRight w:val="0"/>
      <w:marTop w:val="0"/>
      <w:marBottom w:val="0"/>
      <w:divBdr>
        <w:top w:val="none" w:sz="0" w:space="0" w:color="auto"/>
        <w:left w:val="none" w:sz="0" w:space="0" w:color="auto"/>
        <w:bottom w:val="none" w:sz="0" w:space="0" w:color="auto"/>
        <w:right w:val="none" w:sz="0" w:space="0" w:color="auto"/>
      </w:divBdr>
    </w:div>
    <w:div w:id="661668063">
      <w:bodyDiv w:val="1"/>
      <w:marLeft w:val="0"/>
      <w:marRight w:val="0"/>
      <w:marTop w:val="0"/>
      <w:marBottom w:val="0"/>
      <w:divBdr>
        <w:top w:val="none" w:sz="0" w:space="0" w:color="auto"/>
        <w:left w:val="none" w:sz="0" w:space="0" w:color="auto"/>
        <w:bottom w:val="none" w:sz="0" w:space="0" w:color="auto"/>
        <w:right w:val="none" w:sz="0" w:space="0" w:color="auto"/>
      </w:divBdr>
      <w:divsChild>
        <w:div w:id="1591307235">
          <w:marLeft w:val="446"/>
          <w:marRight w:val="0"/>
          <w:marTop w:val="0"/>
          <w:marBottom w:val="0"/>
          <w:divBdr>
            <w:top w:val="none" w:sz="0" w:space="0" w:color="auto"/>
            <w:left w:val="none" w:sz="0" w:space="0" w:color="auto"/>
            <w:bottom w:val="none" w:sz="0" w:space="0" w:color="auto"/>
            <w:right w:val="none" w:sz="0" w:space="0" w:color="auto"/>
          </w:divBdr>
        </w:div>
        <w:div w:id="853835668">
          <w:marLeft w:val="446"/>
          <w:marRight w:val="0"/>
          <w:marTop w:val="0"/>
          <w:marBottom w:val="0"/>
          <w:divBdr>
            <w:top w:val="none" w:sz="0" w:space="0" w:color="auto"/>
            <w:left w:val="none" w:sz="0" w:space="0" w:color="auto"/>
            <w:bottom w:val="none" w:sz="0" w:space="0" w:color="auto"/>
            <w:right w:val="none" w:sz="0" w:space="0" w:color="auto"/>
          </w:divBdr>
        </w:div>
        <w:div w:id="1616137481">
          <w:marLeft w:val="446"/>
          <w:marRight w:val="0"/>
          <w:marTop w:val="0"/>
          <w:marBottom w:val="0"/>
          <w:divBdr>
            <w:top w:val="none" w:sz="0" w:space="0" w:color="auto"/>
            <w:left w:val="none" w:sz="0" w:space="0" w:color="auto"/>
            <w:bottom w:val="none" w:sz="0" w:space="0" w:color="auto"/>
            <w:right w:val="none" w:sz="0" w:space="0" w:color="auto"/>
          </w:divBdr>
        </w:div>
        <w:div w:id="174346894">
          <w:marLeft w:val="446"/>
          <w:marRight w:val="0"/>
          <w:marTop w:val="0"/>
          <w:marBottom w:val="0"/>
          <w:divBdr>
            <w:top w:val="none" w:sz="0" w:space="0" w:color="auto"/>
            <w:left w:val="none" w:sz="0" w:space="0" w:color="auto"/>
            <w:bottom w:val="none" w:sz="0" w:space="0" w:color="auto"/>
            <w:right w:val="none" w:sz="0" w:space="0" w:color="auto"/>
          </w:divBdr>
        </w:div>
      </w:divsChild>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198153395">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812404061">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cid:image001.png@01D6E4FF.166E5050"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a9306fc-8436-45f0-b931-e34f519be3a3" ContentTypeId="0x01010032640DAD0EFF63499F40C6F300FF9AAD" PreviousValue="tru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5.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BE9E3C9-E5FF-446E-B535-7C1F0A8C6B4C}">
  <ds:schemaRefs>
    <ds:schemaRef ds:uri="Microsoft.SharePoint.Taxonomy.ContentTypeSync"/>
  </ds:schemaRefs>
</ds:datastoreItem>
</file>

<file path=customXml/itemProps2.xml><?xml version="1.0" encoding="utf-8"?>
<ds:datastoreItem xmlns:ds="http://schemas.openxmlformats.org/officeDocument/2006/customXml" ds:itemID="{9A973D86-A4D0-4595-AB90-F16D76BFCD11}">
  <ds:schemaRefs>
    <ds:schemaRef ds:uri="http://schemas.openxmlformats.org/officeDocument/2006/bibliography"/>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schemas.microsoft.com/office/2006/documentManagement/types"/>
    <ds:schemaRef ds:uri="631298fc-6a88-4548-b7d9-3b164918c4a3"/>
    <ds:schemaRef ds:uri="http://www.w3.org/XML/1998/namespace"/>
    <ds:schemaRef ds:uri="http://schemas.openxmlformats.org/package/2006/metadata/core-properties"/>
    <ds:schemaRef ds:uri="http://schemas.microsoft.com/office/infopath/2007/PartnerControls"/>
    <ds:schemaRef ds:uri="http://purl.org/dc/elements/1.1/"/>
    <ds:schemaRef ds:uri="http://purl.org/dc/dcmitype/"/>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22215E35-3074-411D-B42D-B5F259A99E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A81B2AB-39BF-4ECC-AF17-446E2721081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5</Pages>
  <Words>1196</Words>
  <Characters>6818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revision>12</cp:revision>
  <dcterms:created xsi:type="dcterms:W3CDTF">2021-01-11T16:51:00Z</dcterms:created>
  <dcterms:modified xsi:type="dcterms:W3CDTF">2021-01-21T17:55:00Z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d4e1922d-0229-4433-8f00-594f0db1d2b4</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bjClsUserRVM">
    <vt:lpwstr>[]</vt:lpwstr>
  </property>
</Properties>
</file>