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774" w:type="dxa"/>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3"/>
        <w:gridCol w:w="1242"/>
        <w:gridCol w:w="8432"/>
        <w:gridCol w:w="357"/>
      </w:tblGrid>
      <w:tr w:rsidR="00133BD9" w:rsidRPr="00376EF6" w14:paraId="373E21CB" w14:textId="77777777" w:rsidTr="00FE720C">
        <w:trPr>
          <w:gridBefore w:val="1"/>
          <w:gridAfter w:val="1"/>
          <w:wBefore w:w="743" w:type="dxa"/>
          <w:wAfter w:w="357" w:type="dxa"/>
          <w:trHeight w:val="315"/>
        </w:trPr>
        <w:tc>
          <w:tcPr>
            <w:tcW w:w="9674" w:type="dxa"/>
            <w:gridSpan w:val="2"/>
            <w:tcBorders>
              <w:top w:val="nil"/>
              <w:left w:val="nil"/>
              <w:bottom w:val="nil"/>
              <w:right w:val="nil"/>
            </w:tcBorders>
            <w:shd w:val="clear" w:color="auto" w:fill="auto"/>
            <w:noWrap/>
            <w:vAlign w:val="center"/>
            <w:hideMark/>
          </w:tcPr>
          <w:p w14:paraId="373E21CA" w14:textId="7D842FC4" w:rsidR="00133BD9" w:rsidRPr="00376EF6" w:rsidRDefault="00386B68" w:rsidP="00B378CC">
            <w:pPr>
              <w:rPr>
                <w:rFonts w:ascii="Calibri" w:hAnsi="Calibri" w:cs="Arial"/>
                <w:b/>
                <w:bCs/>
                <w:sz w:val="22"/>
              </w:rPr>
            </w:pPr>
            <w:r w:rsidRPr="00376EF6">
              <w:rPr>
                <w:rFonts w:ascii="Calibri" w:hAnsi="Calibri" w:cs="Arial"/>
                <w:b/>
                <w:bCs/>
                <w:color w:val="FF0000"/>
                <w:sz w:val="22"/>
              </w:rPr>
              <w:t>SGN</w:t>
            </w:r>
            <w:r w:rsidR="00B378CC" w:rsidRPr="00376EF6">
              <w:rPr>
                <w:rFonts w:ascii="Calibri" w:hAnsi="Calibri" w:cs="Arial"/>
                <w:b/>
                <w:bCs/>
                <w:color w:val="FF0000"/>
                <w:sz w:val="22"/>
              </w:rPr>
              <w:t xml:space="preserve"> </w:t>
            </w:r>
            <w:r w:rsidR="000E5B6D" w:rsidRPr="00376EF6">
              <w:rPr>
                <w:rFonts w:ascii="Calibri" w:hAnsi="Calibri" w:cs="Arial"/>
                <w:b/>
                <w:bCs/>
                <w:sz w:val="22"/>
              </w:rPr>
              <w:t>Final</w:t>
            </w:r>
            <w:r w:rsidR="002E3EFB" w:rsidRPr="00376EF6">
              <w:rPr>
                <w:rFonts w:ascii="Calibri" w:hAnsi="Calibri" w:cs="Arial"/>
                <w:b/>
                <w:bCs/>
                <w:sz w:val="22"/>
              </w:rPr>
              <w:t xml:space="preserve"> Determination</w:t>
            </w:r>
            <w:r w:rsidR="00A0584E" w:rsidRPr="00376EF6">
              <w:rPr>
                <w:rFonts w:ascii="Calibri" w:hAnsi="Calibri" w:cs="Arial"/>
                <w:b/>
                <w:bCs/>
                <w:sz w:val="22"/>
              </w:rPr>
              <w:t xml:space="preserve"> </w:t>
            </w:r>
          </w:p>
        </w:tc>
      </w:tr>
      <w:tr w:rsidR="00133BD9" w:rsidRPr="00376EF6" w14:paraId="373E21CD" w14:textId="77777777" w:rsidTr="00FE720C">
        <w:trPr>
          <w:trHeight w:val="315"/>
        </w:trPr>
        <w:tc>
          <w:tcPr>
            <w:tcW w:w="10774" w:type="dxa"/>
            <w:gridSpan w:val="4"/>
            <w:tcBorders>
              <w:top w:val="nil"/>
              <w:left w:val="nil"/>
              <w:right w:val="nil"/>
            </w:tcBorders>
            <w:shd w:val="clear" w:color="auto" w:fill="auto"/>
            <w:noWrap/>
            <w:vAlign w:val="center"/>
            <w:hideMark/>
          </w:tcPr>
          <w:p w14:paraId="373E21CC" w14:textId="1E41FD06" w:rsidR="00BB682C" w:rsidRPr="00376EF6" w:rsidRDefault="003F465C" w:rsidP="002E3EFB">
            <w:pPr>
              <w:rPr>
                <w:rFonts w:ascii="Calibri" w:hAnsi="Calibri" w:cs="Arial"/>
                <w:b/>
                <w:bCs/>
                <w:sz w:val="22"/>
              </w:rPr>
            </w:pPr>
            <w:r w:rsidRPr="00376EF6">
              <w:rPr>
                <w:rFonts w:ascii="Calibri" w:hAnsi="Calibri" w:cs="Arial"/>
                <w:b/>
                <w:bCs/>
                <w:sz w:val="22"/>
              </w:rPr>
              <w:t>F</w:t>
            </w:r>
            <w:r w:rsidR="00D81399" w:rsidRPr="00376EF6">
              <w:rPr>
                <w:rFonts w:ascii="Calibri" w:hAnsi="Calibri" w:cs="Arial"/>
                <w:b/>
                <w:bCs/>
                <w:sz w:val="22"/>
              </w:rPr>
              <w:t>D</w:t>
            </w:r>
            <w:r w:rsidRPr="00376EF6">
              <w:rPr>
                <w:rFonts w:ascii="Calibri" w:hAnsi="Calibri" w:cs="Arial"/>
                <w:b/>
                <w:bCs/>
                <w:sz w:val="22"/>
              </w:rPr>
              <w:t>Q</w:t>
            </w:r>
            <w:r w:rsidR="00D81399" w:rsidRPr="00376EF6">
              <w:rPr>
                <w:rFonts w:ascii="Calibri" w:hAnsi="Calibri" w:cs="Arial"/>
                <w:b/>
                <w:bCs/>
                <w:sz w:val="22"/>
              </w:rPr>
              <w:t xml:space="preserve"> Q</w:t>
            </w:r>
            <w:r w:rsidR="00133BD9" w:rsidRPr="00376EF6">
              <w:rPr>
                <w:rFonts w:ascii="Calibri" w:hAnsi="Calibri" w:cs="Arial"/>
                <w:b/>
                <w:bCs/>
                <w:sz w:val="22"/>
              </w:rPr>
              <w:t>u</w:t>
            </w:r>
            <w:r w:rsidR="00F20F23" w:rsidRPr="00376EF6">
              <w:rPr>
                <w:rFonts w:ascii="Calibri" w:hAnsi="Calibri" w:cs="Arial"/>
                <w:b/>
                <w:bCs/>
                <w:sz w:val="22"/>
              </w:rPr>
              <w:t>ery</w:t>
            </w:r>
            <w:r w:rsidR="00133BD9" w:rsidRPr="00376EF6">
              <w:rPr>
                <w:rFonts w:ascii="Calibri" w:hAnsi="Calibri" w:cs="Arial"/>
                <w:b/>
                <w:bCs/>
                <w:sz w:val="22"/>
              </w:rPr>
              <w:t xml:space="preserve"> </w:t>
            </w:r>
          </w:p>
        </w:tc>
      </w:tr>
      <w:tr w:rsidR="00133BD9" w:rsidRPr="00376EF6" w14:paraId="373E21D0" w14:textId="77777777" w:rsidTr="00FE720C">
        <w:trPr>
          <w:trHeight w:hRule="exact" w:val="397"/>
        </w:trPr>
        <w:tc>
          <w:tcPr>
            <w:tcW w:w="1985" w:type="dxa"/>
            <w:gridSpan w:val="2"/>
            <w:shd w:val="clear" w:color="auto" w:fill="auto"/>
            <w:vAlign w:val="center"/>
            <w:hideMark/>
          </w:tcPr>
          <w:p w14:paraId="373E21CE" w14:textId="2E946EF1" w:rsidR="00133BD9" w:rsidRPr="005427AC" w:rsidRDefault="00133BD9" w:rsidP="00A06191">
            <w:pPr>
              <w:rPr>
                <w:rFonts w:ascii="Calibri" w:hAnsi="Calibri" w:cs="Arial"/>
                <w:b/>
                <w:bCs/>
                <w:szCs w:val="20"/>
              </w:rPr>
            </w:pPr>
            <w:r w:rsidRPr="005427AC">
              <w:rPr>
                <w:rFonts w:ascii="Calibri" w:hAnsi="Calibri" w:cs="Arial"/>
                <w:b/>
                <w:bCs/>
                <w:szCs w:val="20"/>
              </w:rPr>
              <w:t>Reference</w:t>
            </w:r>
            <w:r w:rsidR="00A06191" w:rsidRPr="005427AC">
              <w:rPr>
                <w:rFonts w:ascii="Calibri" w:hAnsi="Calibri" w:cs="Arial"/>
                <w:b/>
                <w:bCs/>
                <w:szCs w:val="20"/>
              </w:rPr>
              <w:t xml:space="preserve"> number</w:t>
            </w:r>
          </w:p>
        </w:tc>
        <w:tc>
          <w:tcPr>
            <w:tcW w:w="8789" w:type="dxa"/>
            <w:gridSpan w:val="2"/>
            <w:shd w:val="clear" w:color="auto" w:fill="auto"/>
            <w:vAlign w:val="center"/>
          </w:tcPr>
          <w:p w14:paraId="373E21CF" w14:textId="3056ADE3" w:rsidR="00F266D1" w:rsidRPr="00B175C7" w:rsidRDefault="00F266D1" w:rsidP="00A0584E">
            <w:pPr>
              <w:rPr>
                <w:rFonts w:ascii="Calibri" w:hAnsi="Calibri" w:cs="Arial"/>
                <w:color w:val="FF0000"/>
                <w:szCs w:val="20"/>
              </w:rPr>
            </w:pPr>
            <w:r w:rsidRPr="00B175C7">
              <w:rPr>
                <w:rFonts w:ascii="Calibri" w:hAnsi="Calibri"/>
                <w:szCs w:val="20"/>
              </w:rPr>
              <w:t>SGN_FDQ_0</w:t>
            </w:r>
            <w:r w:rsidR="00DF36E7" w:rsidRPr="00B175C7">
              <w:rPr>
                <w:rFonts w:ascii="Calibri" w:hAnsi="Calibri"/>
                <w:szCs w:val="20"/>
              </w:rPr>
              <w:t>33</w:t>
            </w:r>
          </w:p>
        </w:tc>
      </w:tr>
      <w:tr w:rsidR="00A06191" w:rsidRPr="00376EF6" w14:paraId="373E21D3" w14:textId="77777777" w:rsidTr="00FE720C">
        <w:trPr>
          <w:trHeight w:hRule="exact" w:val="397"/>
        </w:trPr>
        <w:tc>
          <w:tcPr>
            <w:tcW w:w="1985" w:type="dxa"/>
            <w:gridSpan w:val="2"/>
            <w:shd w:val="clear" w:color="auto" w:fill="auto"/>
            <w:vAlign w:val="center"/>
          </w:tcPr>
          <w:p w14:paraId="373E21D1" w14:textId="66662880" w:rsidR="00A06191" w:rsidRPr="005427AC" w:rsidRDefault="00EE1C79" w:rsidP="00A0584E">
            <w:pPr>
              <w:rPr>
                <w:rFonts w:ascii="Calibri" w:hAnsi="Calibri" w:cs="Arial"/>
                <w:b/>
                <w:bCs/>
                <w:szCs w:val="20"/>
              </w:rPr>
            </w:pPr>
            <w:r w:rsidRPr="005427AC">
              <w:rPr>
                <w:rFonts w:ascii="Calibri" w:hAnsi="Calibri" w:cs="Arial"/>
                <w:b/>
                <w:bCs/>
                <w:szCs w:val="20"/>
              </w:rPr>
              <w:t>Document Name</w:t>
            </w:r>
          </w:p>
        </w:tc>
        <w:tc>
          <w:tcPr>
            <w:tcW w:w="8789" w:type="dxa"/>
            <w:gridSpan w:val="2"/>
            <w:shd w:val="clear" w:color="auto" w:fill="auto"/>
            <w:vAlign w:val="center"/>
          </w:tcPr>
          <w:p w14:paraId="373E21D2" w14:textId="23D31EB4" w:rsidR="00A06191" w:rsidRPr="00B175C7" w:rsidRDefault="00004B8C" w:rsidP="00A0584E">
            <w:pPr>
              <w:rPr>
                <w:rFonts w:ascii="Calibri" w:hAnsi="Calibri" w:cs="Arial"/>
                <w:szCs w:val="20"/>
              </w:rPr>
            </w:pPr>
            <w:r w:rsidRPr="00B175C7">
              <w:rPr>
                <w:rFonts w:ascii="Calibri" w:hAnsi="Calibri"/>
                <w:szCs w:val="20"/>
              </w:rPr>
              <w:t xml:space="preserve">RIIO-2 Final Determinations – </w:t>
            </w:r>
            <w:r w:rsidR="00A032EE" w:rsidRPr="00B175C7">
              <w:rPr>
                <w:rFonts w:ascii="Calibri" w:hAnsi="Calibri"/>
                <w:szCs w:val="20"/>
              </w:rPr>
              <w:t>SGN</w:t>
            </w:r>
            <w:r w:rsidRPr="00B175C7">
              <w:rPr>
                <w:rFonts w:ascii="Calibri" w:hAnsi="Calibri"/>
                <w:szCs w:val="20"/>
              </w:rPr>
              <w:t xml:space="preserve"> Annex</w:t>
            </w:r>
          </w:p>
        </w:tc>
      </w:tr>
      <w:tr w:rsidR="00A06191" w:rsidRPr="00376EF6" w14:paraId="373E21D6" w14:textId="77777777" w:rsidTr="00FE720C">
        <w:trPr>
          <w:trHeight w:hRule="exact" w:val="397"/>
        </w:trPr>
        <w:tc>
          <w:tcPr>
            <w:tcW w:w="1985" w:type="dxa"/>
            <w:gridSpan w:val="2"/>
            <w:shd w:val="clear" w:color="auto" w:fill="auto"/>
            <w:vAlign w:val="center"/>
          </w:tcPr>
          <w:p w14:paraId="373E21D4" w14:textId="77777777" w:rsidR="00A06191" w:rsidRPr="005427AC" w:rsidRDefault="00A06191" w:rsidP="00945C7C">
            <w:pPr>
              <w:rPr>
                <w:rFonts w:ascii="Calibri" w:hAnsi="Calibri" w:cs="Arial"/>
                <w:b/>
                <w:bCs/>
                <w:szCs w:val="20"/>
              </w:rPr>
            </w:pPr>
            <w:r w:rsidRPr="005427AC">
              <w:rPr>
                <w:rFonts w:ascii="Calibri" w:hAnsi="Calibri" w:cs="Arial"/>
                <w:b/>
                <w:bCs/>
                <w:szCs w:val="20"/>
              </w:rPr>
              <w:t>Topic/Activity:</w:t>
            </w:r>
          </w:p>
        </w:tc>
        <w:tc>
          <w:tcPr>
            <w:tcW w:w="8789" w:type="dxa"/>
            <w:gridSpan w:val="2"/>
            <w:shd w:val="clear" w:color="auto" w:fill="auto"/>
            <w:vAlign w:val="center"/>
          </w:tcPr>
          <w:p w14:paraId="373E21D5" w14:textId="2778CC1C" w:rsidR="00A06191" w:rsidRPr="00B175C7" w:rsidRDefault="00A032EE" w:rsidP="0060723D">
            <w:pPr>
              <w:rPr>
                <w:rFonts w:ascii="Calibri" w:hAnsi="Calibri" w:cs="Arial"/>
                <w:szCs w:val="20"/>
              </w:rPr>
            </w:pPr>
            <w:r w:rsidRPr="00B175C7">
              <w:rPr>
                <w:rFonts w:ascii="Calibri" w:hAnsi="Calibri" w:cs="Arial"/>
                <w:szCs w:val="20"/>
              </w:rPr>
              <w:t>BPI Calculation</w:t>
            </w:r>
            <w:r w:rsidR="00530757" w:rsidRPr="00B175C7">
              <w:rPr>
                <w:rFonts w:ascii="Calibri" w:hAnsi="Calibri" w:cs="Arial"/>
                <w:szCs w:val="20"/>
              </w:rPr>
              <w:t xml:space="preserve"> – </w:t>
            </w:r>
            <w:r w:rsidR="00441845" w:rsidRPr="00B175C7">
              <w:rPr>
                <w:rFonts w:ascii="Calibri" w:hAnsi="Calibri" w:cs="Arial"/>
                <w:szCs w:val="20"/>
              </w:rPr>
              <w:t>S</w:t>
            </w:r>
            <w:r w:rsidR="009B46DD" w:rsidRPr="00B175C7">
              <w:rPr>
                <w:rFonts w:ascii="Calibri" w:hAnsi="Calibri" w:cs="Arial"/>
                <w:szCs w:val="20"/>
              </w:rPr>
              <w:t>GN_FDQ_005</w:t>
            </w:r>
            <w:r w:rsidR="00FE720C" w:rsidRPr="00B175C7">
              <w:rPr>
                <w:rFonts w:ascii="Calibri" w:hAnsi="Calibri" w:cs="Arial"/>
                <w:szCs w:val="20"/>
              </w:rPr>
              <w:t xml:space="preserve"> follow up</w:t>
            </w:r>
          </w:p>
        </w:tc>
      </w:tr>
      <w:tr w:rsidR="00A06191" w:rsidRPr="00376EF6" w14:paraId="373E21D9" w14:textId="77777777" w:rsidTr="00FE720C">
        <w:trPr>
          <w:trHeight w:val="127"/>
        </w:trPr>
        <w:tc>
          <w:tcPr>
            <w:tcW w:w="1985" w:type="dxa"/>
            <w:gridSpan w:val="2"/>
            <w:shd w:val="clear" w:color="auto" w:fill="auto"/>
            <w:vAlign w:val="center"/>
          </w:tcPr>
          <w:p w14:paraId="373E21D7" w14:textId="77777777" w:rsidR="00A06191" w:rsidRPr="005427AC" w:rsidRDefault="00A06191" w:rsidP="00945C7C">
            <w:pPr>
              <w:rPr>
                <w:rFonts w:ascii="Calibri" w:hAnsi="Calibri" w:cs="Calibri"/>
                <w:b/>
                <w:bCs/>
                <w:color w:val="000000"/>
                <w:szCs w:val="20"/>
                <w:lang w:eastAsia="en-GB"/>
              </w:rPr>
            </w:pPr>
            <w:r w:rsidRPr="005427AC">
              <w:rPr>
                <w:rFonts w:ascii="Calibri" w:hAnsi="Calibri" w:cs="Calibri"/>
                <w:b/>
                <w:bCs/>
                <w:color w:val="000000"/>
                <w:szCs w:val="20"/>
                <w:lang w:eastAsia="en-GB"/>
              </w:rPr>
              <w:t>Question:</w:t>
            </w:r>
          </w:p>
        </w:tc>
        <w:tc>
          <w:tcPr>
            <w:tcW w:w="8789" w:type="dxa"/>
            <w:gridSpan w:val="2"/>
            <w:shd w:val="clear" w:color="auto" w:fill="auto"/>
            <w:vAlign w:val="center"/>
          </w:tcPr>
          <w:p w14:paraId="5353681F" w14:textId="2185180A" w:rsidR="00FE720C" w:rsidRPr="00B175C7" w:rsidRDefault="00FE720C" w:rsidP="00B175C7">
            <w:pPr>
              <w:spacing w:after="120"/>
              <w:rPr>
                <w:rFonts w:asciiTheme="minorHAnsi" w:hAnsiTheme="minorHAnsi" w:cs="Arial"/>
                <w:szCs w:val="20"/>
              </w:rPr>
            </w:pPr>
            <w:r w:rsidRPr="00B175C7">
              <w:rPr>
                <w:rFonts w:asciiTheme="minorHAnsi" w:hAnsiTheme="minorHAnsi" w:cs="Arial"/>
                <w:szCs w:val="20"/>
              </w:rPr>
              <w:t>Fo</w:t>
            </w:r>
            <w:r w:rsidR="00B175C7">
              <w:rPr>
                <w:rFonts w:asciiTheme="minorHAnsi" w:hAnsiTheme="minorHAnsi" w:cs="Arial"/>
                <w:szCs w:val="20"/>
              </w:rPr>
              <w:t>l</w:t>
            </w:r>
            <w:r w:rsidRPr="00B175C7">
              <w:rPr>
                <w:rFonts w:asciiTheme="minorHAnsi" w:hAnsiTheme="minorHAnsi" w:cs="Arial"/>
                <w:szCs w:val="20"/>
              </w:rPr>
              <w:t xml:space="preserve">low up question to SGN_FDQ_006 following response from Ofgem. </w:t>
            </w:r>
          </w:p>
          <w:p w14:paraId="32DEE4AA" w14:textId="53715296" w:rsidR="00656694" w:rsidRPr="00B175C7" w:rsidRDefault="00656694" w:rsidP="00B175C7">
            <w:pPr>
              <w:pStyle w:val="xmsonormal"/>
              <w:spacing w:after="120"/>
              <w:rPr>
                <w:sz w:val="20"/>
                <w:szCs w:val="20"/>
              </w:rPr>
            </w:pPr>
            <w:r w:rsidRPr="00B175C7">
              <w:rPr>
                <w:sz w:val="20"/>
                <w:szCs w:val="20"/>
              </w:rPr>
              <w:t xml:space="preserve">The error to which we </w:t>
            </w:r>
            <w:r w:rsidR="00C523EE" w:rsidRPr="00B175C7">
              <w:rPr>
                <w:sz w:val="20"/>
                <w:szCs w:val="20"/>
              </w:rPr>
              <w:t xml:space="preserve">originally </w:t>
            </w:r>
            <w:r w:rsidRPr="00B175C7">
              <w:rPr>
                <w:sz w:val="20"/>
                <w:szCs w:val="20"/>
              </w:rPr>
              <w:t>refer</w:t>
            </w:r>
            <w:r w:rsidR="00C523EE" w:rsidRPr="00B175C7">
              <w:rPr>
                <w:sz w:val="20"/>
                <w:szCs w:val="20"/>
              </w:rPr>
              <w:t>red,</w:t>
            </w:r>
            <w:r w:rsidRPr="00B175C7">
              <w:rPr>
                <w:sz w:val="20"/>
                <w:szCs w:val="20"/>
              </w:rPr>
              <w:t xml:space="preserve"> is the failure to apply a consistent approach across all GDNs which should not be a matter of judgement or discretion for you. Failing that, please confirm for the avoidance of doubt that all GDNs have been assessed on a consistent and comparable basis, and given the low confidence in costs that you have found and reported for other GDNs, why similar penalties have not been applied</w:t>
            </w:r>
            <w:r w:rsidR="00C523EE" w:rsidRPr="00B175C7">
              <w:rPr>
                <w:sz w:val="20"/>
                <w:szCs w:val="20"/>
              </w:rPr>
              <w:t>?</w:t>
            </w:r>
          </w:p>
          <w:p w14:paraId="25FDD6B5" w14:textId="77777777" w:rsidR="00FE720C" w:rsidRPr="00B175C7" w:rsidRDefault="00FE720C" w:rsidP="00B175C7">
            <w:pPr>
              <w:spacing w:after="120"/>
              <w:rPr>
                <w:rFonts w:asciiTheme="minorHAnsi" w:hAnsiTheme="minorHAnsi" w:cs="Arial"/>
                <w:szCs w:val="20"/>
              </w:rPr>
            </w:pPr>
            <w:r w:rsidRPr="00B175C7">
              <w:rPr>
                <w:rFonts w:asciiTheme="minorHAnsi" w:hAnsiTheme="minorHAnsi" w:cs="Arial"/>
                <w:szCs w:val="20"/>
              </w:rPr>
              <w:t>In your answer can you please identify why you have chosen to disregard the guidance provided on multiple occasions that a high level of transparency was important and providing Ofgem with information they did not otherwise have access to would be considered favourably</w:t>
            </w:r>
            <w:r w:rsidRPr="00B175C7">
              <w:rPr>
                <w:rFonts w:asciiTheme="minorHAnsi" w:hAnsiTheme="minorHAnsi" w:cs="Arial"/>
                <w:szCs w:val="20"/>
                <w:vertAlign w:val="superscript"/>
              </w:rPr>
              <w:footnoteReference w:id="1"/>
            </w:r>
            <w:r w:rsidRPr="00B175C7">
              <w:rPr>
                <w:rFonts w:asciiTheme="minorHAnsi" w:hAnsiTheme="minorHAnsi" w:cs="Arial"/>
                <w:szCs w:val="20"/>
                <w:vertAlign w:val="superscript"/>
              </w:rPr>
              <w:t xml:space="preserve"> </w:t>
            </w:r>
            <w:r w:rsidRPr="00B175C7">
              <w:rPr>
                <w:rFonts w:asciiTheme="minorHAnsi" w:hAnsiTheme="minorHAnsi" w:cs="Arial"/>
                <w:szCs w:val="20"/>
                <w:vertAlign w:val="superscript"/>
              </w:rPr>
              <w:footnoteReference w:id="2"/>
            </w:r>
            <w:r w:rsidRPr="00B175C7">
              <w:rPr>
                <w:rFonts w:asciiTheme="minorHAnsi" w:hAnsiTheme="minorHAnsi" w:cs="Arial"/>
                <w:szCs w:val="20"/>
                <w:vertAlign w:val="superscript"/>
              </w:rPr>
              <w:t xml:space="preserve"> </w:t>
            </w:r>
            <w:r w:rsidRPr="00B175C7">
              <w:rPr>
                <w:rFonts w:asciiTheme="minorHAnsi" w:hAnsiTheme="minorHAnsi" w:cs="Arial"/>
                <w:szCs w:val="20"/>
                <w:vertAlign w:val="superscript"/>
              </w:rPr>
              <w:footnoteReference w:id="3"/>
            </w:r>
            <w:r w:rsidRPr="00B175C7">
              <w:rPr>
                <w:rFonts w:asciiTheme="minorHAnsi" w:hAnsiTheme="minorHAnsi" w:cs="Arial"/>
                <w:szCs w:val="20"/>
              </w:rPr>
              <w:t>. This objective was restated in the in the Sector Specific Decision Document</w:t>
            </w:r>
            <w:r w:rsidRPr="00B175C7">
              <w:rPr>
                <w:rFonts w:asciiTheme="minorHAnsi" w:hAnsiTheme="minorHAnsi" w:cs="Arial"/>
                <w:szCs w:val="20"/>
                <w:vertAlign w:val="superscript"/>
              </w:rPr>
              <w:footnoteReference w:id="4"/>
            </w:r>
            <w:r w:rsidRPr="00B175C7">
              <w:rPr>
                <w:rFonts w:asciiTheme="minorHAnsi" w:hAnsiTheme="minorHAnsi" w:cs="Arial"/>
                <w:szCs w:val="20"/>
              </w:rPr>
              <w:t xml:space="preserve">. </w:t>
            </w:r>
          </w:p>
          <w:p w14:paraId="1622B32D" w14:textId="77777777" w:rsidR="00FE720C" w:rsidRPr="00B175C7" w:rsidRDefault="00FE720C" w:rsidP="00B175C7">
            <w:pPr>
              <w:spacing w:after="120"/>
              <w:rPr>
                <w:rFonts w:asciiTheme="minorHAnsi" w:hAnsiTheme="minorHAnsi" w:cs="Arial"/>
                <w:szCs w:val="20"/>
              </w:rPr>
            </w:pPr>
            <w:r w:rsidRPr="00B175C7">
              <w:rPr>
                <w:rFonts w:asciiTheme="minorHAnsi" w:hAnsiTheme="minorHAnsi" w:cs="Arial"/>
                <w:szCs w:val="20"/>
              </w:rPr>
              <w:t>Given this direction and in the absence of more specific guidance from Ofgem, we decided that for all projects or programmes with an investment value of greater than £0.5m would be submitted to Ofgem with an accompanying CBA and justification to demonstrate a high level of transparency an approach that was clearly signalled in our first draft business plan submission in July 2019</w:t>
            </w:r>
            <w:r w:rsidRPr="00B175C7">
              <w:rPr>
                <w:rFonts w:asciiTheme="minorHAnsi" w:hAnsiTheme="minorHAnsi" w:cs="Arial"/>
                <w:szCs w:val="20"/>
                <w:vertAlign w:val="superscript"/>
              </w:rPr>
              <w:footnoteReference w:id="5"/>
            </w:r>
            <w:r w:rsidRPr="00B175C7">
              <w:rPr>
                <w:rFonts w:asciiTheme="minorHAnsi" w:hAnsiTheme="minorHAnsi" w:cs="Arial"/>
                <w:szCs w:val="20"/>
              </w:rPr>
              <w:t>.</w:t>
            </w:r>
          </w:p>
          <w:p w14:paraId="4C407B85" w14:textId="77777777" w:rsidR="00FE720C" w:rsidRPr="00B175C7" w:rsidRDefault="00FE720C" w:rsidP="00B175C7">
            <w:pPr>
              <w:spacing w:after="120"/>
              <w:rPr>
                <w:rFonts w:asciiTheme="minorHAnsi" w:hAnsiTheme="minorHAnsi" w:cs="Arial"/>
                <w:szCs w:val="20"/>
              </w:rPr>
            </w:pPr>
            <w:r w:rsidRPr="00B175C7">
              <w:rPr>
                <w:rFonts w:asciiTheme="minorHAnsi" w:hAnsiTheme="minorHAnsi" w:cs="Arial"/>
                <w:szCs w:val="20"/>
              </w:rPr>
              <w:t>It was only on the 20th of September 2019 when the investment threshold of £2m for assets health investment covered by the NARMs methodology or £5m for asset health investments outside of the NARMs methodology was provided</w:t>
            </w:r>
            <w:r w:rsidRPr="00B175C7">
              <w:rPr>
                <w:rFonts w:asciiTheme="minorHAnsi" w:hAnsiTheme="minorHAnsi" w:cs="Arial"/>
                <w:szCs w:val="20"/>
                <w:vertAlign w:val="superscript"/>
              </w:rPr>
              <w:footnoteReference w:id="6"/>
            </w:r>
            <w:r w:rsidRPr="00B175C7">
              <w:rPr>
                <w:rFonts w:asciiTheme="minorHAnsi" w:hAnsiTheme="minorHAnsi" w:cs="Arial"/>
                <w:szCs w:val="20"/>
              </w:rPr>
              <w:t xml:space="preserve">. </w:t>
            </w:r>
          </w:p>
          <w:p w14:paraId="60CF83AB" w14:textId="77777777" w:rsidR="00FE720C" w:rsidRPr="00B175C7" w:rsidRDefault="00FE720C" w:rsidP="00B175C7">
            <w:pPr>
              <w:spacing w:after="120"/>
              <w:rPr>
                <w:rFonts w:asciiTheme="minorHAnsi" w:hAnsiTheme="minorHAnsi" w:cs="Arial"/>
                <w:szCs w:val="20"/>
              </w:rPr>
            </w:pPr>
            <w:r w:rsidRPr="00B175C7">
              <w:rPr>
                <w:rFonts w:asciiTheme="minorHAnsi" w:hAnsiTheme="minorHAnsi" w:cs="Arial"/>
                <w:szCs w:val="20"/>
              </w:rPr>
              <w:t>In an earlier workshop on the topic in Sept 2019</w:t>
            </w:r>
            <w:r w:rsidRPr="00B175C7">
              <w:rPr>
                <w:rFonts w:asciiTheme="minorHAnsi" w:hAnsiTheme="minorHAnsi" w:cs="Arial"/>
                <w:szCs w:val="20"/>
                <w:vertAlign w:val="superscript"/>
              </w:rPr>
              <w:footnoteReference w:id="7"/>
            </w:r>
            <w:r w:rsidRPr="00B175C7">
              <w:rPr>
                <w:rFonts w:asciiTheme="minorHAnsi" w:hAnsiTheme="minorHAnsi" w:cs="Arial"/>
                <w:szCs w:val="20"/>
              </w:rPr>
              <w:t xml:space="preserve"> the threshold was raised and in response to a question by SGN, Ofgem stated no clear preference between multiple EJPs disaggregated to investment levels or a higher-level CBA with greater assessment of options</w:t>
            </w:r>
            <w:r w:rsidRPr="00B175C7">
              <w:rPr>
                <w:rFonts w:asciiTheme="minorHAnsi" w:hAnsiTheme="minorHAnsi" w:cs="Arial"/>
                <w:szCs w:val="20"/>
                <w:vertAlign w:val="superscript"/>
              </w:rPr>
              <w:footnoteReference w:id="8"/>
            </w:r>
            <w:r w:rsidRPr="00B175C7">
              <w:rPr>
                <w:rFonts w:asciiTheme="minorHAnsi" w:hAnsiTheme="minorHAnsi" w:cs="Arial"/>
                <w:szCs w:val="20"/>
              </w:rPr>
              <w:t>. In the subsequent investment pack</w:t>
            </w:r>
            <w:r w:rsidRPr="00B175C7">
              <w:rPr>
                <w:rFonts w:asciiTheme="minorHAnsi" w:hAnsiTheme="minorHAnsi" w:cs="Arial"/>
                <w:szCs w:val="20"/>
                <w:vertAlign w:val="superscript"/>
              </w:rPr>
              <w:footnoteReference w:id="9"/>
            </w:r>
            <w:r w:rsidRPr="00B175C7">
              <w:rPr>
                <w:rFonts w:asciiTheme="minorHAnsi" w:hAnsiTheme="minorHAnsi" w:cs="Arial"/>
                <w:szCs w:val="20"/>
              </w:rPr>
              <w:t xml:space="preserve"> the point was not expanded upon.</w:t>
            </w:r>
          </w:p>
          <w:p w14:paraId="13FB159C" w14:textId="77777777" w:rsidR="00FE720C" w:rsidRPr="00B175C7" w:rsidRDefault="00FE720C" w:rsidP="00B175C7">
            <w:pPr>
              <w:spacing w:after="120"/>
              <w:rPr>
                <w:rFonts w:asciiTheme="minorHAnsi" w:hAnsiTheme="minorHAnsi" w:cs="Arial"/>
                <w:szCs w:val="20"/>
              </w:rPr>
            </w:pPr>
            <w:r w:rsidRPr="00B175C7">
              <w:rPr>
                <w:rFonts w:asciiTheme="minorHAnsi" w:hAnsiTheme="minorHAnsi" w:cs="Arial"/>
                <w:szCs w:val="20"/>
              </w:rPr>
              <w:t xml:space="preserve">Had we responded at this late stage to provide less information we would have been exposed to criticism by the RIIO Challenge Group and by our CEG. We therefore held to the guidance that transparency would be considered favourably. </w:t>
            </w:r>
          </w:p>
          <w:p w14:paraId="2278B706" w14:textId="77777777" w:rsidR="00FE720C" w:rsidRPr="00B175C7" w:rsidRDefault="00FE720C" w:rsidP="00B175C7">
            <w:pPr>
              <w:pStyle w:val="xmsonormal"/>
              <w:spacing w:after="120"/>
              <w:rPr>
                <w:rFonts w:asciiTheme="minorHAnsi" w:hAnsiTheme="minorHAnsi" w:cs="Arial"/>
                <w:sz w:val="20"/>
                <w:szCs w:val="20"/>
              </w:rPr>
            </w:pPr>
            <w:r w:rsidRPr="00B175C7">
              <w:rPr>
                <w:rFonts w:asciiTheme="minorHAnsi" w:hAnsiTheme="minorHAnsi" w:cs="Arial"/>
                <w:sz w:val="20"/>
                <w:szCs w:val="20"/>
              </w:rPr>
              <w:t>If this is not an error, can you explain why this is should not be considered an example of SGN being penalised for providing greater transparency contrary to Ofgem guidance.</w:t>
            </w:r>
          </w:p>
          <w:p w14:paraId="373E21D8" w14:textId="71461CF4" w:rsidR="002366CF" w:rsidRPr="00B175C7" w:rsidRDefault="002366CF" w:rsidP="00004B8C">
            <w:pPr>
              <w:pStyle w:val="xmsonormal"/>
              <w:rPr>
                <w:color w:val="000000"/>
                <w:sz w:val="20"/>
                <w:szCs w:val="20"/>
              </w:rPr>
            </w:pPr>
          </w:p>
        </w:tc>
      </w:tr>
      <w:tr w:rsidR="005927B6" w:rsidRPr="00376EF6" w14:paraId="5689E132" w14:textId="77777777" w:rsidTr="00FE720C">
        <w:trPr>
          <w:trHeight w:hRule="exact" w:val="397"/>
        </w:trPr>
        <w:tc>
          <w:tcPr>
            <w:tcW w:w="1985" w:type="dxa"/>
            <w:gridSpan w:val="2"/>
            <w:shd w:val="clear" w:color="auto" w:fill="auto"/>
            <w:vAlign w:val="center"/>
          </w:tcPr>
          <w:p w14:paraId="00E00379" w14:textId="0380BCDB" w:rsidR="005927B6" w:rsidRPr="005427AC" w:rsidRDefault="005927B6" w:rsidP="00945C7C">
            <w:pPr>
              <w:rPr>
                <w:rFonts w:ascii="Calibri" w:hAnsi="Calibri" w:cs="Arial"/>
                <w:b/>
                <w:bCs/>
                <w:szCs w:val="20"/>
              </w:rPr>
            </w:pPr>
            <w:r w:rsidRPr="005427AC">
              <w:rPr>
                <w:rFonts w:ascii="Calibri" w:hAnsi="Calibri" w:cs="Arial"/>
                <w:b/>
                <w:bCs/>
                <w:szCs w:val="20"/>
              </w:rPr>
              <w:t>Confidential</w:t>
            </w:r>
          </w:p>
        </w:tc>
        <w:tc>
          <w:tcPr>
            <w:tcW w:w="8789" w:type="dxa"/>
            <w:gridSpan w:val="2"/>
            <w:shd w:val="clear" w:color="auto" w:fill="auto"/>
            <w:vAlign w:val="center"/>
          </w:tcPr>
          <w:p w14:paraId="2CF1E278" w14:textId="15E2F96C" w:rsidR="005927B6" w:rsidRPr="00B175C7" w:rsidRDefault="005927B6" w:rsidP="005927B6">
            <w:pPr>
              <w:rPr>
                <w:rFonts w:ascii="Calibri" w:hAnsi="Calibri" w:cs="Arial"/>
                <w:szCs w:val="20"/>
              </w:rPr>
            </w:pPr>
            <w:r w:rsidRPr="00B175C7">
              <w:rPr>
                <w:rFonts w:ascii="Calibri" w:hAnsi="Calibri" w:cs="Arial"/>
                <w:szCs w:val="20"/>
              </w:rPr>
              <w:t>No</w:t>
            </w:r>
          </w:p>
        </w:tc>
      </w:tr>
      <w:tr w:rsidR="00345419" w:rsidRPr="00376EF6" w14:paraId="373E21DC" w14:textId="77777777" w:rsidTr="00FE720C">
        <w:trPr>
          <w:trHeight w:hRule="exact" w:val="397"/>
        </w:trPr>
        <w:tc>
          <w:tcPr>
            <w:tcW w:w="1985" w:type="dxa"/>
            <w:gridSpan w:val="2"/>
            <w:shd w:val="clear" w:color="auto" w:fill="auto"/>
            <w:vAlign w:val="center"/>
          </w:tcPr>
          <w:p w14:paraId="373E21DA" w14:textId="31C9A8AB" w:rsidR="00345419" w:rsidRPr="005427AC" w:rsidRDefault="00345419" w:rsidP="00345419">
            <w:pPr>
              <w:rPr>
                <w:rFonts w:ascii="Calibri" w:hAnsi="Calibri" w:cs="Arial"/>
                <w:b/>
                <w:bCs/>
                <w:szCs w:val="20"/>
              </w:rPr>
            </w:pPr>
            <w:r w:rsidRPr="005427AC">
              <w:rPr>
                <w:rFonts w:ascii="Calibri" w:hAnsi="Calibri" w:cs="Arial"/>
                <w:b/>
                <w:bCs/>
                <w:szCs w:val="20"/>
              </w:rPr>
              <w:lastRenderedPageBreak/>
              <w:t xml:space="preserve">FDQ raised by </w:t>
            </w:r>
          </w:p>
        </w:tc>
        <w:tc>
          <w:tcPr>
            <w:tcW w:w="8789" w:type="dxa"/>
            <w:gridSpan w:val="2"/>
            <w:shd w:val="clear" w:color="auto" w:fill="auto"/>
            <w:vAlign w:val="center"/>
          </w:tcPr>
          <w:p w14:paraId="373E21DB" w14:textId="22223005" w:rsidR="00345419" w:rsidRPr="00B175C7" w:rsidRDefault="00345419" w:rsidP="00345419">
            <w:pPr>
              <w:rPr>
                <w:rFonts w:ascii="Calibri" w:hAnsi="Calibri" w:cs="Arial"/>
                <w:szCs w:val="20"/>
              </w:rPr>
            </w:pPr>
            <w:r w:rsidRPr="00B175C7">
              <w:rPr>
                <w:rFonts w:asciiTheme="minorHAnsi" w:hAnsiTheme="minorHAnsi" w:cs="Arial"/>
                <w:szCs w:val="20"/>
              </w:rPr>
              <w:t>SGN</w:t>
            </w:r>
          </w:p>
        </w:tc>
      </w:tr>
      <w:tr w:rsidR="00345419" w:rsidRPr="00376EF6" w14:paraId="373E21DF" w14:textId="77777777" w:rsidTr="00FE720C">
        <w:trPr>
          <w:trHeight w:hRule="exact" w:val="397"/>
        </w:trPr>
        <w:tc>
          <w:tcPr>
            <w:tcW w:w="1985" w:type="dxa"/>
            <w:gridSpan w:val="2"/>
            <w:shd w:val="clear" w:color="auto" w:fill="auto"/>
            <w:vAlign w:val="center"/>
          </w:tcPr>
          <w:p w14:paraId="373E21DD" w14:textId="43C86628" w:rsidR="00345419" w:rsidRPr="005427AC" w:rsidRDefault="00345419" w:rsidP="00345419">
            <w:pPr>
              <w:rPr>
                <w:rFonts w:ascii="Calibri" w:hAnsi="Calibri" w:cs="Arial"/>
                <w:b/>
                <w:bCs/>
                <w:szCs w:val="20"/>
              </w:rPr>
            </w:pPr>
            <w:r w:rsidRPr="005427AC">
              <w:rPr>
                <w:rFonts w:ascii="Calibri" w:hAnsi="Calibri" w:cs="Arial"/>
                <w:b/>
                <w:bCs/>
                <w:szCs w:val="20"/>
              </w:rPr>
              <w:t>Date Sent</w:t>
            </w:r>
          </w:p>
        </w:tc>
        <w:tc>
          <w:tcPr>
            <w:tcW w:w="8789" w:type="dxa"/>
            <w:gridSpan w:val="2"/>
            <w:shd w:val="clear" w:color="auto" w:fill="auto"/>
            <w:vAlign w:val="center"/>
          </w:tcPr>
          <w:p w14:paraId="373E21DE" w14:textId="163C4674" w:rsidR="00345419" w:rsidRPr="00B175C7" w:rsidRDefault="00C67413" w:rsidP="00345419">
            <w:pPr>
              <w:rPr>
                <w:rFonts w:ascii="Calibri" w:hAnsi="Calibri" w:cs="Arial"/>
                <w:szCs w:val="20"/>
              </w:rPr>
            </w:pPr>
            <w:r>
              <w:rPr>
                <w:rFonts w:asciiTheme="minorHAnsi" w:hAnsiTheme="minorHAnsi" w:cs="Arial"/>
                <w:szCs w:val="20"/>
              </w:rPr>
              <w:t>11</w:t>
            </w:r>
            <w:r w:rsidR="00345419" w:rsidRPr="00B175C7">
              <w:rPr>
                <w:rFonts w:asciiTheme="minorHAnsi" w:hAnsiTheme="minorHAnsi" w:cs="Arial"/>
                <w:szCs w:val="20"/>
              </w:rPr>
              <w:t>/</w:t>
            </w:r>
            <w:r w:rsidR="00656694" w:rsidRPr="00B175C7">
              <w:rPr>
                <w:rFonts w:asciiTheme="minorHAnsi" w:hAnsiTheme="minorHAnsi" w:cs="Arial"/>
                <w:szCs w:val="20"/>
              </w:rPr>
              <w:t>01</w:t>
            </w:r>
            <w:r w:rsidR="00345419" w:rsidRPr="00B175C7">
              <w:rPr>
                <w:rFonts w:asciiTheme="minorHAnsi" w:hAnsiTheme="minorHAnsi" w:cs="Arial"/>
                <w:szCs w:val="20"/>
              </w:rPr>
              <w:t>/202</w:t>
            </w:r>
            <w:r w:rsidR="00656694" w:rsidRPr="00B175C7">
              <w:rPr>
                <w:rFonts w:asciiTheme="minorHAnsi" w:hAnsiTheme="minorHAnsi" w:cs="Arial"/>
                <w:szCs w:val="20"/>
              </w:rPr>
              <w:t>1</w:t>
            </w:r>
          </w:p>
        </w:tc>
      </w:tr>
      <w:tr w:rsidR="000E5B6D" w:rsidRPr="00376EF6" w14:paraId="237714F0" w14:textId="77777777" w:rsidTr="00EB4A3E">
        <w:trPr>
          <w:trHeight w:val="3460"/>
        </w:trPr>
        <w:tc>
          <w:tcPr>
            <w:tcW w:w="1985" w:type="dxa"/>
            <w:gridSpan w:val="2"/>
            <w:shd w:val="clear" w:color="auto" w:fill="auto"/>
            <w:vAlign w:val="center"/>
          </w:tcPr>
          <w:p w14:paraId="4CD6EE6F" w14:textId="77777777" w:rsidR="000E5B6D" w:rsidRPr="005427AC" w:rsidRDefault="000E5B6D" w:rsidP="00945C7C">
            <w:pPr>
              <w:rPr>
                <w:rFonts w:ascii="Calibri" w:hAnsi="Calibri" w:cs="Arial"/>
                <w:b/>
                <w:bCs/>
                <w:szCs w:val="20"/>
              </w:rPr>
            </w:pPr>
            <w:r w:rsidRPr="005427AC">
              <w:rPr>
                <w:rFonts w:ascii="Calibri" w:hAnsi="Calibri" w:cs="Arial"/>
                <w:b/>
                <w:bCs/>
                <w:szCs w:val="20"/>
              </w:rPr>
              <w:t xml:space="preserve">Ofgem Response </w:t>
            </w:r>
          </w:p>
          <w:p w14:paraId="68C4F125" w14:textId="77777777" w:rsidR="000E5B6D" w:rsidRPr="005427AC" w:rsidRDefault="000E5B6D" w:rsidP="00945C7C">
            <w:pPr>
              <w:rPr>
                <w:rFonts w:ascii="Calibri" w:hAnsi="Calibri" w:cs="Arial"/>
                <w:b/>
                <w:bCs/>
                <w:szCs w:val="20"/>
              </w:rPr>
            </w:pPr>
          </w:p>
          <w:p w14:paraId="260FE646" w14:textId="77777777" w:rsidR="000E5B6D" w:rsidRPr="005427AC" w:rsidRDefault="000E5B6D" w:rsidP="00945C7C">
            <w:pPr>
              <w:rPr>
                <w:rFonts w:ascii="Calibri" w:hAnsi="Calibri" w:cs="Arial"/>
                <w:b/>
                <w:bCs/>
                <w:szCs w:val="20"/>
              </w:rPr>
            </w:pPr>
          </w:p>
          <w:p w14:paraId="02C5C34A" w14:textId="66640490" w:rsidR="000E5B6D" w:rsidRPr="005427AC" w:rsidRDefault="000E5B6D" w:rsidP="00945C7C">
            <w:pPr>
              <w:rPr>
                <w:rFonts w:ascii="Calibri" w:hAnsi="Calibri" w:cs="Arial"/>
                <w:b/>
                <w:bCs/>
                <w:szCs w:val="20"/>
              </w:rPr>
            </w:pPr>
          </w:p>
        </w:tc>
        <w:tc>
          <w:tcPr>
            <w:tcW w:w="8789" w:type="dxa"/>
            <w:gridSpan w:val="2"/>
            <w:shd w:val="clear" w:color="auto" w:fill="auto"/>
          </w:tcPr>
          <w:p w14:paraId="7361C654" w14:textId="77777777" w:rsidR="000E5B6D" w:rsidRDefault="000E5B6D" w:rsidP="000A6CFB">
            <w:pPr>
              <w:rPr>
                <w:rFonts w:ascii="Calibri" w:hAnsi="Calibri" w:cs="Arial"/>
                <w:szCs w:val="20"/>
              </w:rPr>
            </w:pPr>
          </w:p>
          <w:p w14:paraId="009766E4" w14:textId="4878E1D2" w:rsidR="00322F61" w:rsidRDefault="0007578F" w:rsidP="00322F61">
            <w:pPr>
              <w:pStyle w:val="ListParagraph"/>
              <w:numPr>
                <w:ilvl w:val="0"/>
                <w:numId w:val="9"/>
              </w:numPr>
              <w:rPr>
                <w:rFonts w:ascii="Calibri" w:hAnsi="Calibri" w:cs="Arial"/>
                <w:szCs w:val="20"/>
              </w:rPr>
            </w:pPr>
            <w:r>
              <w:rPr>
                <w:rFonts w:ascii="Calibri" w:hAnsi="Calibri" w:cs="Arial"/>
                <w:szCs w:val="20"/>
              </w:rPr>
              <w:t xml:space="preserve">As set out in the FD Core Document, we have </w:t>
            </w:r>
            <w:r w:rsidR="00205CB6">
              <w:rPr>
                <w:rFonts w:ascii="Calibri" w:hAnsi="Calibri" w:cs="Arial"/>
                <w:szCs w:val="20"/>
              </w:rPr>
              <w:t>applied a Stage 3 penalty to lower confidence costs removed by Ofgem from Business Plans, on the basis that the submitted cost figures were poorly justified by companies.</w:t>
            </w:r>
          </w:p>
          <w:p w14:paraId="607775E6" w14:textId="77777777" w:rsidR="00795AB0" w:rsidRDefault="00795AB0" w:rsidP="00795AB0">
            <w:pPr>
              <w:pStyle w:val="ListParagraph"/>
              <w:rPr>
                <w:rFonts w:ascii="Calibri" w:hAnsi="Calibri" w:cs="Arial"/>
                <w:szCs w:val="20"/>
              </w:rPr>
            </w:pPr>
          </w:p>
          <w:p w14:paraId="03B6126E" w14:textId="2DFA7F03" w:rsidR="0007578F" w:rsidRDefault="00795AB0" w:rsidP="00EB4A3E">
            <w:pPr>
              <w:pStyle w:val="ListParagraph"/>
              <w:numPr>
                <w:ilvl w:val="0"/>
                <w:numId w:val="9"/>
              </w:numPr>
              <w:rPr>
                <w:rFonts w:ascii="Calibri" w:hAnsi="Calibri" w:cs="Arial"/>
                <w:szCs w:val="20"/>
              </w:rPr>
            </w:pPr>
            <w:r>
              <w:rPr>
                <w:rFonts w:ascii="Calibri" w:hAnsi="Calibri" w:cs="Arial"/>
                <w:szCs w:val="20"/>
              </w:rPr>
              <w:t xml:space="preserve">As we set out </w:t>
            </w:r>
            <w:r w:rsidR="003B721D">
              <w:rPr>
                <w:rFonts w:ascii="Calibri" w:hAnsi="Calibri" w:cs="Arial"/>
                <w:szCs w:val="20"/>
              </w:rPr>
              <w:t>in the EJP Reviews Annex at FD</w:t>
            </w:r>
            <w:r>
              <w:rPr>
                <w:rFonts w:ascii="Calibri" w:hAnsi="Calibri" w:cs="Arial"/>
                <w:szCs w:val="20"/>
              </w:rPr>
              <w:t xml:space="preserve">, we </w:t>
            </w:r>
            <w:r w:rsidR="002C2CEF">
              <w:rPr>
                <w:rFonts w:ascii="Calibri" w:hAnsi="Calibri" w:cs="Arial"/>
                <w:szCs w:val="20"/>
              </w:rPr>
              <w:t>do</w:t>
            </w:r>
            <w:r>
              <w:rPr>
                <w:rFonts w:ascii="Calibri" w:hAnsi="Calibri" w:cs="Arial"/>
                <w:szCs w:val="20"/>
              </w:rPr>
              <w:t xml:space="preserve"> not think SGN demonstrated that submitted costs for</w:t>
            </w:r>
            <w:r w:rsidR="00EB4A3E">
              <w:rPr>
                <w:rFonts w:ascii="Calibri" w:hAnsi="Calibri" w:cs="Arial"/>
                <w:szCs w:val="20"/>
              </w:rPr>
              <w:t xml:space="preserve"> the</w:t>
            </w:r>
            <w:r>
              <w:rPr>
                <w:rFonts w:ascii="Calibri" w:hAnsi="Calibri" w:cs="Arial"/>
                <w:szCs w:val="20"/>
              </w:rPr>
              <w:t xml:space="preserve"> </w:t>
            </w:r>
            <w:r w:rsidR="00EB4A3E" w:rsidRPr="00EB4A3E">
              <w:rPr>
                <w:rFonts w:ascii="Calibri" w:hAnsi="Calibri" w:cs="Arial"/>
                <w:szCs w:val="20"/>
              </w:rPr>
              <w:t>Campbe</w:t>
            </w:r>
            <w:r w:rsidR="00EB4A3E">
              <w:rPr>
                <w:rFonts w:ascii="Calibri" w:hAnsi="Calibri" w:cs="Arial"/>
                <w:szCs w:val="20"/>
              </w:rPr>
              <w:t>l</w:t>
            </w:r>
            <w:r w:rsidR="00EB4A3E" w:rsidRPr="00EB4A3E">
              <w:rPr>
                <w:rFonts w:ascii="Calibri" w:hAnsi="Calibri" w:cs="Arial"/>
                <w:szCs w:val="20"/>
              </w:rPr>
              <w:t>ltown Ambient Vaporiser</w:t>
            </w:r>
            <w:r>
              <w:rPr>
                <w:rFonts w:ascii="Calibri" w:hAnsi="Calibri" w:cs="Arial"/>
                <w:szCs w:val="20"/>
              </w:rPr>
              <w:t xml:space="preserve"> project were justifie</w:t>
            </w:r>
            <w:r w:rsidR="009A18F1">
              <w:rPr>
                <w:rFonts w:ascii="Calibri" w:hAnsi="Calibri" w:cs="Arial"/>
                <w:szCs w:val="20"/>
              </w:rPr>
              <w:t>d, and in our view</w:t>
            </w:r>
            <w:r>
              <w:rPr>
                <w:rFonts w:ascii="Calibri" w:hAnsi="Calibri" w:cs="Arial"/>
                <w:szCs w:val="20"/>
              </w:rPr>
              <w:t xml:space="preserve"> had been developed without adequate consideration of other viable options</w:t>
            </w:r>
            <w:r w:rsidR="002C2CEF">
              <w:rPr>
                <w:rFonts w:ascii="Calibri" w:hAnsi="Calibri" w:cs="Arial"/>
                <w:szCs w:val="20"/>
              </w:rPr>
              <w:t>.</w:t>
            </w:r>
            <w:r w:rsidR="00EB4A3E">
              <w:rPr>
                <w:rFonts w:ascii="Calibri" w:hAnsi="Calibri" w:cs="Arial"/>
                <w:szCs w:val="20"/>
              </w:rPr>
              <w:t xml:space="preserve"> Consequently, we do not think submitted costs are justified or efficient, and hence we have disallowed them </w:t>
            </w:r>
            <w:r w:rsidR="009D4886">
              <w:rPr>
                <w:rFonts w:ascii="Calibri" w:hAnsi="Calibri" w:cs="Arial"/>
                <w:szCs w:val="20"/>
              </w:rPr>
              <w:t>with lower confidence</w:t>
            </w:r>
            <w:r w:rsidR="00EB4A3E">
              <w:rPr>
                <w:rFonts w:ascii="Calibri" w:hAnsi="Calibri" w:cs="Arial"/>
                <w:szCs w:val="20"/>
              </w:rPr>
              <w:t>.</w:t>
            </w:r>
          </w:p>
          <w:p w14:paraId="7AEDB52A" w14:textId="77777777" w:rsidR="00EB4A3E" w:rsidRPr="00EB4A3E" w:rsidRDefault="00EB4A3E" w:rsidP="00EB4A3E">
            <w:pPr>
              <w:pStyle w:val="ListParagraph"/>
              <w:rPr>
                <w:rFonts w:ascii="Calibri" w:hAnsi="Calibri" w:cs="Arial"/>
                <w:szCs w:val="20"/>
              </w:rPr>
            </w:pPr>
          </w:p>
          <w:p w14:paraId="2BD42698" w14:textId="1BDE6B11" w:rsidR="00EB4A3E" w:rsidRDefault="002C4E85" w:rsidP="00EB4A3E">
            <w:pPr>
              <w:pStyle w:val="ListParagraph"/>
              <w:numPr>
                <w:ilvl w:val="0"/>
                <w:numId w:val="9"/>
              </w:numPr>
              <w:rPr>
                <w:rFonts w:ascii="Calibri" w:hAnsi="Calibri" w:cs="Arial"/>
                <w:szCs w:val="20"/>
              </w:rPr>
            </w:pPr>
            <w:r>
              <w:rPr>
                <w:rFonts w:ascii="Calibri" w:hAnsi="Calibri" w:cs="Arial"/>
                <w:szCs w:val="20"/>
              </w:rPr>
              <w:t>We have assessed all networks’ projects with a corresponding EJP on this same basis. Where we have disallowed costs, in part or in full, with lower confidence, we have applied a BPI penalty.</w:t>
            </w:r>
          </w:p>
          <w:p w14:paraId="77E190A5" w14:textId="44E54D52" w:rsidR="00EB4A3E" w:rsidRPr="00EB4A3E" w:rsidRDefault="00EB4A3E" w:rsidP="00EB4A3E">
            <w:pPr>
              <w:rPr>
                <w:rFonts w:ascii="Calibri" w:hAnsi="Calibri" w:cs="Arial"/>
                <w:szCs w:val="20"/>
              </w:rPr>
            </w:pPr>
          </w:p>
        </w:tc>
      </w:tr>
      <w:tr w:rsidR="00DF36E7" w:rsidRPr="00376EF6" w14:paraId="7AB05A38" w14:textId="77777777" w:rsidTr="00FE720C">
        <w:trPr>
          <w:trHeight w:val="127"/>
        </w:trPr>
        <w:tc>
          <w:tcPr>
            <w:tcW w:w="1985" w:type="dxa"/>
            <w:gridSpan w:val="2"/>
            <w:shd w:val="clear" w:color="auto" w:fill="auto"/>
            <w:vAlign w:val="center"/>
          </w:tcPr>
          <w:p w14:paraId="431F3431" w14:textId="1526228A" w:rsidR="00DF36E7" w:rsidRPr="005427AC" w:rsidRDefault="00DF36E7" w:rsidP="00DF36E7">
            <w:pPr>
              <w:rPr>
                <w:rFonts w:ascii="Calibri" w:hAnsi="Calibri" w:cs="Arial"/>
                <w:b/>
                <w:bCs/>
                <w:szCs w:val="20"/>
              </w:rPr>
            </w:pPr>
            <w:r w:rsidRPr="005427AC">
              <w:rPr>
                <w:rFonts w:asciiTheme="minorHAnsi" w:hAnsiTheme="minorHAnsi" w:cs="Arial"/>
                <w:b/>
                <w:bCs/>
                <w:szCs w:val="20"/>
              </w:rPr>
              <w:t>Date original question was Sent</w:t>
            </w:r>
          </w:p>
        </w:tc>
        <w:tc>
          <w:tcPr>
            <w:tcW w:w="8789" w:type="dxa"/>
            <w:gridSpan w:val="2"/>
            <w:shd w:val="clear" w:color="auto" w:fill="auto"/>
            <w:vAlign w:val="center"/>
          </w:tcPr>
          <w:p w14:paraId="1F221C9C" w14:textId="6E41C8A7" w:rsidR="00DF36E7" w:rsidRPr="00B175C7" w:rsidRDefault="00EB1994" w:rsidP="00DF36E7">
            <w:pPr>
              <w:rPr>
                <w:rFonts w:ascii="Calibri" w:hAnsi="Calibri" w:cs="Arial"/>
                <w:szCs w:val="20"/>
              </w:rPr>
            </w:pPr>
            <w:r>
              <w:rPr>
                <w:rFonts w:ascii="Calibri" w:hAnsi="Calibri" w:cs="Arial"/>
                <w:szCs w:val="20"/>
              </w:rPr>
              <w:t>11/12/2020</w:t>
            </w:r>
          </w:p>
        </w:tc>
      </w:tr>
      <w:tr w:rsidR="00DF36E7" w:rsidRPr="00376EF6" w14:paraId="1312D409" w14:textId="77777777" w:rsidTr="00FE720C">
        <w:trPr>
          <w:trHeight w:val="127"/>
        </w:trPr>
        <w:tc>
          <w:tcPr>
            <w:tcW w:w="1985" w:type="dxa"/>
            <w:gridSpan w:val="2"/>
            <w:shd w:val="clear" w:color="auto" w:fill="auto"/>
            <w:vAlign w:val="center"/>
          </w:tcPr>
          <w:p w14:paraId="10D0F2A6" w14:textId="5951A101" w:rsidR="00DF36E7" w:rsidRPr="005427AC" w:rsidRDefault="00DF36E7" w:rsidP="00DF36E7">
            <w:pPr>
              <w:rPr>
                <w:rFonts w:ascii="Calibri" w:hAnsi="Calibri" w:cs="Arial"/>
                <w:b/>
                <w:bCs/>
                <w:szCs w:val="20"/>
              </w:rPr>
            </w:pPr>
            <w:r w:rsidRPr="005427AC">
              <w:rPr>
                <w:rFonts w:asciiTheme="minorHAnsi" w:hAnsiTheme="minorHAnsi" w:cs="Arial"/>
                <w:b/>
                <w:bCs/>
                <w:szCs w:val="20"/>
              </w:rPr>
              <w:t xml:space="preserve">Original Question </w:t>
            </w:r>
            <w:r w:rsidR="00FE720C" w:rsidRPr="005427AC">
              <w:rPr>
                <w:rFonts w:asciiTheme="minorHAnsi" w:hAnsiTheme="minorHAnsi" w:cs="Arial"/>
                <w:b/>
                <w:bCs/>
                <w:szCs w:val="20"/>
              </w:rPr>
              <w:t>SGN_</w:t>
            </w:r>
            <w:r w:rsidRPr="005427AC">
              <w:rPr>
                <w:rFonts w:asciiTheme="minorHAnsi" w:hAnsiTheme="minorHAnsi" w:cs="Arial"/>
                <w:b/>
                <w:bCs/>
                <w:szCs w:val="20"/>
              </w:rPr>
              <w:t>FDQ</w:t>
            </w:r>
            <w:r w:rsidR="00FE720C" w:rsidRPr="005427AC">
              <w:rPr>
                <w:rFonts w:asciiTheme="minorHAnsi" w:hAnsiTheme="minorHAnsi" w:cs="Arial"/>
                <w:b/>
                <w:bCs/>
                <w:szCs w:val="20"/>
              </w:rPr>
              <w:t>_</w:t>
            </w:r>
            <w:r w:rsidRPr="005427AC">
              <w:rPr>
                <w:rFonts w:asciiTheme="minorHAnsi" w:hAnsiTheme="minorHAnsi" w:cs="Arial"/>
                <w:b/>
                <w:bCs/>
                <w:szCs w:val="20"/>
              </w:rPr>
              <w:t>005</w:t>
            </w:r>
          </w:p>
        </w:tc>
        <w:tc>
          <w:tcPr>
            <w:tcW w:w="8789" w:type="dxa"/>
            <w:gridSpan w:val="2"/>
            <w:shd w:val="clear" w:color="auto" w:fill="auto"/>
            <w:vAlign w:val="center"/>
          </w:tcPr>
          <w:p w14:paraId="79887C7B" w14:textId="77777777" w:rsidR="00FE720C" w:rsidRPr="00B175C7" w:rsidRDefault="00FE720C" w:rsidP="005427AC">
            <w:pPr>
              <w:pStyle w:val="Default"/>
              <w:spacing w:after="120"/>
              <w:rPr>
                <w:rFonts w:ascii="Calibri" w:hAnsi="Calibri" w:cs="Calibri"/>
                <w:sz w:val="20"/>
                <w:szCs w:val="20"/>
                <w:lang w:eastAsia="en-GB"/>
              </w:rPr>
            </w:pPr>
            <w:r w:rsidRPr="00B175C7">
              <w:rPr>
                <w:rFonts w:ascii="Calibri" w:hAnsi="Calibri" w:cs="Calibri"/>
                <w:sz w:val="20"/>
                <w:szCs w:val="20"/>
                <w:lang w:eastAsia="en-GB"/>
              </w:rPr>
              <w:t xml:space="preserve">There is an error in the assignment of </w:t>
            </w:r>
            <w:r w:rsidRPr="00B175C7">
              <w:rPr>
                <w:rFonts w:ascii="Calibri" w:hAnsi="Calibri" w:cs="Arial"/>
                <w:sz w:val="20"/>
                <w:szCs w:val="20"/>
              </w:rPr>
              <w:t>Atmospheric Vaporisers</w:t>
            </w:r>
            <w:r w:rsidRPr="00B175C7">
              <w:rPr>
                <w:rFonts w:ascii="Calibri" w:hAnsi="Calibri" w:cs="Calibri"/>
                <w:sz w:val="20"/>
                <w:szCs w:val="20"/>
                <w:lang w:eastAsia="en-GB"/>
              </w:rPr>
              <w:t xml:space="preserve"> to a penalty in Table 69. The text that sets out the reason is:</w:t>
            </w:r>
          </w:p>
          <w:p w14:paraId="547ABE96" w14:textId="77777777" w:rsidR="00FE720C" w:rsidRPr="00B175C7" w:rsidRDefault="00FE720C" w:rsidP="005427AC">
            <w:pPr>
              <w:pStyle w:val="Default"/>
              <w:spacing w:after="120"/>
              <w:rPr>
                <w:rFonts w:ascii="Calibri" w:hAnsi="Calibri" w:cs="Calibri"/>
                <w:i/>
                <w:iCs/>
                <w:sz w:val="20"/>
                <w:szCs w:val="20"/>
                <w:lang w:eastAsia="en-GB"/>
              </w:rPr>
            </w:pPr>
            <w:r w:rsidRPr="00B175C7">
              <w:rPr>
                <w:rFonts w:ascii="Calibri" w:hAnsi="Calibri" w:cs="Calibri"/>
                <w:i/>
                <w:iCs/>
                <w:sz w:val="20"/>
                <w:szCs w:val="20"/>
                <w:lang w:eastAsia="en-GB"/>
              </w:rPr>
              <w:t>“</w:t>
            </w:r>
            <w:r w:rsidRPr="00B175C7">
              <w:rPr>
                <w:rFonts w:ascii="Calibri" w:hAnsi="Calibri"/>
                <w:i/>
                <w:iCs/>
                <w:color w:val="848484"/>
                <w:sz w:val="20"/>
                <w:szCs w:val="20"/>
              </w:rPr>
              <w:t>We have decided to classify this project as lower confidence and disallow submitted costs due to an insufficient needs case, as set out in Table 50. SGN disagreed with our Drat Determinations proposal to disallow this project, but we have not received substantive evidence to justify changing our approach</w:t>
            </w:r>
            <w:r w:rsidRPr="00B175C7">
              <w:rPr>
                <w:rFonts w:ascii="Calibri" w:hAnsi="Calibri" w:cs="Calibri"/>
                <w:i/>
                <w:iCs/>
                <w:sz w:val="20"/>
                <w:szCs w:val="20"/>
                <w:lang w:eastAsia="en-GB"/>
              </w:rPr>
              <w:t>.”</w:t>
            </w:r>
          </w:p>
          <w:p w14:paraId="6BBE4D05" w14:textId="77777777" w:rsidR="00FE720C" w:rsidRPr="00B175C7" w:rsidRDefault="00FE720C" w:rsidP="005427AC">
            <w:pPr>
              <w:pStyle w:val="xmsonormal"/>
              <w:spacing w:after="120"/>
              <w:rPr>
                <w:color w:val="000000"/>
                <w:sz w:val="20"/>
                <w:szCs w:val="20"/>
              </w:rPr>
            </w:pPr>
            <w:r w:rsidRPr="00B175C7">
              <w:rPr>
                <w:color w:val="000000"/>
                <w:sz w:val="20"/>
                <w:szCs w:val="20"/>
              </w:rPr>
              <w:t xml:space="preserve">The value of the SIU capex (replaced atmospheric vaporisers) is below the £2m minimum threshold established by Ofgem late in the business plan submission process. </w:t>
            </w:r>
          </w:p>
          <w:p w14:paraId="0279B5E2" w14:textId="77777777" w:rsidR="00FE720C" w:rsidRPr="00B175C7" w:rsidRDefault="00FE720C" w:rsidP="005427AC">
            <w:pPr>
              <w:pStyle w:val="xmsonormal"/>
              <w:spacing w:after="120"/>
              <w:rPr>
                <w:color w:val="000000"/>
                <w:sz w:val="20"/>
                <w:szCs w:val="20"/>
              </w:rPr>
            </w:pPr>
            <w:r w:rsidRPr="00B175C7">
              <w:rPr>
                <w:color w:val="000000"/>
                <w:sz w:val="20"/>
                <w:szCs w:val="20"/>
              </w:rPr>
              <w:t xml:space="preserve">It is an error that networks should be subject to a business plan incentive penalty for having provided more information than required by Ofgem. </w:t>
            </w:r>
          </w:p>
          <w:p w14:paraId="3A765871" w14:textId="77777777" w:rsidR="00FE720C" w:rsidRPr="00B175C7" w:rsidRDefault="00FE720C" w:rsidP="005427AC">
            <w:pPr>
              <w:pStyle w:val="xmsonormal"/>
              <w:spacing w:after="120"/>
              <w:rPr>
                <w:color w:val="000000"/>
                <w:sz w:val="20"/>
                <w:szCs w:val="20"/>
              </w:rPr>
            </w:pPr>
            <w:r w:rsidRPr="00B175C7">
              <w:rPr>
                <w:color w:val="000000"/>
                <w:sz w:val="20"/>
                <w:szCs w:val="20"/>
              </w:rPr>
              <w:t>Can Ofgem confirm this is an error and their intention is not to penalise network companies for providing more information than otherwise required as set out in the business plan guidance?</w:t>
            </w:r>
          </w:p>
          <w:p w14:paraId="4EDB9944" w14:textId="77777777" w:rsidR="00FE720C" w:rsidRPr="00B175C7" w:rsidRDefault="00FE720C" w:rsidP="00FE720C">
            <w:pPr>
              <w:pStyle w:val="xmsonormal"/>
              <w:rPr>
                <w:color w:val="000000"/>
                <w:sz w:val="20"/>
                <w:szCs w:val="20"/>
              </w:rPr>
            </w:pPr>
            <w:r w:rsidRPr="00B175C7">
              <w:rPr>
                <w:color w:val="000000"/>
                <w:sz w:val="20"/>
                <w:szCs w:val="20"/>
              </w:rPr>
              <w:t xml:space="preserve">If Ofgem disagree that this is an error, can Ofgem set out </w:t>
            </w:r>
          </w:p>
          <w:p w14:paraId="5993AB28" w14:textId="77777777" w:rsidR="00FE720C" w:rsidRPr="00B175C7" w:rsidRDefault="00FE720C" w:rsidP="00FE720C">
            <w:pPr>
              <w:pStyle w:val="xmsonormal"/>
              <w:numPr>
                <w:ilvl w:val="0"/>
                <w:numId w:val="7"/>
              </w:numPr>
              <w:rPr>
                <w:color w:val="000000"/>
                <w:sz w:val="20"/>
                <w:szCs w:val="20"/>
              </w:rPr>
            </w:pPr>
            <w:r w:rsidRPr="00B175C7">
              <w:rPr>
                <w:color w:val="000000"/>
                <w:sz w:val="20"/>
                <w:szCs w:val="20"/>
              </w:rPr>
              <w:t>the basis of this assessment that the costs are considered low confidence as requested in our draft determination response (pg175)?</w:t>
            </w:r>
          </w:p>
          <w:p w14:paraId="3AF98FEA" w14:textId="4B7D3FF9" w:rsidR="00DF36E7" w:rsidRPr="00B175C7" w:rsidRDefault="00FE720C" w:rsidP="00DF36E7">
            <w:pPr>
              <w:pStyle w:val="xmsonormal"/>
              <w:numPr>
                <w:ilvl w:val="0"/>
                <w:numId w:val="7"/>
              </w:numPr>
              <w:rPr>
                <w:color w:val="000000"/>
                <w:sz w:val="20"/>
                <w:szCs w:val="20"/>
              </w:rPr>
            </w:pPr>
            <w:r w:rsidRPr="00B175C7">
              <w:rPr>
                <w:color w:val="000000"/>
                <w:sz w:val="20"/>
                <w:szCs w:val="20"/>
              </w:rPr>
              <w:t>how their decision to penalise networks that have provided more information and greater transparency aligns with the business plan guidance?</w:t>
            </w:r>
          </w:p>
        </w:tc>
      </w:tr>
      <w:tr w:rsidR="00DF36E7" w:rsidRPr="00376EF6" w14:paraId="36E87628" w14:textId="77777777" w:rsidTr="00012F3A">
        <w:trPr>
          <w:trHeight w:hRule="exact" w:val="851"/>
        </w:trPr>
        <w:tc>
          <w:tcPr>
            <w:tcW w:w="1985" w:type="dxa"/>
            <w:gridSpan w:val="2"/>
            <w:shd w:val="clear" w:color="auto" w:fill="auto"/>
            <w:vAlign w:val="center"/>
          </w:tcPr>
          <w:p w14:paraId="0BCBF4CD" w14:textId="48F5A936" w:rsidR="00DF36E7" w:rsidRPr="005427AC" w:rsidRDefault="00DF36E7" w:rsidP="00DF36E7">
            <w:pPr>
              <w:rPr>
                <w:rFonts w:asciiTheme="minorHAnsi" w:hAnsiTheme="minorHAnsi" w:cs="Arial"/>
                <w:b/>
                <w:bCs/>
                <w:szCs w:val="20"/>
              </w:rPr>
            </w:pPr>
            <w:r w:rsidRPr="005427AC">
              <w:rPr>
                <w:rFonts w:asciiTheme="minorHAnsi" w:hAnsiTheme="minorHAnsi" w:cs="Arial"/>
                <w:b/>
                <w:bCs/>
                <w:szCs w:val="20"/>
              </w:rPr>
              <w:t xml:space="preserve">Ofgem Response to </w:t>
            </w:r>
            <w:r w:rsidR="00FE720C" w:rsidRPr="005427AC">
              <w:rPr>
                <w:rFonts w:asciiTheme="minorHAnsi" w:hAnsiTheme="minorHAnsi" w:cs="Arial"/>
                <w:b/>
                <w:bCs/>
                <w:szCs w:val="20"/>
              </w:rPr>
              <w:t>SGN_</w:t>
            </w:r>
            <w:r w:rsidRPr="005427AC">
              <w:rPr>
                <w:rFonts w:asciiTheme="minorHAnsi" w:hAnsiTheme="minorHAnsi" w:cs="Arial"/>
                <w:b/>
                <w:bCs/>
                <w:szCs w:val="20"/>
              </w:rPr>
              <w:t>FDQ_005</w:t>
            </w:r>
          </w:p>
          <w:p w14:paraId="2A7B25D4" w14:textId="77777777" w:rsidR="00DF36E7" w:rsidRPr="005427AC" w:rsidRDefault="00DF36E7" w:rsidP="00DF36E7">
            <w:pPr>
              <w:rPr>
                <w:rFonts w:asciiTheme="minorHAnsi" w:hAnsiTheme="minorHAnsi" w:cs="Arial"/>
                <w:b/>
                <w:bCs/>
                <w:szCs w:val="20"/>
              </w:rPr>
            </w:pPr>
          </w:p>
          <w:p w14:paraId="5167092F" w14:textId="77777777" w:rsidR="00DF36E7" w:rsidRPr="005427AC" w:rsidRDefault="00DF36E7" w:rsidP="00DF36E7">
            <w:pPr>
              <w:rPr>
                <w:rFonts w:asciiTheme="minorHAnsi" w:hAnsiTheme="minorHAnsi" w:cs="Arial"/>
                <w:b/>
                <w:bCs/>
                <w:szCs w:val="20"/>
              </w:rPr>
            </w:pPr>
          </w:p>
          <w:p w14:paraId="48AB0E47" w14:textId="77777777" w:rsidR="00DF36E7" w:rsidRPr="005427AC" w:rsidRDefault="00DF36E7" w:rsidP="00DF36E7">
            <w:pPr>
              <w:rPr>
                <w:rFonts w:ascii="Calibri" w:hAnsi="Calibri" w:cs="Arial"/>
                <w:b/>
                <w:bCs/>
                <w:szCs w:val="20"/>
              </w:rPr>
            </w:pPr>
          </w:p>
        </w:tc>
        <w:tc>
          <w:tcPr>
            <w:tcW w:w="8789" w:type="dxa"/>
            <w:gridSpan w:val="2"/>
            <w:shd w:val="clear" w:color="auto" w:fill="auto"/>
            <w:vAlign w:val="center"/>
          </w:tcPr>
          <w:p w14:paraId="654F8685" w14:textId="7E1ADD29" w:rsidR="00DF36E7" w:rsidRPr="00B175C7" w:rsidRDefault="00FE720C" w:rsidP="00DF36E7">
            <w:pPr>
              <w:rPr>
                <w:rFonts w:ascii="Calibri" w:hAnsi="Calibri" w:cs="Arial"/>
                <w:szCs w:val="20"/>
              </w:rPr>
            </w:pPr>
            <w:r w:rsidRPr="00B175C7">
              <w:rPr>
                <w:rFonts w:ascii="Calibri" w:hAnsi="Calibri" w:cs="Arial"/>
                <w:szCs w:val="20"/>
              </w:rPr>
              <w:t>We do not agree that this is an error. We note SGN’s view but the GD annex sets out Ofgem’s position on this for Final Determinations.</w:t>
            </w:r>
          </w:p>
        </w:tc>
      </w:tr>
      <w:tr w:rsidR="00DF36E7" w:rsidRPr="00376EF6" w14:paraId="6086C380" w14:textId="77777777" w:rsidTr="00FE720C">
        <w:trPr>
          <w:trHeight w:val="127"/>
        </w:trPr>
        <w:tc>
          <w:tcPr>
            <w:tcW w:w="1985" w:type="dxa"/>
            <w:gridSpan w:val="2"/>
            <w:shd w:val="clear" w:color="auto" w:fill="auto"/>
            <w:vAlign w:val="center"/>
          </w:tcPr>
          <w:p w14:paraId="47FECA62" w14:textId="78D841BD" w:rsidR="00DF36E7" w:rsidRPr="005427AC" w:rsidRDefault="00DF36E7" w:rsidP="00DF36E7">
            <w:pPr>
              <w:rPr>
                <w:rFonts w:ascii="Calibri" w:hAnsi="Calibri" w:cs="Arial"/>
                <w:b/>
                <w:bCs/>
                <w:szCs w:val="20"/>
              </w:rPr>
            </w:pPr>
            <w:r w:rsidRPr="005427AC">
              <w:rPr>
                <w:rFonts w:asciiTheme="minorHAnsi" w:hAnsiTheme="minorHAnsi" w:cs="Arial"/>
                <w:b/>
                <w:bCs/>
                <w:szCs w:val="20"/>
              </w:rPr>
              <w:t xml:space="preserve">Date of Ofgem Response </w:t>
            </w:r>
          </w:p>
        </w:tc>
        <w:tc>
          <w:tcPr>
            <w:tcW w:w="8789" w:type="dxa"/>
            <w:gridSpan w:val="2"/>
            <w:shd w:val="clear" w:color="auto" w:fill="auto"/>
            <w:vAlign w:val="center"/>
          </w:tcPr>
          <w:p w14:paraId="14A6DD5C" w14:textId="02779BB6" w:rsidR="00DF36E7" w:rsidRPr="00B175C7" w:rsidRDefault="00FE720C" w:rsidP="00DF36E7">
            <w:pPr>
              <w:rPr>
                <w:rFonts w:ascii="Calibri" w:hAnsi="Calibri" w:cs="Arial"/>
                <w:szCs w:val="20"/>
              </w:rPr>
            </w:pPr>
            <w:r w:rsidRPr="00B175C7">
              <w:rPr>
                <w:rFonts w:ascii="Calibri" w:hAnsi="Calibri" w:cs="Arial"/>
                <w:szCs w:val="20"/>
              </w:rPr>
              <w:t>29/12/2020</w:t>
            </w:r>
          </w:p>
        </w:tc>
      </w:tr>
    </w:tbl>
    <w:p w14:paraId="373E21F4" w14:textId="77777777" w:rsidR="00945C7C" w:rsidRDefault="00945C7C" w:rsidP="008A5062"/>
    <w:sectPr w:rsidR="00945C7C" w:rsidSect="008A5062">
      <w:footerReference w:type="default" r:id="rId12"/>
      <w:pgSz w:w="11906" w:h="16838"/>
      <w:pgMar w:top="1440" w:right="1440" w:bottom="127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7431DA" w14:textId="77777777" w:rsidR="00525028" w:rsidRDefault="00525028" w:rsidP="00526623">
      <w:pPr>
        <w:spacing w:after="0" w:line="240" w:lineRule="auto"/>
      </w:pPr>
      <w:r>
        <w:separator/>
      </w:r>
    </w:p>
  </w:endnote>
  <w:endnote w:type="continuationSeparator" w:id="0">
    <w:p w14:paraId="517D8C47" w14:textId="77777777" w:rsidR="00525028" w:rsidRDefault="00525028"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FB98F0" w14:textId="21CB667B" w:rsidR="00004B8C" w:rsidRDefault="00004B8C">
    <w:pPr>
      <w:pStyle w:val="Footer"/>
    </w:pPr>
    <w:r>
      <w:rPr>
        <w:noProof/>
      </w:rPr>
      <mc:AlternateContent>
        <mc:Choice Requires="wps">
          <w:drawing>
            <wp:anchor distT="0" distB="0" distL="114300" distR="114300" simplePos="0" relativeHeight="251659264" behindDoc="0" locked="0" layoutInCell="0" allowOverlap="1" wp14:anchorId="13273AA7" wp14:editId="5841BB06">
              <wp:simplePos x="0" y="0"/>
              <wp:positionH relativeFrom="page">
                <wp:posOffset>0</wp:posOffset>
              </wp:positionH>
              <wp:positionV relativeFrom="page">
                <wp:posOffset>10227945</wp:posOffset>
              </wp:positionV>
              <wp:extent cx="7560310" cy="273050"/>
              <wp:effectExtent l="0" t="0" r="0" b="12700"/>
              <wp:wrapNone/>
              <wp:docPr id="1" name="MSIPCMf51b48348c2230498fe1e680" descr="{&quot;HashCode&quot;:2051471737,&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948E6D5" w14:textId="5562BCB1" w:rsidR="00004B8C" w:rsidRPr="00004B8C" w:rsidRDefault="00004B8C" w:rsidP="00004B8C">
                          <w:pPr>
                            <w:spacing w:after="0"/>
                            <w:rPr>
                              <w:rFonts w:ascii="Calibri" w:hAnsi="Calibri" w:cs="Calibri"/>
                              <w:color w:val="000000"/>
                            </w:rPr>
                          </w:pPr>
                          <w:r w:rsidRPr="00004B8C">
                            <w:rPr>
                              <w:rFonts w:ascii="Calibri" w:hAnsi="Calibri" w:cs="Calibri"/>
                              <w:color w:val="000000"/>
                            </w:rPr>
                            <w:t>Classified as 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13273AA7" id="_x0000_t202" coordsize="21600,21600" o:spt="202" path="m,l,21600r21600,l21600,xe">
              <v:stroke joinstyle="miter"/>
              <v:path gradientshapeok="t" o:connecttype="rect"/>
            </v:shapetype>
            <v:shape id="MSIPCMf51b48348c2230498fe1e680" o:spid="_x0000_s1026" type="#_x0000_t202" alt="{&quot;HashCode&quot;:2051471737,&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" o:allowincell="f" filled="f" stroked="f" strokeweight=".5pt">
              <v:textbox inset="20pt,0,,0">
                <w:txbxContent>
                  <w:p w14:paraId="1948E6D5" w14:textId="5562BCB1" w:rsidR="00004B8C" w:rsidRPr="00004B8C" w:rsidRDefault="00004B8C" w:rsidP="00004B8C">
                    <w:pPr>
                      <w:spacing w:after="0"/>
                      <w:rPr>
                        <w:rFonts w:ascii="Calibri" w:hAnsi="Calibri" w:cs="Calibri"/>
                        <w:color w:val="000000"/>
                      </w:rPr>
                    </w:pPr>
                    <w:r w:rsidRPr="00004B8C">
                      <w:rPr>
                        <w:rFonts w:ascii="Calibri" w:hAnsi="Calibri" w:cs="Calibri"/>
                        <w:color w:val="000000"/>
                      </w:rPr>
                      <w:t>Classified as Internal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EE736D" w14:textId="77777777" w:rsidR="00525028" w:rsidRDefault="00525028" w:rsidP="00526623">
      <w:pPr>
        <w:spacing w:after="0" w:line="240" w:lineRule="auto"/>
      </w:pPr>
      <w:r>
        <w:separator/>
      </w:r>
    </w:p>
  </w:footnote>
  <w:footnote w:type="continuationSeparator" w:id="0">
    <w:p w14:paraId="51441EB2" w14:textId="77777777" w:rsidR="00525028" w:rsidRDefault="00525028" w:rsidP="00526623">
      <w:pPr>
        <w:spacing w:after="0" w:line="240" w:lineRule="auto"/>
      </w:pPr>
      <w:r>
        <w:continuationSeparator/>
      </w:r>
    </w:p>
  </w:footnote>
  <w:footnote w:id="1">
    <w:p w14:paraId="0C12213F" w14:textId="77777777" w:rsidR="00FE720C" w:rsidRPr="00213ED4" w:rsidRDefault="00FE720C" w:rsidP="00FE720C">
      <w:pPr>
        <w:pStyle w:val="FootnoteText"/>
        <w:rPr>
          <w:szCs w:val="16"/>
        </w:rPr>
      </w:pPr>
      <w:r w:rsidRPr="00213ED4">
        <w:rPr>
          <w:rStyle w:val="FootnoteReference"/>
          <w:szCs w:val="16"/>
        </w:rPr>
        <w:footnoteRef/>
      </w:r>
      <w:r w:rsidRPr="00213ED4">
        <w:rPr>
          <w:szCs w:val="16"/>
        </w:rPr>
        <w:t xml:space="preserve"> Ofgem workshop, RIIO-2 Business Plan Incentive Workshop, 18</w:t>
      </w:r>
      <w:r w:rsidRPr="00213ED4">
        <w:rPr>
          <w:szCs w:val="16"/>
          <w:vertAlign w:val="superscript"/>
        </w:rPr>
        <w:t>th</w:t>
      </w:r>
      <w:r w:rsidRPr="00213ED4">
        <w:rPr>
          <w:szCs w:val="16"/>
        </w:rPr>
        <w:t xml:space="preserve"> June 2019.</w:t>
      </w:r>
    </w:p>
  </w:footnote>
  <w:footnote w:id="2">
    <w:p w14:paraId="2E922CFA" w14:textId="77777777" w:rsidR="00FE720C" w:rsidRPr="00213ED4" w:rsidRDefault="00FE720C" w:rsidP="00FE720C">
      <w:pPr>
        <w:pStyle w:val="FootnoteText"/>
        <w:rPr>
          <w:szCs w:val="16"/>
        </w:rPr>
      </w:pPr>
      <w:r w:rsidRPr="00213ED4">
        <w:rPr>
          <w:rStyle w:val="FootnoteReference"/>
          <w:szCs w:val="16"/>
        </w:rPr>
        <w:footnoteRef/>
      </w:r>
      <w:r w:rsidRPr="00213ED4">
        <w:rPr>
          <w:szCs w:val="16"/>
        </w:rPr>
        <w:t xml:space="preserve"> Ofgem workshop, RIIO-2 outputs, </w:t>
      </w:r>
      <w:r>
        <w:rPr>
          <w:szCs w:val="16"/>
        </w:rPr>
        <w:t>totex</w:t>
      </w:r>
      <w:r w:rsidRPr="00213ED4">
        <w:rPr>
          <w:szCs w:val="16"/>
        </w:rPr>
        <w:t xml:space="preserve"> and business plan incentives workshop, 26</w:t>
      </w:r>
      <w:r w:rsidRPr="00213ED4">
        <w:rPr>
          <w:szCs w:val="16"/>
          <w:vertAlign w:val="superscript"/>
        </w:rPr>
        <w:t>th</w:t>
      </w:r>
      <w:r w:rsidRPr="00213ED4">
        <w:rPr>
          <w:szCs w:val="16"/>
        </w:rPr>
        <w:t xml:space="preserve"> September 2018. </w:t>
      </w:r>
    </w:p>
  </w:footnote>
  <w:footnote w:id="3">
    <w:p w14:paraId="38D44A6A" w14:textId="77777777" w:rsidR="00FE720C" w:rsidRPr="00213ED4" w:rsidRDefault="00FE720C" w:rsidP="00FE720C">
      <w:pPr>
        <w:pStyle w:val="Default"/>
        <w:rPr>
          <w:i/>
          <w:iCs/>
          <w:sz w:val="16"/>
          <w:szCs w:val="16"/>
        </w:rPr>
      </w:pPr>
      <w:r w:rsidRPr="00213ED4">
        <w:rPr>
          <w:rStyle w:val="FootnoteReference"/>
          <w:sz w:val="16"/>
          <w:szCs w:val="16"/>
        </w:rPr>
        <w:footnoteRef/>
      </w:r>
      <w:r w:rsidRPr="00213ED4">
        <w:rPr>
          <w:sz w:val="16"/>
          <w:szCs w:val="16"/>
        </w:rPr>
        <w:t xml:space="preserve"> </w:t>
      </w:r>
      <w:r w:rsidRPr="00213ED4">
        <w:rPr>
          <w:rFonts w:ascii="Calibri" w:hAnsi="Calibri" w:cstheme="minorBidi"/>
          <w:color w:val="5A5A59"/>
          <w:sz w:val="16"/>
          <w:szCs w:val="16"/>
        </w:rPr>
        <w:t xml:space="preserve">RIIO-2 Sector Specific methodology 18 Dec 2018. 9.10 </w:t>
      </w:r>
      <w:r w:rsidRPr="00213ED4">
        <w:rPr>
          <w:rFonts w:ascii="Calibri" w:hAnsi="Calibri" w:cstheme="minorBidi"/>
          <w:i/>
          <w:iCs/>
          <w:color w:val="5A5A59"/>
          <w:sz w:val="16"/>
          <w:szCs w:val="16"/>
        </w:rPr>
        <w:t>“We want companies to provide us with high quality information in their Business Plan. We may reward companies if they provide us with information that is not available to us, that helps us set a more accurate control that delivers greater benefits than would otherwise be the case. If companies do not provide us with the information that we ask for, or provide us unambitious, poor quality information, then financial penalties may be appropriate.”</w:t>
      </w:r>
      <w:r w:rsidRPr="00213ED4">
        <w:rPr>
          <w:i/>
          <w:iCs/>
          <w:sz w:val="16"/>
          <w:szCs w:val="16"/>
        </w:rPr>
        <w:t xml:space="preserve"> </w:t>
      </w:r>
    </w:p>
  </w:footnote>
  <w:footnote w:id="4">
    <w:p w14:paraId="433784F2" w14:textId="77777777" w:rsidR="00FE720C" w:rsidRPr="00213ED4" w:rsidRDefault="00FE720C" w:rsidP="00FE720C">
      <w:pPr>
        <w:pStyle w:val="Default"/>
        <w:rPr>
          <w:rFonts w:ascii="Calibri" w:hAnsi="Calibri" w:cstheme="minorBidi"/>
          <w:i/>
          <w:iCs/>
          <w:color w:val="5A5A59"/>
          <w:sz w:val="16"/>
          <w:szCs w:val="16"/>
        </w:rPr>
      </w:pPr>
      <w:r w:rsidRPr="00213ED4">
        <w:rPr>
          <w:rStyle w:val="FootnoteReference"/>
          <w:sz w:val="16"/>
          <w:szCs w:val="16"/>
        </w:rPr>
        <w:footnoteRef/>
      </w:r>
      <w:r w:rsidRPr="00213ED4">
        <w:rPr>
          <w:rStyle w:val="FootnoteReference"/>
          <w:sz w:val="16"/>
          <w:szCs w:val="16"/>
        </w:rPr>
        <w:t xml:space="preserve"> </w:t>
      </w:r>
      <w:r w:rsidRPr="00213ED4">
        <w:rPr>
          <w:rFonts w:ascii="Calibri" w:hAnsi="Calibri" w:cstheme="minorBidi"/>
          <w:color w:val="5A5A59"/>
          <w:sz w:val="16"/>
          <w:szCs w:val="16"/>
        </w:rPr>
        <w:t xml:space="preserve">RIIO-2 Sector Specific methodology – Core Document 24th May 2019.11.9. </w:t>
      </w:r>
      <w:r w:rsidRPr="00213ED4">
        <w:rPr>
          <w:rFonts w:ascii="Calibri" w:hAnsi="Calibri" w:cstheme="minorBidi"/>
          <w:i/>
          <w:iCs/>
          <w:color w:val="5A5A59"/>
          <w:sz w:val="16"/>
          <w:szCs w:val="16"/>
        </w:rPr>
        <w:t>“The incentive would make rewards available to companies if their plan represented genuine value for money and provided information that helps us to set better price controls. Inefficient, low quality plans would be subject to a financial penalty.“</w:t>
      </w:r>
    </w:p>
  </w:footnote>
  <w:footnote w:id="5">
    <w:p w14:paraId="43F419D8" w14:textId="77777777" w:rsidR="00FE720C" w:rsidRPr="00213ED4" w:rsidRDefault="00FE720C" w:rsidP="00FE720C">
      <w:pPr>
        <w:pStyle w:val="FootnoteText"/>
        <w:rPr>
          <w:szCs w:val="16"/>
        </w:rPr>
      </w:pPr>
      <w:r w:rsidRPr="00213ED4">
        <w:rPr>
          <w:rStyle w:val="FootnoteReference"/>
          <w:szCs w:val="16"/>
        </w:rPr>
        <w:footnoteRef/>
      </w:r>
      <w:r w:rsidRPr="00213ED4">
        <w:rPr>
          <w:szCs w:val="16"/>
        </w:rPr>
        <w:t xml:space="preserve"> SGN Draft Business plan, 1</w:t>
      </w:r>
      <w:r w:rsidRPr="00213ED4">
        <w:rPr>
          <w:szCs w:val="16"/>
          <w:vertAlign w:val="superscript"/>
        </w:rPr>
        <w:t>st</w:t>
      </w:r>
      <w:r w:rsidRPr="00213ED4">
        <w:rPr>
          <w:szCs w:val="16"/>
        </w:rPr>
        <w:t xml:space="preserve"> July 2019, pg 13</w:t>
      </w:r>
    </w:p>
  </w:footnote>
  <w:footnote w:id="6">
    <w:p w14:paraId="06905CD2" w14:textId="77777777" w:rsidR="00FE720C" w:rsidRPr="00213ED4" w:rsidRDefault="00FE720C" w:rsidP="00FE720C">
      <w:pPr>
        <w:pStyle w:val="FootnoteText"/>
        <w:rPr>
          <w:szCs w:val="16"/>
        </w:rPr>
      </w:pPr>
      <w:r w:rsidRPr="00213ED4">
        <w:rPr>
          <w:rStyle w:val="FootnoteReference"/>
          <w:szCs w:val="16"/>
        </w:rPr>
        <w:footnoteRef/>
      </w:r>
      <w:r w:rsidRPr="00213ED4">
        <w:rPr>
          <w:szCs w:val="16"/>
        </w:rPr>
        <w:t xml:space="preserve"> RIIO-GD2 Investment Decision Pack Guidance, 20th September 2019, pg 7 </w:t>
      </w:r>
    </w:p>
  </w:footnote>
  <w:footnote w:id="7">
    <w:p w14:paraId="6B45A699" w14:textId="77777777" w:rsidR="00FE720C" w:rsidRDefault="00FE720C" w:rsidP="00FE720C">
      <w:pPr>
        <w:pStyle w:val="FootnoteText"/>
      </w:pPr>
      <w:r>
        <w:rPr>
          <w:rStyle w:val="FootnoteReference"/>
        </w:rPr>
        <w:footnoteRef/>
      </w:r>
      <w:r>
        <w:t xml:space="preserve"> CBA and EJP Workshop – RIIO GD2 Price Control, 6</w:t>
      </w:r>
      <w:r w:rsidRPr="006F7D28">
        <w:rPr>
          <w:vertAlign w:val="superscript"/>
        </w:rPr>
        <w:t>th</w:t>
      </w:r>
      <w:r>
        <w:t xml:space="preserve"> Sept 2019, presentation to working group</w:t>
      </w:r>
    </w:p>
  </w:footnote>
  <w:footnote w:id="8">
    <w:p w14:paraId="6A153244" w14:textId="77777777" w:rsidR="00FE720C" w:rsidRPr="0020327F" w:rsidRDefault="00FE720C" w:rsidP="00FE720C">
      <w:pPr>
        <w:pStyle w:val="FootnoteText"/>
      </w:pPr>
      <w:r w:rsidRPr="00213ED4">
        <w:rPr>
          <w:rStyle w:val="FootnoteReference"/>
          <w:szCs w:val="16"/>
        </w:rPr>
        <w:footnoteRef/>
      </w:r>
      <w:r w:rsidRPr="00213ED4">
        <w:rPr>
          <w:rStyle w:val="FootnoteReference"/>
          <w:szCs w:val="16"/>
        </w:rPr>
        <w:t xml:space="preserve"> </w:t>
      </w:r>
      <w:r w:rsidRPr="00213ED4">
        <w:rPr>
          <w:szCs w:val="16"/>
        </w:rPr>
        <w:t>Ofgem working group, GD2 Asset Management WG2 (previously CBA/NARM/Repex WG), 7th August 2019</w:t>
      </w:r>
    </w:p>
  </w:footnote>
  <w:footnote w:id="9">
    <w:p w14:paraId="4A36501E" w14:textId="77777777" w:rsidR="00FE720C" w:rsidRDefault="00FE720C" w:rsidP="00FE720C">
      <w:pPr>
        <w:pStyle w:val="FootnoteText"/>
      </w:pPr>
      <w:r>
        <w:rPr>
          <w:rStyle w:val="FootnoteReference"/>
        </w:rPr>
        <w:footnoteRef/>
      </w:r>
      <w:r>
        <w:t xml:space="preserve"> </w:t>
      </w:r>
      <w:r w:rsidRPr="00213ED4">
        <w:rPr>
          <w:szCs w:val="16"/>
        </w:rPr>
        <w:t>RIIO-GD2 Investment Decision Pack Guidance, 20th September 2019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A4486C"/>
    <w:multiLevelType w:val="multilevel"/>
    <w:tmpl w:val="3BD6EB0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023E70"/>
    <w:multiLevelType w:val="hybridMultilevel"/>
    <w:tmpl w:val="6ADE5D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144106"/>
    <w:multiLevelType w:val="hybridMultilevel"/>
    <w:tmpl w:val="0A083BA0"/>
    <w:lvl w:ilvl="0" w:tplc="02D26C16">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3854A0A"/>
    <w:multiLevelType w:val="hybridMultilevel"/>
    <w:tmpl w:val="A5229796"/>
    <w:lvl w:ilvl="0" w:tplc="08090001">
      <w:start w:val="1"/>
      <w:numFmt w:val="bullet"/>
      <w:lvlText w:val=""/>
      <w:lvlJc w:val="left"/>
      <w:pPr>
        <w:ind w:left="720" w:hanging="72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664235F5"/>
    <w:multiLevelType w:val="hybridMultilevel"/>
    <w:tmpl w:val="568CB57A"/>
    <w:lvl w:ilvl="0" w:tplc="6F78D270">
      <w:numFmt w:val="bullet"/>
      <w:lvlText w:val=""/>
      <w:lvlJc w:val="left"/>
      <w:pPr>
        <w:ind w:left="720" w:hanging="720"/>
      </w:pPr>
      <w:rPr>
        <w:rFonts w:ascii="Symbol" w:eastAsiaTheme="minorHAnsi" w:hAnsi="Symbo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66F33A86"/>
    <w:multiLevelType w:val="hybridMultilevel"/>
    <w:tmpl w:val="AA364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74F0664"/>
    <w:multiLevelType w:val="hybridMultilevel"/>
    <w:tmpl w:val="670A5B8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87C2E3F"/>
    <w:multiLevelType w:val="hybridMultilevel"/>
    <w:tmpl w:val="C3D095F2"/>
    <w:lvl w:ilvl="0" w:tplc="6F78D270">
      <w:numFmt w:val="bullet"/>
      <w:lvlText w:val=""/>
      <w:lvlJc w:val="left"/>
      <w:pPr>
        <w:ind w:left="1080" w:hanging="72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8"/>
  </w:num>
  <w:num w:numId="4">
    <w:abstractNumId w:val="5"/>
  </w:num>
  <w:num w:numId="5">
    <w:abstractNumId w:val="4"/>
  </w:num>
  <w:num w:numId="6">
    <w:abstractNumId w:val="0"/>
  </w:num>
  <w:num w:numId="7">
    <w:abstractNumId w:val="7"/>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3BD9"/>
    <w:rsid w:val="00004B8C"/>
    <w:rsid w:val="00007746"/>
    <w:rsid w:val="00007AB6"/>
    <w:rsid w:val="00012F3A"/>
    <w:rsid w:val="00041711"/>
    <w:rsid w:val="000436C2"/>
    <w:rsid w:val="000473D3"/>
    <w:rsid w:val="00050C54"/>
    <w:rsid w:val="0007578F"/>
    <w:rsid w:val="000A6CFB"/>
    <w:rsid w:val="000B0536"/>
    <w:rsid w:val="000D235A"/>
    <w:rsid w:val="000E5B6D"/>
    <w:rsid w:val="0010126C"/>
    <w:rsid w:val="00107296"/>
    <w:rsid w:val="00131161"/>
    <w:rsid w:val="00133BD9"/>
    <w:rsid w:val="00133CFC"/>
    <w:rsid w:val="001372A5"/>
    <w:rsid w:val="00167A62"/>
    <w:rsid w:val="00172809"/>
    <w:rsid w:val="00174A50"/>
    <w:rsid w:val="001A770F"/>
    <w:rsid w:val="001D0151"/>
    <w:rsid w:val="00205CB6"/>
    <w:rsid w:val="00206D5F"/>
    <w:rsid w:val="00231107"/>
    <w:rsid w:val="002366CF"/>
    <w:rsid w:val="0024300F"/>
    <w:rsid w:val="002707B1"/>
    <w:rsid w:val="00291D51"/>
    <w:rsid w:val="00293724"/>
    <w:rsid w:val="002A4AD8"/>
    <w:rsid w:val="002A4CB0"/>
    <w:rsid w:val="002B4955"/>
    <w:rsid w:val="002B6549"/>
    <w:rsid w:val="002C2CEF"/>
    <w:rsid w:val="002C45C9"/>
    <w:rsid w:val="002C4E85"/>
    <w:rsid w:val="002E3EFB"/>
    <w:rsid w:val="00300FB4"/>
    <w:rsid w:val="003043A4"/>
    <w:rsid w:val="00322F61"/>
    <w:rsid w:val="00336182"/>
    <w:rsid w:val="00342E6F"/>
    <w:rsid w:val="003452B0"/>
    <w:rsid w:val="00345419"/>
    <w:rsid w:val="00360385"/>
    <w:rsid w:val="00376EF6"/>
    <w:rsid w:val="00385085"/>
    <w:rsid w:val="00386528"/>
    <w:rsid w:val="00386B68"/>
    <w:rsid w:val="003A5E2D"/>
    <w:rsid w:val="003B3576"/>
    <w:rsid w:val="003B721D"/>
    <w:rsid w:val="003F465C"/>
    <w:rsid w:val="00400822"/>
    <w:rsid w:val="00441845"/>
    <w:rsid w:val="004660DF"/>
    <w:rsid w:val="004726F1"/>
    <w:rsid w:val="004857C8"/>
    <w:rsid w:val="004C4D2B"/>
    <w:rsid w:val="004D0311"/>
    <w:rsid w:val="004D1F2F"/>
    <w:rsid w:val="00503895"/>
    <w:rsid w:val="005239D4"/>
    <w:rsid w:val="00525028"/>
    <w:rsid w:val="00526623"/>
    <w:rsid w:val="00526A8E"/>
    <w:rsid w:val="00530757"/>
    <w:rsid w:val="00534E92"/>
    <w:rsid w:val="00536220"/>
    <w:rsid w:val="005427AC"/>
    <w:rsid w:val="00584F30"/>
    <w:rsid w:val="00586A8E"/>
    <w:rsid w:val="005927B6"/>
    <w:rsid w:val="005A506C"/>
    <w:rsid w:val="005A74DE"/>
    <w:rsid w:val="005E2894"/>
    <w:rsid w:val="0060723D"/>
    <w:rsid w:val="006224F4"/>
    <w:rsid w:val="006279ED"/>
    <w:rsid w:val="00650CA3"/>
    <w:rsid w:val="00656694"/>
    <w:rsid w:val="006847DA"/>
    <w:rsid w:val="006A25DD"/>
    <w:rsid w:val="006B26DE"/>
    <w:rsid w:val="00716508"/>
    <w:rsid w:val="00721734"/>
    <w:rsid w:val="007400B7"/>
    <w:rsid w:val="00753976"/>
    <w:rsid w:val="007572D8"/>
    <w:rsid w:val="007649AC"/>
    <w:rsid w:val="00772D1E"/>
    <w:rsid w:val="00795AB0"/>
    <w:rsid w:val="007974DA"/>
    <w:rsid w:val="007A2D66"/>
    <w:rsid w:val="007B03EA"/>
    <w:rsid w:val="007B29A9"/>
    <w:rsid w:val="007C2E37"/>
    <w:rsid w:val="007D7648"/>
    <w:rsid w:val="007E30C4"/>
    <w:rsid w:val="007F69F2"/>
    <w:rsid w:val="008170C7"/>
    <w:rsid w:val="00845396"/>
    <w:rsid w:val="0085400C"/>
    <w:rsid w:val="008A5062"/>
    <w:rsid w:val="008B3636"/>
    <w:rsid w:val="008B7043"/>
    <w:rsid w:val="008B7817"/>
    <w:rsid w:val="008B790A"/>
    <w:rsid w:val="008C5A35"/>
    <w:rsid w:val="00924DEC"/>
    <w:rsid w:val="00935000"/>
    <w:rsid w:val="00937BF5"/>
    <w:rsid w:val="00942721"/>
    <w:rsid w:val="00945C7C"/>
    <w:rsid w:val="00946125"/>
    <w:rsid w:val="00951B43"/>
    <w:rsid w:val="009762C9"/>
    <w:rsid w:val="009845A8"/>
    <w:rsid w:val="009A18F1"/>
    <w:rsid w:val="009A3C0A"/>
    <w:rsid w:val="009B26A0"/>
    <w:rsid w:val="009B46DD"/>
    <w:rsid w:val="009B7577"/>
    <w:rsid w:val="009C6726"/>
    <w:rsid w:val="009D4886"/>
    <w:rsid w:val="009D4E2B"/>
    <w:rsid w:val="009D4F56"/>
    <w:rsid w:val="00A032EE"/>
    <w:rsid w:val="00A054D1"/>
    <w:rsid w:val="00A0584E"/>
    <w:rsid w:val="00A06191"/>
    <w:rsid w:val="00A56CF3"/>
    <w:rsid w:val="00A77899"/>
    <w:rsid w:val="00A922CF"/>
    <w:rsid w:val="00A94192"/>
    <w:rsid w:val="00AC6418"/>
    <w:rsid w:val="00AE2C71"/>
    <w:rsid w:val="00AF2854"/>
    <w:rsid w:val="00B175C7"/>
    <w:rsid w:val="00B264CD"/>
    <w:rsid w:val="00B33B74"/>
    <w:rsid w:val="00B33BDA"/>
    <w:rsid w:val="00B35E40"/>
    <w:rsid w:val="00B378CC"/>
    <w:rsid w:val="00B41AEB"/>
    <w:rsid w:val="00B702DE"/>
    <w:rsid w:val="00B82400"/>
    <w:rsid w:val="00B86DDF"/>
    <w:rsid w:val="00B94613"/>
    <w:rsid w:val="00BA4154"/>
    <w:rsid w:val="00BA45A5"/>
    <w:rsid w:val="00BA5A79"/>
    <w:rsid w:val="00BB2BBA"/>
    <w:rsid w:val="00BB4793"/>
    <w:rsid w:val="00BB56A8"/>
    <w:rsid w:val="00BB682C"/>
    <w:rsid w:val="00BD48A8"/>
    <w:rsid w:val="00C10D99"/>
    <w:rsid w:val="00C47D05"/>
    <w:rsid w:val="00C523EE"/>
    <w:rsid w:val="00C57345"/>
    <w:rsid w:val="00C67413"/>
    <w:rsid w:val="00C72544"/>
    <w:rsid w:val="00C814D0"/>
    <w:rsid w:val="00C81B4C"/>
    <w:rsid w:val="00CA4297"/>
    <w:rsid w:val="00CC7214"/>
    <w:rsid w:val="00CF22EF"/>
    <w:rsid w:val="00D1736D"/>
    <w:rsid w:val="00D22A70"/>
    <w:rsid w:val="00D50036"/>
    <w:rsid w:val="00D53135"/>
    <w:rsid w:val="00D77DBA"/>
    <w:rsid w:val="00D81399"/>
    <w:rsid w:val="00D815E6"/>
    <w:rsid w:val="00DA4D94"/>
    <w:rsid w:val="00DA67E5"/>
    <w:rsid w:val="00DF36E7"/>
    <w:rsid w:val="00E040EA"/>
    <w:rsid w:val="00E11C0E"/>
    <w:rsid w:val="00E346B6"/>
    <w:rsid w:val="00E525E0"/>
    <w:rsid w:val="00E55A7F"/>
    <w:rsid w:val="00E566F5"/>
    <w:rsid w:val="00EA5441"/>
    <w:rsid w:val="00EB123E"/>
    <w:rsid w:val="00EB179A"/>
    <w:rsid w:val="00EB1994"/>
    <w:rsid w:val="00EB2613"/>
    <w:rsid w:val="00EB4A3E"/>
    <w:rsid w:val="00EE1C79"/>
    <w:rsid w:val="00EE2493"/>
    <w:rsid w:val="00F071AB"/>
    <w:rsid w:val="00F129C1"/>
    <w:rsid w:val="00F1487E"/>
    <w:rsid w:val="00F20F23"/>
    <w:rsid w:val="00F23B18"/>
    <w:rsid w:val="00F266D1"/>
    <w:rsid w:val="00F31270"/>
    <w:rsid w:val="00F34CB1"/>
    <w:rsid w:val="00F678C1"/>
    <w:rsid w:val="00F82AB4"/>
    <w:rsid w:val="00FB0EC9"/>
    <w:rsid w:val="00FE720C"/>
    <w:rsid w:val="00FF2606"/>
    <w:rsid w:val="051C614C"/>
    <w:rsid w:val="69F07AD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 w:type="paragraph" w:customStyle="1" w:styleId="xmsonormal">
    <w:name w:val="x_msonormal"/>
    <w:basedOn w:val="Normal"/>
    <w:rsid w:val="00004B8C"/>
    <w:pPr>
      <w:spacing w:after="0" w:line="240" w:lineRule="auto"/>
    </w:pPr>
    <w:rPr>
      <w:rFonts w:ascii="Calibri" w:hAnsi="Calibri" w:cs="Calibri"/>
      <w:sz w:val="22"/>
      <w:lang w:eastAsia="en-GB"/>
    </w:rPr>
  </w:style>
  <w:style w:type="paragraph" w:customStyle="1" w:styleId="xmsolistparagraph">
    <w:name w:val="x_msolistparagraph"/>
    <w:basedOn w:val="Normal"/>
    <w:rsid w:val="00004B8C"/>
    <w:pPr>
      <w:spacing w:after="0" w:line="240" w:lineRule="auto"/>
      <w:ind w:left="720"/>
    </w:pPr>
    <w:rPr>
      <w:rFonts w:ascii="Calibri" w:hAnsi="Calibri" w:cs="Calibri"/>
      <w:sz w:val="22"/>
      <w:lang w:eastAsia="en-GB"/>
    </w:rPr>
  </w:style>
  <w:style w:type="paragraph" w:customStyle="1" w:styleId="Default">
    <w:name w:val="Default"/>
    <w:rsid w:val="00530757"/>
    <w:pPr>
      <w:autoSpaceDE w:val="0"/>
      <w:autoSpaceDN w:val="0"/>
      <w:adjustRightInd w:val="0"/>
      <w:spacing w:after="0" w:line="240" w:lineRule="auto"/>
    </w:pPr>
    <w:rPr>
      <w:rFonts w:ascii="Verdana" w:hAnsi="Verdana" w:cs="Verdana"/>
      <w:color w:val="000000"/>
      <w:sz w:val="24"/>
      <w:szCs w:val="24"/>
    </w:rPr>
  </w:style>
  <w:style w:type="paragraph" w:styleId="BalloonText">
    <w:name w:val="Balloon Text"/>
    <w:basedOn w:val="Normal"/>
    <w:link w:val="BalloonTextChar"/>
    <w:uiPriority w:val="99"/>
    <w:semiHidden/>
    <w:unhideWhenUsed/>
    <w:rsid w:val="002366C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66CF"/>
    <w:rPr>
      <w:rFonts w:ascii="Segoe UI" w:hAnsi="Segoe UI" w:cs="Segoe UI"/>
      <w:sz w:val="18"/>
      <w:szCs w:val="18"/>
    </w:rPr>
  </w:style>
  <w:style w:type="paragraph" w:styleId="FootnoteText">
    <w:name w:val="footnote text"/>
    <w:aliases w:val="DTE-Voetnoottekst,Footnote Text Char1,Footnote Text Char Char,Footnote Text Char1 Char Char,Footnote Text Char Char Char Char,Footnote Text Char1 Char Char Char Char,Footnote Text Char Char Char Char Char Char,Car,ALTS FOOTNOTE,fn,ft Char"/>
    <w:basedOn w:val="Normal"/>
    <w:link w:val="FootnoteTextChar"/>
    <w:uiPriority w:val="99"/>
    <w:unhideWhenUsed/>
    <w:rsid w:val="00FE720C"/>
    <w:pPr>
      <w:spacing w:after="0" w:line="240" w:lineRule="auto"/>
      <w:ind w:left="170" w:hanging="170"/>
    </w:pPr>
    <w:rPr>
      <w:rFonts w:ascii="Calibri" w:hAnsi="Calibri"/>
      <w:color w:val="5A5A59"/>
      <w:sz w:val="16"/>
      <w:szCs w:val="20"/>
    </w:rPr>
  </w:style>
  <w:style w:type="character" w:customStyle="1" w:styleId="FootnoteTextChar">
    <w:name w:val="Footnote Text Char"/>
    <w:aliases w:val="DTE-Voetnoottekst Char,Footnote Text Char1 Char,Footnote Text Char Char Char,Footnote Text Char1 Char Char Char,Footnote Text Char Char Char Char Char,Footnote Text Char1 Char Char Char Char Char,Car Char,ALTS FOOTNOTE Char,fn Char"/>
    <w:basedOn w:val="DefaultParagraphFont"/>
    <w:link w:val="FootnoteText"/>
    <w:uiPriority w:val="99"/>
    <w:rsid w:val="00FE720C"/>
    <w:rPr>
      <w:rFonts w:ascii="Calibri" w:hAnsi="Calibri"/>
      <w:color w:val="5A5A59"/>
      <w:sz w:val="16"/>
      <w:szCs w:val="20"/>
    </w:rPr>
  </w:style>
  <w:style w:type="character" w:styleId="FootnoteReference">
    <w:name w:val="footnote reference"/>
    <w:aliases w:val="Appel note de bas de p,fr,o,ABA Footnote Reference,fr 2, Codata voetnootmarkering,Footnote Reference Superscript,Codata voetnootmarkering,~FootnoteRef,EN Footnote Reference,Style 13,~FootnoteReference,SUPERS,BVI fnr,Footnote symbol,No"/>
    <w:basedOn w:val="DefaultParagraphFont"/>
    <w:uiPriority w:val="99"/>
    <w:unhideWhenUsed/>
    <w:rsid w:val="00FE720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217397188">
      <w:bodyDiv w:val="1"/>
      <w:marLeft w:val="0"/>
      <w:marRight w:val="0"/>
      <w:marTop w:val="0"/>
      <w:marBottom w:val="0"/>
      <w:divBdr>
        <w:top w:val="none" w:sz="0" w:space="0" w:color="auto"/>
        <w:left w:val="none" w:sz="0" w:space="0" w:color="auto"/>
        <w:bottom w:val="none" w:sz="0" w:space="0" w:color="auto"/>
        <w:right w:val="none" w:sz="0" w:space="0" w:color="auto"/>
      </w:divBdr>
    </w:div>
    <w:div w:id="1584488989">
      <w:bodyDiv w:val="1"/>
      <w:marLeft w:val="0"/>
      <w:marRight w:val="0"/>
      <w:marTop w:val="0"/>
      <w:marBottom w:val="0"/>
      <w:divBdr>
        <w:top w:val="none" w:sz="0" w:space="0" w:color="auto"/>
        <w:left w:val="none" w:sz="0" w:space="0" w:color="auto"/>
        <w:bottom w:val="none" w:sz="0" w:space="0" w:color="auto"/>
        <w:right w:val="none" w:sz="0" w:space="0" w:color="auto"/>
      </w:divBdr>
    </w:div>
    <w:div w:id="1869297207">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ca9306fc-8436-45f0-b931-e34f519be3a3" ContentTypeId="0x01010032640DAD0EFF63499F40C6F300FF9AAD" PreviousValue="tru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Select Content Type" ma:contentTypeID="0x01010032640DAD0EFF63499F40C6F300FF9AAD00123D5A5992A1A14CBB089F7FB8774E59" ma:contentTypeVersion="10" ma:contentTypeDescription="Select Content Type from drop-down above" ma:contentTypeScope="" ma:versionID="a3cd2b5df241df84d381fa7c7cb0d9b3">
  <xsd:schema xmlns:xsd="http://www.w3.org/2001/XMLSchema" xmlns:xs="http://www.w3.org/2001/XMLSchema" xmlns:p="http://schemas.microsoft.com/office/2006/metadata/properties" xmlns:ns2="631298fc-6a88-4548-b7d9-3b164918c4a3" targetNamespace="http://schemas.microsoft.com/office/2006/metadata/properties" ma:root="true" ma:fieldsID="603670f83f03641ab2f338f54c6036db" ns2:_="">
    <xsd:import namespace="631298fc-6a88-4548-b7d9-3b164918c4a3"/>
    <xsd:element name="properties">
      <xsd:complexType>
        <xsd:sequence>
          <xsd:element name="documentManagement">
            <xsd:complexType>
              <xsd:all>
                <xsd:element ref="ns2:Select_x0020_Content_x0020_Type_x0020_Above" minOccurs="0"/>
                <xsd:element ref="ns2:Classification" minOccurs="0"/>
                <xsd:element ref="ns2: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Select_x0020_Content_x0020_Type_x0020_Above" ma:index="1" nillable="true" ma:displayName="Select Content Type Above" ma:description="Ensure you select the correct Content Type" ma:hidden="true" ma:internalName="Select_x0020_Content_x0020_Type_x0020_Above" ma:readOnly="false">
      <xsd:simpleType>
        <xsd:restriction base="dms:Text">
          <xsd:maxLength value="1"/>
        </xsd:restriction>
      </xsd:simpleType>
    </xsd:element>
    <xsd:element name="Classification" ma:index="3"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4"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Descriptor xmlns="631298fc-6a88-4548-b7d9-3b164918c4a3">Commercial</Descriptor>
    <Classification xmlns="631298fc-6a88-4548-b7d9-3b164918c4a3">Protect</Classification>
    <Select_x0020_Content_x0020_Type_x0020_Above xmlns="631298fc-6a88-4548-b7d9-3b164918c4a3" xsi:nil="true"/>
  </documentManagement>
</p:properties>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8F1AB2A2-6CED-4278-84C9-35A8A33CC4DA}">
  <ds:schemaRefs>
    <ds:schemaRef ds:uri="Microsoft.SharePoint.Taxonomy.ContentTypeSync"/>
  </ds:schemaRefs>
</ds:datastoreItem>
</file>

<file path=customXml/itemProps2.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3.xml><?xml version="1.0" encoding="utf-8"?>
<ds:datastoreItem xmlns:ds="http://schemas.openxmlformats.org/officeDocument/2006/customXml" ds:itemID="{E84E34EA-C791-44BB-A056-19EF0CA15C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ADD9686-A806-4D0B-BBC0-71266FA194C8}">
  <ds:schemaRefs>
    <ds:schemaRef ds:uri="http://purl.org/dc/elements/1.1/"/>
    <ds:schemaRef ds:uri="http://schemas.microsoft.com/office/2006/metadata/properties"/>
    <ds:schemaRef ds:uri="http://purl.org/dc/dcmitype/"/>
    <ds:schemaRef ds:uri="http://schemas.microsoft.com/office/2006/documentManagement/types"/>
    <ds:schemaRef ds:uri="http://www.w3.org/XML/1998/namespace"/>
    <ds:schemaRef ds:uri="http://schemas.microsoft.com/office/infopath/2007/PartnerControls"/>
    <ds:schemaRef ds:uri="http://schemas.openxmlformats.org/package/2006/metadata/core-properties"/>
    <ds:schemaRef ds:uri="631298fc-6a88-4548-b7d9-3b164918c4a3"/>
    <ds:schemaRef ds:uri="http://purl.org/dc/terms/"/>
  </ds:schemaRefs>
</ds:datastoreItem>
</file>

<file path=customXml/itemProps5.xml><?xml version="1.0" encoding="utf-8"?>
<ds:datastoreItem xmlns:ds="http://schemas.openxmlformats.org/officeDocument/2006/customXml" ds:itemID="{9152A4F9-BAA1-4C3E-ABE1-C8F0DC484145}">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2345</TotalTime>
  <Pages>2</Pages>
  <Words>718</Words>
  <Characters>4095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4804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revision>11</cp:revision>
  <dcterms:created xsi:type="dcterms:W3CDTF">2021-01-05T13:59:00Z</dcterms:created>
  <dcterms:modified xsi:type="dcterms:W3CDTF">2021-01-20T14:07:00Z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0x01010032640DAD0EFF63499F40C6F300FF9AAD00123D5A5992A1A14CBB089F7FB8774E59</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Importance">
    <vt:lpwstr/>
  </property>
  <property fmtid="{D5CDD505-2E9C-101B-9397-08002B2CF9AE}" pid="18" name="DLCPolicyLabelClientValue">
    <vt:lpwstr>Version : {_Version}</vt:lpwstr>
  </property>
  <property fmtid="{D5CDD505-2E9C-101B-9397-08002B2CF9AE}" pid="19" name="Project Name">
    <vt:lpwstr/>
  </property>
  <property fmtid="{D5CDD505-2E9C-101B-9397-08002B2CF9AE}" pid="20" name="Applicable Start Date">
    <vt:filetime>2014-03-30T23:00:00Z</vt:filetime>
  </property>
  <property fmtid="{D5CDD505-2E9C-101B-9397-08002B2CF9AE}" pid="21" name="Organisation">
    <vt:lpwstr>Electricity North West</vt:lpwstr>
  </property>
  <property fmtid="{D5CDD505-2E9C-101B-9397-08002B2CF9AE}" pid="22" name="Publication Date:">
    <vt:filetime>2015-07-28T10:49:18Z</vt:filetime>
  </property>
  <property fmtid="{D5CDD505-2E9C-101B-9397-08002B2CF9AE}" pid="23" name="Applicable Duration">
    <vt:lpwstr>-</vt:lpwstr>
  </property>
  <property fmtid="{D5CDD505-2E9C-101B-9397-08002B2CF9AE}" pid="24" name="Descriptor">
    <vt:lpwstr>Commercial</vt:lpwstr>
  </property>
  <property fmtid="{D5CDD505-2E9C-101B-9397-08002B2CF9AE}" pid="25" name="Meeting Date">
    <vt:filetime>2014-03-30T23:00:00Z</vt:filetime>
  </property>
  <property fmtid="{D5CDD505-2E9C-101B-9397-08002B2CF9AE}" pid="26" name="Classification">
    <vt:lpwstr>Protect</vt:lpwstr>
  </property>
  <property fmtid="{D5CDD505-2E9C-101B-9397-08002B2CF9AE}" pid="27" name="::">
    <vt:lpwstr>-Main Document</vt:lpwstr>
  </property>
  <property fmtid="{D5CDD505-2E9C-101B-9397-08002B2CF9AE}" pid="28" name="docIndexRef">
    <vt:lpwstr>f6ca1dd2-719a-4b85-a410-f2067eacc0e5</vt:lpwstr>
  </property>
  <property fmtid="{D5CDD505-2E9C-101B-9397-08002B2CF9AE}" pid="29" name="bjSaver">
    <vt:lpwstr>cO6pzpUHHXPLEMTsVieuWYRDJs0nJL8f</vt:lpwstr>
  </property>
  <property fmtid="{D5CDD505-2E9C-101B-9397-08002B2CF9AE}" pid="30" name="BJSCSummaryMarking">
    <vt:lpwstr>This item has no classification</vt:lpwstr>
  </property>
  <property fmtid="{D5CDD505-2E9C-101B-9397-08002B2CF9AE}" pid="31"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2" name="BJSCc5a055b0-1bed-4579_x">
    <vt:lpwstr/>
  </property>
  <property fmtid="{D5CDD505-2E9C-101B-9397-08002B2CF9AE}" pid="33" name="BJSCdd9eba61-d6b9-469b_x">
    <vt:lpwstr/>
  </property>
  <property fmtid="{D5CDD505-2E9C-101B-9397-08002B2CF9AE}" pid="34" name="bjDocumentSecurityLabel">
    <vt:lpwstr>This item has no classification</vt:lpwstr>
  </property>
  <property fmtid="{D5CDD505-2E9C-101B-9397-08002B2CF9AE}" pid="35" name="MSIP_Label_7a28ff59-1dd3-406f-be87-f82473b549be_Enabled">
    <vt:lpwstr>True</vt:lpwstr>
  </property>
  <property fmtid="{D5CDD505-2E9C-101B-9397-08002B2CF9AE}" pid="36" name="MSIP_Label_7a28ff59-1dd3-406f-be87-f82473b549be_SiteId">
    <vt:lpwstr>de0d74aa-9914-4bb9-9235-fbefe83b1769</vt:lpwstr>
  </property>
  <property fmtid="{D5CDD505-2E9C-101B-9397-08002B2CF9AE}" pid="37" name="MSIP_Label_7a28ff59-1dd3-406f-be87-f82473b549be_Owner">
    <vt:lpwstr>Yvonne.Reid-Healy@cadentgas.com</vt:lpwstr>
  </property>
  <property fmtid="{D5CDD505-2E9C-101B-9397-08002B2CF9AE}" pid="38" name="MSIP_Label_7a28ff59-1dd3-406f-be87-f82473b549be_SetDate">
    <vt:lpwstr>2020-01-24T13:37:08.5127760Z</vt:lpwstr>
  </property>
  <property fmtid="{D5CDD505-2E9C-101B-9397-08002B2CF9AE}" pid="39" name="MSIP_Label_7a28ff59-1dd3-406f-be87-f82473b549be_Name">
    <vt:lpwstr>Cadent - Official</vt:lpwstr>
  </property>
  <property fmtid="{D5CDD505-2E9C-101B-9397-08002B2CF9AE}" pid="40" name="MSIP_Label_7a28ff59-1dd3-406f-be87-f82473b549be_Application">
    <vt:lpwstr>Microsoft Azure Information Protection</vt:lpwstr>
  </property>
  <property fmtid="{D5CDD505-2E9C-101B-9397-08002B2CF9AE}" pid="41" name="MSIP_Label_7a28ff59-1dd3-406f-be87-f82473b549be_Extended_MSFT_Method">
    <vt:lpwstr>Automatic</vt:lpwstr>
  </property>
  <property fmtid="{D5CDD505-2E9C-101B-9397-08002B2CF9AE}" pid="42" name="Sensitivity">
    <vt:lpwstr>Cadent - Official</vt:lpwstr>
  </property>
  <property fmtid="{D5CDD505-2E9C-101B-9397-08002B2CF9AE}" pid="43" name="bjClsUserRVM">
    <vt:lpwstr>[]</vt:lpwstr>
  </property>
  <property fmtid="{D5CDD505-2E9C-101B-9397-08002B2CF9AE}" pid="44" name="MSIP_Label_2b73dd0b-afe1-4a46-943f-1bdb914b8a49_Enabled">
    <vt:lpwstr>true</vt:lpwstr>
  </property>
  <property fmtid="{D5CDD505-2E9C-101B-9397-08002B2CF9AE}" pid="45" name="MSIP_Label_2b73dd0b-afe1-4a46-943f-1bdb914b8a49_SetDate">
    <vt:lpwstr>2020-12-10T21:00:04Z</vt:lpwstr>
  </property>
  <property fmtid="{D5CDD505-2E9C-101B-9397-08002B2CF9AE}" pid="46" name="MSIP_Label_2b73dd0b-afe1-4a46-943f-1bdb914b8a49_Method">
    <vt:lpwstr>Standard</vt:lpwstr>
  </property>
  <property fmtid="{D5CDD505-2E9C-101B-9397-08002B2CF9AE}" pid="47" name="MSIP_Label_2b73dd0b-afe1-4a46-943f-1bdb914b8a49_Name">
    <vt:lpwstr>Internal</vt:lpwstr>
  </property>
  <property fmtid="{D5CDD505-2E9C-101B-9397-08002B2CF9AE}" pid="48" name="MSIP_Label_2b73dd0b-afe1-4a46-943f-1bdb914b8a49_SiteId">
    <vt:lpwstr>b9563cbc-9874-41ab-b448-7e0f61aff3eb</vt:lpwstr>
  </property>
  <property fmtid="{D5CDD505-2E9C-101B-9397-08002B2CF9AE}" pid="49" name="MSIP_Label_2b73dd0b-afe1-4a46-943f-1bdb914b8a49_ActionId">
    <vt:lpwstr>744a0660-0faf-4336-b578-00004c4bec3f</vt:lpwstr>
  </property>
  <property fmtid="{D5CDD505-2E9C-101B-9397-08002B2CF9AE}" pid="50" name="MSIP_Label_2b73dd0b-afe1-4a46-943f-1bdb914b8a49_ContentBits">
    <vt:lpwstr>2</vt:lpwstr>
  </property>
</Properties>
</file>