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7069"/>
        <w:gridCol w:w="227"/>
      </w:tblGrid>
      <w:tr w:rsidR="00133BD9" w:rsidRPr="00876240" w14:paraId="18460F49"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28E94698"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6FF8B052"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52C523BB"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1D365B11"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32912F81"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D82921"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E927C"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p>
        </w:tc>
      </w:tr>
      <w:tr w:rsidR="00EA1559" w:rsidRPr="00EA1559" w14:paraId="6C4180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4950619C"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BD6D9F"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233F56"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p>
        </w:tc>
      </w:tr>
      <w:tr w:rsidR="00EA1559" w:rsidRPr="00EA1559" w14:paraId="66CA0FA6"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7DE8E65"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0988F1"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D74DA2"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0A1BA3A1"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0C73E4D"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ADF88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B2308F5" w14:textId="77777777" w:rsidR="00EA1559" w:rsidRPr="00DB4D31" w:rsidRDefault="00822450">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Repair add-back re disallowed Repex workload </w:t>
            </w:r>
            <w:r w:rsidR="009C3EAE">
              <w:rPr>
                <w:rFonts w:ascii="Verdana" w:hAnsi="Verdana"/>
                <w:sz w:val="20"/>
                <w:szCs w:val="20"/>
                <w:lang w:eastAsia="en-US"/>
              </w:rPr>
              <w:t>-errors</w:t>
            </w:r>
          </w:p>
        </w:tc>
      </w:tr>
      <w:tr w:rsidR="00EA1559" w:rsidRPr="00EA1559" w14:paraId="5C2BF13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1611E72"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D9D5C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0EB0F61" w14:textId="77777777" w:rsidR="004C05AA" w:rsidRDefault="004C05AA" w:rsidP="004C05AA">
            <w:pPr>
              <w:spacing w:after="0" w:line="240" w:lineRule="auto"/>
              <w:rPr>
                <w:rFonts w:eastAsia="Times New Roman"/>
              </w:rPr>
            </w:pPr>
          </w:p>
          <w:p w14:paraId="04B9DF26" w14:textId="77777777" w:rsidR="00822450" w:rsidRDefault="00DB4D31" w:rsidP="004C05AA">
            <w:pPr>
              <w:spacing w:after="0" w:line="240" w:lineRule="auto"/>
              <w:rPr>
                <w:rFonts w:eastAsia="Times New Roman"/>
              </w:rPr>
            </w:pPr>
            <w:r>
              <w:rPr>
                <w:rFonts w:eastAsia="Times New Roman"/>
              </w:rPr>
              <w:t xml:space="preserve">At </w:t>
            </w:r>
            <w:r w:rsidR="00822450">
              <w:rPr>
                <w:rFonts w:eastAsia="Times New Roman"/>
              </w:rPr>
              <w:t>F</w:t>
            </w:r>
            <w:r>
              <w:rPr>
                <w:rFonts w:eastAsia="Times New Roman"/>
              </w:rPr>
              <w:t xml:space="preserve">D Ofgem made </w:t>
            </w:r>
            <w:r w:rsidR="00822450">
              <w:rPr>
                <w:rFonts w:eastAsia="Times New Roman"/>
              </w:rPr>
              <w:t xml:space="preserve">adjustments to uplift Repair costs in the Normalisation files to reflect the increase in Repair costs associated with the disallowance of Repex workload. </w:t>
            </w:r>
          </w:p>
          <w:p w14:paraId="69B25F49" w14:textId="77777777" w:rsidR="009C3EAE" w:rsidRDefault="009C3EAE" w:rsidP="004C05AA">
            <w:pPr>
              <w:spacing w:after="0" w:line="240" w:lineRule="auto"/>
              <w:rPr>
                <w:rFonts w:eastAsia="Times New Roman"/>
              </w:rPr>
            </w:pPr>
          </w:p>
          <w:p w14:paraId="7AFE7358" w14:textId="77777777" w:rsidR="009C3EAE" w:rsidRDefault="009C3EAE" w:rsidP="004C05AA">
            <w:pPr>
              <w:spacing w:after="0" w:line="240" w:lineRule="auto"/>
              <w:rPr>
                <w:rFonts w:eastAsia="Times New Roman"/>
              </w:rPr>
            </w:pPr>
            <w:r>
              <w:rPr>
                <w:rFonts w:eastAsia="Times New Roman"/>
              </w:rPr>
              <w:t>We have identified 3 errors associated with the add-backs:</w:t>
            </w:r>
          </w:p>
          <w:p w14:paraId="0E9BF287" w14:textId="77777777" w:rsidR="009C3EAE" w:rsidRDefault="009C3EAE" w:rsidP="009C3EAE">
            <w:pPr>
              <w:spacing w:after="0" w:line="240" w:lineRule="auto"/>
              <w:rPr>
                <w:rFonts w:eastAsia="Times New Roman"/>
              </w:rPr>
            </w:pPr>
          </w:p>
          <w:p w14:paraId="0FB3ECC1" w14:textId="77777777" w:rsidR="009C3EAE" w:rsidRDefault="009C3EAE" w:rsidP="009C3EAE">
            <w:pPr>
              <w:pStyle w:val="ListParagraph"/>
              <w:numPr>
                <w:ilvl w:val="0"/>
                <w:numId w:val="8"/>
              </w:numPr>
              <w:spacing w:after="0" w:line="240" w:lineRule="auto"/>
              <w:rPr>
                <w:rFonts w:eastAsia="Times New Roman"/>
              </w:rPr>
            </w:pPr>
            <w:r>
              <w:rPr>
                <w:rFonts w:eastAsia="Times New Roman"/>
              </w:rPr>
              <w:t>WWU has no add-back despite the WWU Annex (page 19) showing disallowed Repex workloads</w:t>
            </w:r>
            <w:r w:rsidR="00213367">
              <w:rPr>
                <w:rFonts w:eastAsia="Times New Roman"/>
              </w:rPr>
              <w:t xml:space="preserve">, which should cause additional Repair workload and consequently an add-back.  </w:t>
            </w:r>
            <w:r>
              <w:rPr>
                <w:rFonts w:eastAsia="Times New Roman"/>
              </w:rPr>
              <w:t>This impacts all GDNs given that WWU appears to influence the efficient costs benchmark.</w:t>
            </w:r>
          </w:p>
          <w:p w14:paraId="048E5513" w14:textId="77777777" w:rsidR="00213367" w:rsidRDefault="00213367" w:rsidP="00213367">
            <w:pPr>
              <w:pStyle w:val="ListParagraph"/>
              <w:spacing w:after="0" w:line="240" w:lineRule="auto"/>
              <w:rPr>
                <w:rFonts w:eastAsia="Times New Roman"/>
              </w:rPr>
            </w:pPr>
          </w:p>
          <w:p w14:paraId="63626CC7" w14:textId="1E940229" w:rsidR="009C3EAE" w:rsidRDefault="009C3EAE" w:rsidP="009C3EAE">
            <w:pPr>
              <w:pStyle w:val="ListParagraph"/>
              <w:numPr>
                <w:ilvl w:val="0"/>
                <w:numId w:val="8"/>
              </w:numPr>
              <w:spacing w:after="0" w:line="240" w:lineRule="auto"/>
              <w:rPr>
                <w:rFonts w:eastAsia="Times New Roman"/>
              </w:rPr>
            </w:pPr>
            <w:r>
              <w:rPr>
                <w:rFonts w:eastAsia="Times New Roman"/>
              </w:rPr>
              <w:t xml:space="preserve">The adjustments for NW and WM GDNs </w:t>
            </w:r>
            <w:r w:rsidR="00E664E8">
              <w:rPr>
                <w:rFonts w:eastAsia="Times New Roman"/>
              </w:rPr>
              <w:t>are</w:t>
            </w:r>
            <w:r>
              <w:rPr>
                <w:rFonts w:eastAsia="Times New Roman"/>
              </w:rPr>
              <w:t xml:space="preserve"> incorrect, as they are held at the exact same amount for each year of the RIIO-2 period, unlike other GDNs.  The adjustments are shown below.</w:t>
            </w:r>
          </w:p>
          <w:p w14:paraId="51F3F4F2" w14:textId="77777777" w:rsidR="009C3EAE" w:rsidRDefault="009C3EAE" w:rsidP="009C3EAE">
            <w:pPr>
              <w:pStyle w:val="ListParagraph"/>
              <w:spacing w:after="0" w:line="240" w:lineRule="auto"/>
              <w:rPr>
                <w:rFonts w:eastAsia="Times New Roman"/>
              </w:rPr>
            </w:pPr>
          </w:p>
          <w:p w14:paraId="1708BBE9" w14:textId="77777777" w:rsidR="009C3EAE" w:rsidRDefault="009C3EAE" w:rsidP="009C3EAE">
            <w:pPr>
              <w:pStyle w:val="ListParagraph"/>
              <w:spacing w:after="0" w:line="240" w:lineRule="auto"/>
              <w:rPr>
                <w:rFonts w:eastAsia="Times New Roman"/>
              </w:rPr>
            </w:pPr>
            <w:r w:rsidRPr="009C3EAE">
              <w:rPr>
                <w:rFonts w:eastAsia="Times New Roman"/>
                <w:noProof/>
              </w:rPr>
              <w:drawing>
                <wp:inline distT="0" distB="0" distL="0" distR="0" wp14:anchorId="61EA0AFD" wp14:editId="6AB47149">
                  <wp:extent cx="4030980" cy="20193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30980" cy="2019300"/>
                          </a:xfrm>
                          <a:prstGeom prst="rect">
                            <a:avLst/>
                          </a:prstGeom>
                          <a:noFill/>
                          <a:ln>
                            <a:noFill/>
                          </a:ln>
                        </pic:spPr>
                      </pic:pic>
                    </a:graphicData>
                  </a:graphic>
                </wp:inline>
              </w:drawing>
            </w:r>
          </w:p>
          <w:p w14:paraId="451DA4DF" w14:textId="77777777" w:rsidR="009C3EAE" w:rsidRDefault="009C3EAE" w:rsidP="009C3EAE">
            <w:pPr>
              <w:pStyle w:val="ListParagraph"/>
              <w:spacing w:after="0" w:line="240" w:lineRule="auto"/>
              <w:rPr>
                <w:rFonts w:eastAsia="Times New Roman"/>
              </w:rPr>
            </w:pPr>
          </w:p>
          <w:p w14:paraId="1D4AE6F1" w14:textId="77777777" w:rsidR="009C3EAE" w:rsidRPr="009C3EAE" w:rsidRDefault="009C3EAE" w:rsidP="009C3EAE">
            <w:pPr>
              <w:pStyle w:val="ListParagraph"/>
              <w:numPr>
                <w:ilvl w:val="0"/>
                <w:numId w:val="8"/>
              </w:numPr>
              <w:spacing w:after="0" w:line="240" w:lineRule="auto"/>
              <w:rPr>
                <w:rFonts w:eastAsia="Times New Roman"/>
              </w:rPr>
            </w:pPr>
            <w:r>
              <w:rPr>
                <w:rFonts w:eastAsia="Times New Roman"/>
              </w:rPr>
              <w:t>The Repair adjustment has only been made to Normalised Repair costs - no adjustment has been made to workload as measured by the number of Reports.  This is incorrect because the adjustment is in respect of additional work.  Furthermore, it distorts the regression because Reports are a component part of the CSV.</w:t>
            </w:r>
          </w:p>
          <w:p w14:paraId="5D8A5C8D" w14:textId="77777777" w:rsidR="00822450" w:rsidRDefault="00822450" w:rsidP="004C05AA">
            <w:pPr>
              <w:spacing w:after="0" w:line="240" w:lineRule="auto"/>
              <w:rPr>
                <w:rFonts w:eastAsia="Times New Roman"/>
              </w:rPr>
            </w:pPr>
          </w:p>
          <w:p w14:paraId="200D857C" w14:textId="77777777" w:rsidR="006879C2" w:rsidRDefault="006879C2" w:rsidP="004C05AA">
            <w:pPr>
              <w:spacing w:after="0" w:line="240" w:lineRule="auto"/>
              <w:rPr>
                <w:rFonts w:eastAsia="Times New Roman"/>
              </w:rPr>
            </w:pPr>
            <w:r>
              <w:rPr>
                <w:rFonts w:eastAsia="Times New Roman"/>
              </w:rPr>
              <w:t xml:space="preserve">Please could Ofgem acknowledge each of these errors, and </w:t>
            </w:r>
            <w:r w:rsidR="00213367">
              <w:rPr>
                <w:rFonts w:eastAsia="Times New Roman"/>
              </w:rPr>
              <w:t xml:space="preserve">the proposed </w:t>
            </w:r>
            <w:r>
              <w:rPr>
                <w:rFonts w:eastAsia="Times New Roman"/>
              </w:rPr>
              <w:t xml:space="preserve">solutions. </w:t>
            </w:r>
          </w:p>
          <w:p w14:paraId="41C6ADFA" w14:textId="77777777" w:rsidR="006879C2" w:rsidRDefault="006879C2" w:rsidP="004C05AA">
            <w:pPr>
              <w:spacing w:after="0" w:line="240" w:lineRule="auto"/>
              <w:rPr>
                <w:rFonts w:eastAsia="Times New Roman"/>
              </w:rPr>
            </w:pPr>
          </w:p>
          <w:p w14:paraId="7E0D380B" w14:textId="77777777" w:rsidR="00BA0306" w:rsidRPr="00EA1559" w:rsidRDefault="00BA0306" w:rsidP="00822450">
            <w:pPr>
              <w:spacing w:after="0" w:line="240" w:lineRule="auto"/>
              <w:rPr>
                <w:szCs w:val="20"/>
              </w:rPr>
            </w:pPr>
          </w:p>
        </w:tc>
      </w:tr>
      <w:tr w:rsidR="00EA1559" w:rsidRPr="00EA1559" w14:paraId="474C70E7"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CD272BA"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7FA93"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4AB4D"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3043B953"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5A943624" w14:textId="77777777" w:rsidR="00EA1559" w:rsidRPr="00EA1559" w:rsidRDefault="00EA1559">
            <w:pPr>
              <w:rPr>
                <w:rFonts w:ascii="Calibri" w:hAnsi="Calibri"/>
                <w:sz w:val="22"/>
              </w:rPr>
            </w:pPr>
            <w:r w:rsidRPr="00EA1559">
              <w:lastRenderedPageBreak/>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EDF652"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E0F6933" w14:textId="77777777" w:rsidR="00EA1559" w:rsidRPr="00EA1559" w:rsidRDefault="004C05AA">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w:t>
            </w:r>
            <w:r w:rsidR="00572DD8">
              <w:rPr>
                <w:rFonts w:ascii="Verdana" w:hAnsi="Verdana"/>
                <w:sz w:val="20"/>
                <w:szCs w:val="20"/>
                <w:lang w:eastAsia="en-US"/>
              </w:rPr>
              <w:t>m</w:t>
            </w:r>
            <w:r>
              <w:rPr>
                <w:rFonts w:ascii="Verdana" w:hAnsi="Verdana"/>
                <w:sz w:val="20"/>
                <w:szCs w:val="20"/>
                <w:lang w:eastAsia="en-US"/>
              </w:rPr>
              <w:t>son</w:t>
            </w:r>
          </w:p>
        </w:tc>
      </w:tr>
      <w:tr w:rsidR="00EA1559" w:rsidRPr="00EA1559" w14:paraId="36EE7E0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1297002"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BAC1D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0AA0E2C" w14:textId="77777777" w:rsidR="00EA1559" w:rsidRPr="00EA1559" w:rsidRDefault="006879C2">
            <w:pPr>
              <w:pStyle w:val="NormalWeb"/>
              <w:spacing w:after="200" w:afterAutospacing="0" w:line="276" w:lineRule="auto"/>
              <w:rPr>
                <w:rFonts w:ascii="Verdana" w:hAnsi="Verdana"/>
                <w:sz w:val="20"/>
                <w:szCs w:val="20"/>
                <w:lang w:eastAsia="en-US"/>
              </w:rPr>
            </w:pPr>
            <w:r>
              <w:rPr>
                <w:rFonts w:ascii="Verdana" w:hAnsi="Verdana"/>
                <w:sz w:val="20"/>
                <w:szCs w:val="20"/>
                <w:lang w:eastAsia="en-US"/>
              </w:rPr>
              <w:t>05</w:t>
            </w:r>
            <w:r w:rsidR="0000155F">
              <w:rPr>
                <w:rFonts w:ascii="Verdana" w:hAnsi="Verdana"/>
                <w:sz w:val="20"/>
                <w:szCs w:val="20"/>
                <w:lang w:eastAsia="en-US"/>
              </w:rPr>
              <w:t>/</w:t>
            </w:r>
            <w:r>
              <w:rPr>
                <w:rFonts w:ascii="Verdana" w:hAnsi="Verdana"/>
                <w:sz w:val="20"/>
                <w:szCs w:val="20"/>
                <w:lang w:eastAsia="en-US"/>
              </w:rPr>
              <w:t>01</w:t>
            </w:r>
            <w:r w:rsidR="0000155F">
              <w:rPr>
                <w:rFonts w:ascii="Verdana" w:hAnsi="Verdana"/>
                <w:sz w:val="20"/>
                <w:szCs w:val="20"/>
                <w:lang w:eastAsia="en-US"/>
              </w:rPr>
              <w:t>/202</w:t>
            </w:r>
            <w:r>
              <w:rPr>
                <w:rFonts w:ascii="Verdana" w:hAnsi="Verdana"/>
                <w:sz w:val="20"/>
                <w:szCs w:val="20"/>
                <w:lang w:eastAsia="en-US"/>
              </w:rPr>
              <w:t>1</w:t>
            </w:r>
          </w:p>
        </w:tc>
      </w:tr>
      <w:tr w:rsidR="00EA1559" w:rsidRPr="00EA1559" w14:paraId="394EA15D"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664EC43"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C8C8D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9CEB04E" w14:textId="77777777" w:rsidR="00EA1559" w:rsidRPr="00EA1559" w:rsidRDefault="00822450">
            <w:pPr>
              <w:pStyle w:val="NormalWeb"/>
              <w:spacing w:after="200" w:afterAutospacing="0" w:line="276" w:lineRule="auto"/>
              <w:rPr>
                <w:rFonts w:ascii="Verdana" w:hAnsi="Verdana"/>
                <w:sz w:val="20"/>
                <w:szCs w:val="20"/>
                <w:lang w:eastAsia="en-US"/>
              </w:rPr>
            </w:pPr>
            <w:r>
              <w:rPr>
                <w:rFonts w:ascii="Verdana" w:hAnsi="Verdana"/>
                <w:sz w:val="20"/>
                <w:szCs w:val="20"/>
                <w:lang w:eastAsia="en-US"/>
              </w:rPr>
              <w:t>0</w:t>
            </w:r>
            <w:r w:rsidR="006879C2">
              <w:rPr>
                <w:rFonts w:ascii="Verdana" w:hAnsi="Verdana"/>
                <w:sz w:val="20"/>
                <w:szCs w:val="20"/>
                <w:lang w:eastAsia="en-US"/>
              </w:rPr>
              <w:t>8</w:t>
            </w:r>
            <w:r w:rsidR="0000155F">
              <w:rPr>
                <w:rFonts w:ascii="Verdana" w:hAnsi="Verdana"/>
                <w:sz w:val="20"/>
                <w:szCs w:val="20"/>
                <w:lang w:eastAsia="en-US"/>
              </w:rPr>
              <w:t>/</w:t>
            </w:r>
            <w:r>
              <w:rPr>
                <w:rFonts w:ascii="Verdana" w:hAnsi="Verdana"/>
                <w:sz w:val="20"/>
                <w:szCs w:val="20"/>
                <w:lang w:eastAsia="en-US"/>
              </w:rPr>
              <w:t>0</w:t>
            </w:r>
            <w:r w:rsidR="00A32301">
              <w:rPr>
                <w:rFonts w:ascii="Verdana" w:hAnsi="Verdana"/>
                <w:sz w:val="20"/>
                <w:szCs w:val="20"/>
                <w:lang w:eastAsia="en-US"/>
              </w:rPr>
              <w:t>1</w:t>
            </w:r>
            <w:r w:rsidR="0000155F">
              <w:rPr>
                <w:rFonts w:ascii="Verdana" w:hAnsi="Verdana"/>
                <w:sz w:val="20"/>
                <w:szCs w:val="20"/>
                <w:lang w:eastAsia="en-US"/>
              </w:rPr>
              <w:t>/202</w:t>
            </w:r>
            <w:r w:rsidR="00A32301">
              <w:rPr>
                <w:rFonts w:ascii="Verdana" w:hAnsi="Verdana"/>
                <w:sz w:val="20"/>
                <w:szCs w:val="20"/>
                <w:lang w:eastAsia="en-US"/>
              </w:rPr>
              <w:t>1</w:t>
            </w:r>
          </w:p>
        </w:tc>
      </w:tr>
      <w:tr w:rsidR="00EA1559" w:rsidRPr="00EA1559" w14:paraId="5027A086"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18913E63"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130807" w14:textId="77777777"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5087176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1B46266C"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8298B9"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6670C245" w14:textId="77777777" w:rsidR="00841A8E" w:rsidRDefault="00841A8E" w:rsidP="00841A8E">
            <w:pPr>
              <w:pStyle w:val="ListParagraph"/>
              <w:numPr>
                <w:ilvl w:val="0"/>
                <w:numId w:val="9"/>
              </w:numPr>
              <w:rPr>
                <w:rFonts w:ascii="Arial" w:hAnsi="Arial" w:cs="Arial"/>
                <w:szCs w:val="20"/>
              </w:rPr>
            </w:pPr>
            <w:r>
              <w:rPr>
                <w:rFonts w:ascii="Arial" w:hAnsi="Arial" w:cs="Arial"/>
                <w:szCs w:val="20"/>
              </w:rPr>
              <w:t xml:space="preserve">Opex add backs were only calculated for asset management repex mains categories. </w:t>
            </w:r>
            <w:r>
              <w:rPr>
                <w:rFonts w:ascii="Arial" w:hAnsi="Arial" w:cs="Arial"/>
                <w:szCs w:val="20"/>
              </w:rPr>
              <w:t>Furthermore, WWU did not change its workload forecasts for repex between DD and FD</w:t>
            </w:r>
            <w:r>
              <w:rPr>
                <w:rFonts w:ascii="Arial" w:hAnsi="Arial" w:cs="Arial"/>
                <w:szCs w:val="20"/>
              </w:rPr>
              <w:t xml:space="preserve">. At FD we allowed in full WWU’s asset management repex workloads, meaning there was no add back required. </w:t>
            </w:r>
          </w:p>
          <w:p w14:paraId="0A87C10E" w14:textId="77777777" w:rsidR="00841A8E" w:rsidRDefault="00841A8E" w:rsidP="00841A8E">
            <w:pPr>
              <w:pStyle w:val="ListParagraph"/>
              <w:rPr>
                <w:rFonts w:ascii="Arial" w:hAnsi="Arial" w:cs="Arial"/>
                <w:szCs w:val="20"/>
              </w:rPr>
            </w:pPr>
          </w:p>
          <w:p w14:paraId="69C469FB" w14:textId="77777777" w:rsidR="00841A8E" w:rsidRDefault="00841A8E" w:rsidP="00841A8E">
            <w:pPr>
              <w:pStyle w:val="ListParagraph"/>
              <w:rPr>
                <w:rFonts w:ascii="Arial" w:hAnsi="Arial" w:cs="Arial"/>
                <w:szCs w:val="20"/>
              </w:rPr>
            </w:pPr>
            <w:r w:rsidRPr="00841A8E">
              <w:rPr>
                <w:rFonts w:ascii="Arial" w:hAnsi="Arial" w:cs="Arial"/>
                <w:szCs w:val="20"/>
              </w:rPr>
              <w:t xml:space="preserve">While we also allowed in full asset management workloads for Cadent and SGN at FD, both companies made changes to their workload forecasts </w:t>
            </w:r>
            <w:r>
              <w:rPr>
                <w:rFonts w:ascii="Arial" w:hAnsi="Arial" w:cs="Arial"/>
                <w:szCs w:val="20"/>
              </w:rPr>
              <w:t xml:space="preserve">between DD and FD, so the add backs we applied for SGN and Cadent account for the net difference between these workload forecasts, rather than workload disallowances per se. For NGN, the add backs are directly related to workload disallowances for asset management repex workloads (forecast workloads did not change between DD and FD for NGN). </w:t>
            </w:r>
          </w:p>
          <w:p w14:paraId="63DE5DC1" w14:textId="77777777" w:rsidR="00841A8E" w:rsidRDefault="00841A8E" w:rsidP="00841A8E">
            <w:pPr>
              <w:pStyle w:val="ListParagraph"/>
              <w:rPr>
                <w:rFonts w:ascii="Arial" w:hAnsi="Arial" w:cs="Arial"/>
                <w:szCs w:val="20"/>
              </w:rPr>
            </w:pPr>
          </w:p>
          <w:p w14:paraId="6E86B897" w14:textId="77777777" w:rsidR="00841A8E" w:rsidRDefault="00841A8E" w:rsidP="00841A8E">
            <w:pPr>
              <w:pStyle w:val="ListParagraph"/>
              <w:numPr>
                <w:ilvl w:val="0"/>
                <w:numId w:val="9"/>
              </w:numPr>
              <w:rPr>
                <w:rFonts w:ascii="Arial" w:hAnsi="Arial" w:cs="Arial"/>
                <w:szCs w:val="20"/>
              </w:rPr>
            </w:pPr>
            <w:r>
              <w:rPr>
                <w:rFonts w:ascii="Arial" w:hAnsi="Arial" w:cs="Arial"/>
                <w:szCs w:val="20"/>
              </w:rPr>
              <w:t>For NW and WM, we decided to use the value of the opex adjustment provided by Cadent in its consultation response and applied this consistently across each year of the price control.</w:t>
            </w:r>
          </w:p>
          <w:p w14:paraId="505FC2C7" w14:textId="599DB565" w:rsidR="00841A8E" w:rsidRDefault="00841A8E" w:rsidP="00841A8E">
            <w:pPr>
              <w:ind w:left="360"/>
              <w:rPr>
                <w:rFonts w:ascii="Arial" w:hAnsi="Arial" w:cs="Arial"/>
                <w:szCs w:val="20"/>
              </w:rPr>
            </w:pPr>
          </w:p>
          <w:p w14:paraId="1244D07E" w14:textId="0E3B9BB4" w:rsidR="00841A8E" w:rsidRPr="00841A8E" w:rsidRDefault="00B33719" w:rsidP="00841A8E">
            <w:pPr>
              <w:pStyle w:val="ListParagraph"/>
              <w:numPr>
                <w:ilvl w:val="0"/>
                <w:numId w:val="9"/>
              </w:numPr>
              <w:rPr>
                <w:rFonts w:ascii="Arial" w:hAnsi="Arial" w:cs="Arial"/>
                <w:szCs w:val="20"/>
              </w:rPr>
            </w:pPr>
            <w:r>
              <w:rPr>
                <w:rFonts w:ascii="Arial" w:hAnsi="Arial" w:cs="Arial"/>
                <w:szCs w:val="20"/>
              </w:rPr>
              <w:t>We do not agree the adjustments to the cost driver have not been captured in the modelling. Referring to the CostDriver file, Row 28 (for example) in the Cal_Drivers and Cal_DriversAdj sheets shows different values, with the latter being higher to reflect the uplift resulting from adjustment to external condition reports (Inp_ReportsAdj) due to disallowed repex. The values in Inp_ReportsAdj are consistent with those in the opex adjustment model shared by Ofgem (see Cadent_FDQ_13).</w:t>
            </w:r>
          </w:p>
          <w:p w14:paraId="6D3CCCBB" w14:textId="292D77F5" w:rsidR="00841A8E" w:rsidRPr="00841A8E" w:rsidRDefault="00841A8E" w:rsidP="00841A8E">
            <w:pPr>
              <w:rPr>
                <w:rFonts w:ascii="Arial" w:hAnsi="Arial" w:cs="Arial"/>
                <w:szCs w:val="20"/>
              </w:rPr>
            </w:pPr>
            <w:r w:rsidRPr="00841A8E">
              <w:rPr>
                <w:rFonts w:ascii="Arial" w:hAnsi="Arial" w:cs="Arial"/>
                <w:szCs w:val="20"/>
              </w:rPr>
              <w:t xml:space="preserve"> </w:t>
            </w:r>
          </w:p>
        </w:tc>
      </w:tr>
    </w:tbl>
    <w:p w14:paraId="699A5CE1"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724BB" w14:textId="77777777" w:rsidR="004B3E55" w:rsidRDefault="004B3E55" w:rsidP="00526623">
      <w:pPr>
        <w:spacing w:after="0" w:line="240" w:lineRule="auto"/>
      </w:pPr>
      <w:r>
        <w:separator/>
      </w:r>
    </w:p>
  </w:endnote>
  <w:endnote w:type="continuationSeparator" w:id="0">
    <w:p w14:paraId="21E9981E" w14:textId="77777777" w:rsidR="004B3E55" w:rsidRDefault="004B3E5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B6E14" w14:textId="77777777" w:rsidR="004B3E55" w:rsidRDefault="004B3E55" w:rsidP="00526623">
      <w:pPr>
        <w:spacing w:after="0" w:line="240" w:lineRule="auto"/>
      </w:pPr>
      <w:r>
        <w:separator/>
      </w:r>
    </w:p>
  </w:footnote>
  <w:footnote w:type="continuationSeparator" w:id="0">
    <w:p w14:paraId="022C35BB" w14:textId="77777777" w:rsidR="004B3E55" w:rsidRDefault="004B3E55"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F1EA7"/>
    <w:multiLevelType w:val="hybridMultilevel"/>
    <w:tmpl w:val="4F1E80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F08315C"/>
    <w:multiLevelType w:val="hybridMultilevel"/>
    <w:tmpl w:val="F58E08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335825"/>
    <w:multiLevelType w:val="hybridMultilevel"/>
    <w:tmpl w:val="4E021616"/>
    <w:lvl w:ilvl="0" w:tplc="7B8ABB9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67479D"/>
    <w:multiLevelType w:val="hybridMultilevel"/>
    <w:tmpl w:val="C73612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6"/>
  </w:num>
  <w:num w:numId="5">
    <w:abstractNumId w:val="4"/>
  </w:num>
  <w:num w:numId="6">
    <w:abstractNumId w:val="0"/>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914A6"/>
    <w:rsid w:val="000B0536"/>
    <w:rsid w:val="000E5B6D"/>
    <w:rsid w:val="000E5FE0"/>
    <w:rsid w:val="0010126C"/>
    <w:rsid w:val="00107296"/>
    <w:rsid w:val="00133BD9"/>
    <w:rsid w:val="00133CFC"/>
    <w:rsid w:val="00172809"/>
    <w:rsid w:val="001D0151"/>
    <w:rsid w:val="00206CA9"/>
    <w:rsid w:val="00206D5F"/>
    <w:rsid w:val="00213367"/>
    <w:rsid w:val="00252C39"/>
    <w:rsid w:val="002707B1"/>
    <w:rsid w:val="00281066"/>
    <w:rsid w:val="00291D51"/>
    <w:rsid w:val="00293724"/>
    <w:rsid w:val="002A4AD8"/>
    <w:rsid w:val="002B4955"/>
    <w:rsid w:val="002E3EFB"/>
    <w:rsid w:val="00300FB4"/>
    <w:rsid w:val="003043A4"/>
    <w:rsid w:val="00342E6F"/>
    <w:rsid w:val="00344DA2"/>
    <w:rsid w:val="003452B0"/>
    <w:rsid w:val="00360385"/>
    <w:rsid w:val="00385085"/>
    <w:rsid w:val="003B16C7"/>
    <w:rsid w:val="003B3576"/>
    <w:rsid w:val="003F465C"/>
    <w:rsid w:val="00400822"/>
    <w:rsid w:val="00470F80"/>
    <w:rsid w:val="0047108D"/>
    <w:rsid w:val="00473B9C"/>
    <w:rsid w:val="004B3E55"/>
    <w:rsid w:val="004C05AA"/>
    <w:rsid w:val="004C4D2B"/>
    <w:rsid w:val="004D0311"/>
    <w:rsid w:val="004D1F2F"/>
    <w:rsid w:val="004E2DF1"/>
    <w:rsid w:val="00503895"/>
    <w:rsid w:val="00526623"/>
    <w:rsid w:val="00526A8E"/>
    <w:rsid w:val="00534E92"/>
    <w:rsid w:val="00536220"/>
    <w:rsid w:val="00572DD8"/>
    <w:rsid w:val="00584F30"/>
    <w:rsid w:val="00586A8E"/>
    <w:rsid w:val="005927B6"/>
    <w:rsid w:val="005A506C"/>
    <w:rsid w:val="005A74DE"/>
    <w:rsid w:val="005E2894"/>
    <w:rsid w:val="0060723D"/>
    <w:rsid w:val="006224F4"/>
    <w:rsid w:val="006279ED"/>
    <w:rsid w:val="00655AFB"/>
    <w:rsid w:val="00660927"/>
    <w:rsid w:val="00672F0F"/>
    <w:rsid w:val="006847DA"/>
    <w:rsid w:val="006879C2"/>
    <w:rsid w:val="006B26DE"/>
    <w:rsid w:val="006E4411"/>
    <w:rsid w:val="00716508"/>
    <w:rsid w:val="00721734"/>
    <w:rsid w:val="007400B7"/>
    <w:rsid w:val="0074164D"/>
    <w:rsid w:val="00753976"/>
    <w:rsid w:val="007572D8"/>
    <w:rsid w:val="007649AC"/>
    <w:rsid w:val="00772D1E"/>
    <w:rsid w:val="00775083"/>
    <w:rsid w:val="007974DA"/>
    <w:rsid w:val="007B29A9"/>
    <w:rsid w:val="007C2E37"/>
    <w:rsid w:val="007D7648"/>
    <w:rsid w:val="007E30C4"/>
    <w:rsid w:val="008170C7"/>
    <w:rsid w:val="00822450"/>
    <w:rsid w:val="00841A8E"/>
    <w:rsid w:val="00845396"/>
    <w:rsid w:val="0085400C"/>
    <w:rsid w:val="008A5062"/>
    <w:rsid w:val="008B27F3"/>
    <w:rsid w:val="008B3636"/>
    <w:rsid w:val="008B7043"/>
    <w:rsid w:val="008C5A35"/>
    <w:rsid w:val="009222C6"/>
    <w:rsid w:val="00924DEC"/>
    <w:rsid w:val="00935000"/>
    <w:rsid w:val="00936AF6"/>
    <w:rsid w:val="00937BF5"/>
    <w:rsid w:val="00941E89"/>
    <w:rsid w:val="00942721"/>
    <w:rsid w:val="00945C7C"/>
    <w:rsid w:val="00946125"/>
    <w:rsid w:val="009762C9"/>
    <w:rsid w:val="009845A8"/>
    <w:rsid w:val="009B26A0"/>
    <w:rsid w:val="009B7577"/>
    <w:rsid w:val="009C3EAE"/>
    <w:rsid w:val="009D4F56"/>
    <w:rsid w:val="00A054D1"/>
    <w:rsid w:val="00A0584E"/>
    <w:rsid w:val="00A06191"/>
    <w:rsid w:val="00A32301"/>
    <w:rsid w:val="00A56CF3"/>
    <w:rsid w:val="00A77899"/>
    <w:rsid w:val="00A922CF"/>
    <w:rsid w:val="00A9603B"/>
    <w:rsid w:val="00AC6418"/>
    <w:rsid w:val="00AE2C71"/>
    <w:rsid w:val="00AF2854"/>
    <w:rsid w:val="00B33719"/>
    <w:rsid w:val="00B33B74"/>
    <w:rsid w:val="00B33BDA"/>
    <w:rsid w:val="00B35E40"/>
    <w:rsid w:val="00B378CC"/>
    <w:rsid w:val="00B41AEB"/>
    <w:rsid w:val="00B54E67"/>
    <w:rsid w:val="00B73EA6"/>
    <w:rsid w:val="00B82400"/>
    <w:rsid w:val="00B86DDF"/>
    <w:rsid w:val="00BA0306"/>
    <w:rsid w:val="00BA4154"/>
    <w:rsid w:val="00BA5A79"/>
    <w:rsid w:val="00BB4793"/>
    <w:rsid w:val="00BB56A8"/>
    <w:rsid w:val="00BB682C"/>
    <w:rsid w:val="00BD48A8"/>
    <w:rsid w:val="00BF4EF8"/>
    <w:rsid w:val="00C10D99"/>
    <w:rsid w:val="00C57345"/>
    <w:rsid w:val="00C814D0"/>
    <w:rsid w:val="00C81B4C"/>
    <w:rsid w:val="00C900C6"/>
    <w:rsid w:val="00CA4297"/>
    <w:rsid w:val="00CC7214"/>
    <w:rsid w:val="00CF22EF"/>
    <w:rsid w:val="00D1736D"/>
    <w:rsid w:val="00D50036"/>
    <w:rsid w:val="00D53135"/>
    <w:rsid w:val="00D81399"/>
    <w:rsid w:val="00D815E6"/>
    <w:rsid w:val="00DA4D94"/>
    <w:rsid w:val="00DA67E5"/>
    <w:rsid w:val="00DB4D31"/>
    <w:rsid w:val="00DE2A12"/>
    <w:rsid w:val="00E040EA"/>
    <w:rsid w:val="00E11C0E"/>
    <w:rsid w:val="00E346B6"/>
    <w:rsid w:val="00E525E0"/>
    <w:rsid w:val="00E55A7F"/>
    <w:rsid w:val="00E566F5"/>
    <w:rsid w:val="00E664E8"/>
    <w:rsid w:val="00EA1559"/>
    <w:rsid w:val="00EB123E"/>
    <w:rsid w:val="00EB179A"/>
    <w:rsid w:val="00EB2613"/>
    <w:rsid w:val="00EE1C79"/>
    <w:rsid w:val="00EE2493"/>
    <w:rsid w:val="00F129C1"/>
    <w:rsid w:val="00F16311"/>
    <w:rsid w:val="00F20F23"/>
    <w:rsid w:val="00F23B18"/>
    <w:rsid w:val="00F31270"/>
    <w:rsid w:val="00F5577B"/>
    <w:rsid w:val="00F678C1"/>
    <w:rsid w:val="00F82AB4"/>
    <w:rsid w:val="00F8669A"/>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17D810"/>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05480828">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Ref_x0020_No xmlns="631298fc-6a88-4548-b7d9-3b164918c4a3" xsi:nil="true"/>
    <_x003a_ xmlns="631298fc-6a88-4548-b7d9-3b164918c4a3" xsi:nil="true"/>
    <_x003a__x003a_ xmlns="631298fc-6a88-4548-b7d9-3b164918c4a3">-Main Document</_x003a__x003a_>
    <Recipient xmlns="631298fc-6a88-4548-b7d9-3b164918c4a3" xsi:nil="true"/>
    <Publication_x0020_Date_x003a_ xmlns="631298fc-6a88-4548-b7d9-3b164918c4a3">2021-01-06T10:18:44+00:00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openxmlformats.org/package/2006/metadata/core-properties"/>
    <ds:schemaRef ds:uri="http://purl.org/dc/dcmitype/"/>
    <ds:schemaRef ds:uri="http://schemas.microsoft.com/office/2006/documentManagement/types"/>
    <ds:schemaRef ds:uri="http://purl.org/dc/terms/"/>
    <ds:schemaRef ds:uri="http://schemas.microsoft.com/office/infopath/2007/PartnerControls"/>
    <ds:schemaRef ds:uri="http://schemas.microsoft.com/sharepoint/v3/fields"/>
    <ds:schemaRef ds:uri="http://schemas.microsoft.com/office/2006/metadata/properties"/>
    <ds:schemaRef ds:uri="631298fc-6a88-4548-b7d9-3b164918c4a3"/>
    <ds:schemaRef ds:uri="http://www.w3.org/XML/1998/namespace"/>
    <ds:schemaRef ds:uri="http://purl.org/dc/elements/1.1/"/>
  </ds:schemaRefs>
</ds:datastoreItem>
</file>

<file path=customXml/itemProps3.xml><?xml version="1.0" encoding="utf-8"?>
<ds:datastoreItem xmlns:ds="http://schemas.openxmlformats.org/officeDocument/2006/customXml" ds:itemID="{81563BC1-226F-48FF-9483-C63958422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3A7730-913C-4F5C-A3CE-A854688F7708}">
  <ds:schemaRefs>
    <ds:schemaRef ds:uri="Microsoft.SharePoint.Taxonomy.ContentTypeSync"/>
  </ds:schemaRefs>
</ds:datastoreItem>
</file>

<file path=customXml/itemProps5.xml><?xml version="1.0" encoding="utf-8"?>
<ds:datastoreItem xmlns:ds="http://schemas.openxmlformats.org/officeDocument/2006/customXml" ds:itemID="{C3C339F8-4989-4CA1-85FD-54EDAB1F894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2021-01-06T10:18:00Z</dcterms:created>
  <dcterms:modified xsi:type="dcterms:W3CDTF">2021-01-06T10:53:00Z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409a6816-43d6-43c9-8e87-f53de5c4c008</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