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1809"/>
        <w:gridCol w:w="7865"/>
        <w:gridCol w:w="216"/>
      </w:tblGrid>
      <w:tr w:rsidR="00133BD9" w:rsidRPr="003106F8" w14:paraId="373E21CB" w14:textId="77777777" w:rsidTr="21FEC5AE">
        <w:trPr>
          <w:gridBefore w:val="1"/>
          <w:gridAfter w:val="1"/>
          <w:wBefore w:w="459" w:type="dxa"/>
          <w:wAfter w:w="216" w:type="dxa"/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43B75D1" w:rsidR="00133BD9" w:rsidRPr="003106F8" w:rsidRDefault="000F371F" w:rsidP="00B378C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SGN </w:t>
            </w:r>
            <w:r w:rsidR="000E5B6D" w:rsidRPr="003106F8">
              <w:rPr>
                <w:rFonts w:asciiTheme="minorHAnsi" w:hAnsiTheme="minorHAnsi" w:cs="Arial"/>
                <w:b/>
                <w:bCs/>
                <w:sz w:val="22"/>
              </w:rPr>
              <w:t>Final</w:t>
            </w:r>
            <w:r w:rsidR="002E3EFB"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 Determination</w:t>
            </w:r>
            <w:r w:rsidR="00A0584E"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3106F8" w14:paraId="373E21CD" w14:textId="77777777" w:rsidTr="21FEC5AE">
        <w:trPr>
          <w:trHeight w:val="315"/>
        </w:trPr>
        <w:tc>
          <w:tcPr>
            <w:tcW w:w="1034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3106F8" w:rsidRDefault="003F465C" w:rsidP="002E3E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D81399" w:rsidRPr="003106F8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Q</w:t>
            </w:r>
            <w:r w:rsidR="00D81399"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 Q</w:t>
            </w:r>
            <w:r w:rsidR="00133BD9" w:rsidRPr="003106F8">
              <w:rPr>
                <w:rFonts w:asciiTheme="minorHAnsi" w:hAnsiTheme="minorHAnsi" w:cs="Arial"/>
                <w:b/>
                <w:bCs/>
                <w:sz w:val="22"/>
              </w:rPr>
              <w:t>u</w:t>
            </w:r>
            <w:r w:rsidR="00F20F23" w:rsidRPr="003106F8">
              <w:rPr>
                <w:rFonts w:asciiTheme="minorHAnsi" w:hAnsiTheme="minorHAnsi" w:cs="Arial"/>
                <w:b/>
                <w:bCs/>
                <w:sz w:val="22"/>
              </w:rPr>
              <w:t>ery</w:t>
            </w:r>
            <w:r w:rsidR="00133BD9"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3106F8" w14:paraId="373E21D0" w14:textId="77777777" w:rsidTr="21FEC5AE">
        <w:trPr>
          <w:trHeight w:hRule="exact" w:val="397"/>
        </w:trPr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3106F8" w:rsidRDefault="00133BD9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8081" w:type="dxa"/>
            <w:gridSpan w:val="2"/>
            <w:shd w:val="clear" w:color="auto" w:fill="auto"/>
            <w:vAlign w:val="center"/>
          </w:tcPr>
          <w:p w14:paraId="373E21CF" w14:textId="1D3AE71A" w:rsidR="00F266D1" w:rsidRPr="003106F8" w:rsidRDefault="00F266D1" w:rsidP="00A0584E">
            <w:pPr>
              <w:rPr>
                <w:rFonts w:asciiTheme="minorHAnsi" w:hAnsiTheme="minorHAnsi" w:cs="Arial"/>
                <w:color w:val="FF0000"/>
                <w:sz w:val="22"/>
              </w:rPr>
            </w:pPr>
            <w:r w:rsidRPr="00CD13FB">
              <w:rPr>
                <w:rFonts w:asciiTheme="minorHAnsi" w:hAnsiTheme="minorHAnsi"/>
                <w:sz w:val="22"/>
              </w:rPr>
              <w:t>SGN_FDQ_0</w:t>
            </w:r>
            <w:r w:rsidR="0081202F">
              <w:rPr>
                <w:rFonts w:asciiTheme="minorHAnsi" w:hAnsiTheme="minorHAnsi"/>
                <w:sz w:val="22"/>
              </w:rPr>
              <w:t>10</w:t>
            </w:r>
          </w:p>
        </w:tc>
      </w:tr>
      <w:tr w:rsidR="00A06191" w:rsidRPr="003106F8" w14:paraId="373E21D3" w14:textId="77777777" w:rsidTr="21FEC5AE">
        <w:trPr>
          <w:trHeight w:hRule="exact" w:val="397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373E21D1" w14:textId="66662880" w:rsidR="00A06191" w:rsidRPr="003106F8" w:rsidRDefault="00EE1C79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Document Name</w:t>
            </w:r>
          </w:p>
        </w:tc>
        <w:tc>
          <w:tcPr>
            <w:tcW w:w="8081" w:type="dxa"/>
            <w:gridSpan w:val="2"/>
            <w:shd w:val="clear" w:color="auto" w:fill="auto"/>
            <w:vAlign w:val="center"/>
          </w:tcPr>
          <w:p w14:paraId="373E21D2" w14:textId="77C6144C" w:rsidR="00A06191" w:rsidRPr="003106F8" w:rsidRDefault="000E5B6D" w:rsidP="00A0584E">
            <w:pPr>
              <w:rPr>
                <w:rFonts w:asciiTheme="minorHAnsi" w:hAnsiTheme="minorHAnsi" w:cs="Arial"/>
                <w:sz w:val="22"/>
              </w:rPr>
            </w:pPr>
            <w:r w:rsidRPr="003106F8">
              <w:rPr>
                <w:rFonts w:asciiTheme="minorHAnsi" w:hAnsiTheme="minorHAnsi" w:cs="Arial"/>
                <w:sz w:val="22"/>
              </w:rPr>
              <w:t xml:space="preserve"> </w:t>
            </w:r>
            <w:r w:rsidR="00004B8C" w:rsidRPr="003106F8">
              <w:rPr>
                <w:rFonts w:asciiTheme="minorHAnsi" w:hAnsiTheme="minorHAnsi"/>
                <w:sz w:val="22"/>
              </w:rPr>
              <w:t xml:space="preserve">RIIO-2 Final Determinations – </w:t>
            </w:r>
            <w:r w:rsidR="002874F3" w:rsidRPr="003106F8">
              <w:rPr>
                <w:rFonts w:asciiTheme="minorHAnsi" w:hAnsiTheme="minorHAnsi"/>
                <w:sz w:val="22"/>
              </w:rPr>
              <w:t>SGN</w:t>
            </w:r>
            <w:r w:rsidR="00004B8C" w:rsidRPr="003106F8">
              <w:rPr>
                <w:rFonts w:asciiTheme="minorHAnsi" w:hAnsiTheme="minorHAnsi"/>
                <w:sz w:val="22"/>
              </w:rPr>
              <w:t xml:space="preserve"> Annex</w:t>
            </w:r>
          </w:p>
        </w:tc>
      </w:tr>
      <w:tr w:rsidR="00A06191" w:rsidRPr="003106F8" w14:paraId="373E21D6" w14:textId="77777777" w:rsidTr="21FEC5AE">
        <w:trPr>
          <w:trHeight w:hRule="exact" w:val="397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373E21D4" w14:textId="77777777" w:rsidR="00A06191" w:rsidRPr="003106F8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8081" w:type="dxa"/>
            <w:gridSpan w:val="2"/>
            <w:shd w:val="clear" w:color="auto" w:fill="auto"/>
            <w:vAlign w:val="center"/>
          </w:tcPr>
          <w:p w14:paraId="373E21D5" w14:textId="6FED0971" w:rsidR="00A06191" w:rsidRPr="003106F8" w:rsidRDefault="000E5B6D" w:rsidP="0060723D">
            <w:pPr>
              <w:rPr>
                <w:rFonts w:asciiTheme="minorHAnsi" w:hAnsiTheme="minorHAnsi" w:cs="Arial"/>
                <w:sz w:val="22"/>
              </w:rPr>
            </w:pPr>
            <w:r w:rsidRPr="003106F8">
              <w:rPr>
                <w:rFonts w:asciiTheme="minorHAnsi" w:hAnsiTheme="minorHAnsi" w:cs="Arial"/>
                <w:sz w:val="22"/>
              </w:rPr>
              <w:t xml:space="preserve"> </w:t>
            </w:r>
            <w:r w:rsidR="000A5D93" w:rsidRPr="003106F8">
              <w:rPr>
                <w:rFonts w:asciiTheme="minorHAnsi" w:hAnsiTheme="minorHAnsi" w:cs="Arial"/>
                <w:sz w:val="22"/>
              </w:rPr>
              <w:t>Repex costs</w:t>
            </w:r>
          </w:p>
        </w:tc>
      </w:tr>
      <w:tr w:rsidR="00A06191" w:rsidRPr="003106F8" w14:paraId="373E21D9" w14:textId="77777777" w:rsidTr="21FEC5AE">
        <w:trPr>
          <w:trHeight w:val="127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373E21D7" w14:textId="77777777" w:rsidR="00A06191" w:rsidRPr="003106F8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8081" w:type="dxa"/>
            <w:gridSpan w:val="2"/>
            <w:shd w:val="clear" w:color="auto" w:fill="auto"/>
            <w:vAlign w:val="center"/>
          </w:tcPr>
          <w:p w14:paraId="35C70A1D" w14:textId="77777777" w:rsidR="00004B8C" w:rsidRPr="003106F8" w:rsidRDefault="00004B8C" w:rsidP="00004B8C">
            <w:pPr>
              <w:pStyle w:val="xmsonormal"/>
              <w:rPr>
                <w:rFonts w:asciiTheme="minorHAnsi" w:hAnsiTheme="minorHAnsi"/>
              </w:rPr>
            </w:pPr>
            <w:r w:rsidRPr="003106F8">
              <w:rPr>
                <w:rFonts w:asciiTheme="minorHAnsi" w:hAnsiTheme="minorHAnsi"/>
              </w:rPr>
              <w:t> </w:t>
            </w:r>
          </w:p>
          <w:p w14:paraId="03C7FEC8" w14:textId="3D3F928E" w:rsidR="009A7A81" w:rsidRPr="003106F8" w:rsidRDefault="00004B8C" w:rsidP="21FEC5AE">
            <w:pPr>
              <w:pStyle w:val="xmsonormal"/>
              <w:rPr>
                <w:rFonts w:asciiTheme="minorHAnsi" w:hAnsiTheme="minorHAnsi"/>
              </w:rPr>
            </w:pPr>
            <w:r w:rsidRPr="21FEC5AE">
              <w:rPr>
                <w:rFonts w:asciiTheme="minorHAnsi" w:hAnsiTheme="minorHAnsi"/>
              </w:rPr>
              <w:t>Set out in the document ‘</w:t>
            </w:r>
            <w:r w:rsidRPr="21FEC5AE">
              <w:rPr>
                <w:rFonts w:asciiTheme="minorHAnsi" w:hAnsiTheme="minorHAnsi"/>
                <w:i/>
                <w:iCs/>
              </w:rPr>
              <w:t xml:space="preserve">RIIO-2 Final Determinations – </w:t>
            </w:r>
            <w:r w:rsidR="00EB3EBB" w:rsidRPr="21FEC5AE">
              <w:rPr>
                <w:rFonts w:asciiTheme="minorHAnsi" w:hAnsiTheme="minorHAnsi"/>
                <w:i/>
                <w:iCs/>
              </w:rPr>
              <w:t>SGN</w:t>
            </w:r>
            <w:r w:rsidRPr="21FEC5AE">
              <w:rPr>
                <w:rFonts w:asciiTheme="minorHAnsi" w:hAnsiTheme="minorHAnsi"/>
                <w:i/>
                <w:iCs/>
              </w:rPr>
              <w:t xml:space="preserve"> Annex</w:t>
            </w:r>
            <w:r w:rsidRPr="21FEC5AE">
              <w:rPr>
                <w:rFonts w:asciiTheme="minorHAnsi" w:hAnsiTheme="minorHAnsi"/>
              </w:rPr>
              <w:t xml:space="preserve">’ (published on 8 December 2020) are Ofgem’s </w:t>
            </w:r>
            <w:r w:rsidR="00EB3EBB" w:rsidRPr="21FEC5AE">
              <w:rPr>
                <w:rFonts w:asciiTheme="minorHAnsi" w:hAnsiTheme="minorHAnsi"/>
              </w:rPr>
              <w:t xml:space="preserve">presented </w:t>
            </w:r>
            <w:r w:rsidR="009A7A81" w:rsidRPr="21FEC5AE">
              <w:rPr>
                <w:rFonts w:asciiTheme="minorHAnsi" w:hAnsiTheme="minorHAnsi"/>
              </w:rPr>
              <w:t xml:space="preserve">unit costs </w:t>
            </w:r>
            <w:r w:rsidR="13E09F4D" w:rsidRPr="21FEC5AE">
              <w:rPr>
                <w:rFonts w:asciiTheme="minorHAnsi" w:hAnsiTheme="minorHAnsi"/>
              </w:rPr>
              <w:t>for</w:t>
            </w:r>
            <w:r w:rsidR="009A7A81" w:rsidRPr="21FEC5AE">
              <w:rPr>
                <w:rFonts w:asciiTheme="minorHAnsi" w:hAnsiTheme="minorHAnsi"/>
              </w:rPr>
              <w:t xml:space="preserve"> Scotland and Southern </w:t>
            </w:r>
            <w:r w:rsidR="5B96DF4E" w:rsidRPr="21FEC5AE">
              <w:rPr>
                <w:rFonts w:asciiTheme="minorHAnsi" w:hAnsiTheme="minorHAnsi"/>
              </w:rPr>
              <w:t>R</w:t>
            </w:r>
            <w:r w:rsidR="009A7A81" w:rsidRPr="21FEC5AE">
              <w:rPr>
                <w:rFonts w:asciiTheme="minorHAnsi" w:hAnsiTheme="minorHAnsi"/>
              </w:rPr>
              <w:t>epex programme (tables 12 and 13 as example). This shows unit costs for Southern are below the awarded unit costs for Scotland</w:t>
            </w:r>
            <w:r w:rsidRPr="21FEC5AE">
              <w:rPr>
                <w:rFonts w:asciiTheme="minorHAnsi" w:hAnsiTheme="minorHAnsi"/>
              </w:rPr>
              <w:t xml:space="preserve">. </w:t>
            </w:r>
          </w:p>
          <w:p w14:paraId="6D428F91" w14:textId="2D8AA8DC" w:rsidR="009A7A81" w:rsidRPr="003106F8" w:rsidRDefault="009A7A81" w:rsidP="00004B8C">
            <w:pPr>
              <w:pStyle w:val="xmsonormal"/>
              <w:rPr>
                <w:rFonts w:asciiTheme="minorHAnsi" w:hAnsiTheme="minorHAnsi"/>
              </w:rPr>
            </w:pPr>
          </w:p>
          <w:p w14:paraId="7E4576A0" w14:textId="65701443" w:rsidR="009A7A81" w:rsidRPr="003106F8" w:rsidRDefault="009A7A81" w:rsidP="009A7A81">
            <w:pPr>
              <w:spacing w:line="240" w:lineRule="auto"/>
              <w:rPr>
                <w:rFonts w:asciiTheme="minorHAnsi" w:hAnsiTheme="minorHAnsi" w:cs="Calibri"/>
                <w:sz w:val="22"/>
                <w:lang w:eastAsia="en-GB"/>
              </w:rPr>
            </w:pPr>
            <w:r w:rsidRPr="003106F8">
              <w:rPr>
                <w:rFonts w:asciiTheme="minorHAnsi" w:hAnsiTheme="minorHAnsi" w:cs="Calibri"/>
                <w:sz w:val="22"/>
                <w:lang w:eastAsia="en-GB"/>
              </w:rPr>
              <w:t>In order to understand the Tier 1 unit costs for mains and services, and specifically the reasons why Scotland unit costs are higher than in Southern, we</w:t>
            </w:r>
            <w:r w:rsidR="007869B0" w:rsidRPr="003106F8">
              <w:rPr>
                <w:rFonts w:asciiTheme="minorHAnsi" w:hAnsiTheme="minorHAnsi" w:cs="Calibri"/>
                <w:sz w:val="22"/>
                <w:lang w:eastAsia="en-GB"/>
              </w:rPr>
              <w:t xml:space="preserve"> request that you provide us with </w:t>
            </w:r>
            <w:r w:rsidRPr="003106F8">
              <w:rPr>
                <w:rFonts w:asciiTheme="minorHAnsi" w:hAnsiTheme="minorHAnsi" w:cs="Calibri"/>
                <w:sz w:val="22"/>
                <w:lang w:eastAsia="en-GB"/>
              </w:rPr>
              <w:t>the following: -</w:t>
            </w:r>
          </w:p>
          <w:p w14:paraId="6B6E5EB5" w14:textId="77777777" w:rsidR="009A7A81" w:rsidRPr="003106F8" w:rsidRDefault="009A7A81" w:rsidP="009A7A8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The option selected for calculating PCD units costs as set out in Slide 9 of the Repex Working group slides for the 17</w:t>
            </w:r>
            <w:r w:rsidRPr="003106F8">
              <w:rPr>
                <w:rFonts w:asciiTheme="minorHAnsi" w:eastAsia="Times New Roman" w:hAnsiTheme="minorHAnsi" w:cstheme="minorHAnsi"/>
                <w:sz w:val="22"/>
                <w:vertAlign w:val="superscript"/>
              </w:rPr>
              <w:t>th</w:t>
            </w:r>
            <w:r w:rsidRPr="003106F8">
              <w:rPr>
                <w:rFonts w:asciiTheme="minorHAnsi" w:eastAsia="Times New Roman" w:hAnsiTheme="minorHAnsi" w:cstheme="minorHAnsi"/>
                <w:sz w:val="22"/>
              </w:rPr>
              <w:t xml:space="preserve"> September 2020 meeting</w:t>
            </w:r>
          </w:p>
          <w:p w14:paraId="04344164" w14:textId="094BA2AA" w:rsidR="009A7A81" w:rsidRPr="003106F8" w:rsidRDefault="009A7A81" w:rsidP="009A7A8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On the assumption that Option 1 was selected, the following documentation shows the arithmetical trace for each step as set out in Slide 10 including:</w:t>
            </w:r>
          </w:p>
          <w:p w14:paraId="63BD41B6" w14:textId="77777777" w:rsidR="009A7A81" w:rsidRPr="003106F8" w:rsidRDefault="009A7A81" w:rsidP="009A7A81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The industry average synthetic decommissioning unit costs by diameter band (IA SUCs)</w:t>
            </w:r>
          </w:p>
          <w:p w14:paraId="6E8EDFA5" w14:textId="77777777" w:rsidR="009A7A81" w:rsidRPr="003106F8" w:rsidRDefault="009A7A81" w:rsidP="009A7A81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The resulting bottom up allowances for Scotland and Southern</w:t>
            </w:r>
          </w:p>
          <w:p w14:paraId="7A26B8CB" w14:textId="77777777" w:rsidR="009A7A81" w:rsidRPr="003106F8" w:rsidRDefault="009A7A81" w:rsidP="009A7A81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The adjusted decommissioning workloads by diameter band that have been used as a multiplier to the IA SUCs</w:t>
            </w:r>
          </w:p>
          <w:p w14:paraId="3A8C4DB1" w14:textId="77777777" w:rsidR="009A7A81" w:rsidRPr="003106F8" w:rsidRDefault="009A7A81" w:rsidP="009A7A81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The top down efficient Repex allowance from the disaggregated model</w:t>
            </w:r>
          </w:p>
          <w:p w14:paraId="338D4236" w14:textId="77777777" w:rsidR="009A7A81" w:rsidRPr="003106F8" w:rsidRDefault="009A7A81" w:rsidP="009A7A81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The resulting Unit Cost (UC) adjustment factors for Scotland and Southern</w:t>
            </w:r>
          </w:p>
          <w:p w14:paraId="4D31F353" w14:textId="280F3A74" w:rsidR="009A7A81" w:rsidRPr="003106F8" w:rsidRDefault="009A7A81" w:rsidP="009A7A81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The final resulting unit costs from these steps and the</w:t>
            </w:r>
            <w:r w:rsidR="009E7F77">
              <w:rPr>
                <w:rFonts w:asciiTheme="minorHAnsi" w:eastAsia="Times New Roman" w:hAnsiTheme="minorHAnsi" w:cstheme="minorHAnsi"/>
                <w:sz w:val="22"/>
              </w:rPr>
              <w:t>i</w:t>
            </w:r>
            <w:r w:rsidRPr="003106F8">
              <w:rPr>
                <w:rFonts w:asciiTheme="minorHAnsi" w:eastAsia="Times New Roman" w:hAnsiTheme="minorHAnsi" w:cstheme="minorHAnsi"/>
                <w:sz w:val="22"/>
              </w:rPr>
              <w:t>r alignment to Tables 12 an</w:t>
            </w:r>
            <w:r w:rsidR="009E7F77">
              <w:rPr>
                <w:rFonts w:asciiTheme="minorHAnsi" w:eastAsia="Times New Roman" w:hAnsiTheme="minorHAnsi" w:cstheme="minorHAnsi"/>
                <w:sz w:val="22"/>
              </w:rPr>
              <w:t>d</w:t>
            </w:r>
            <w:r w:rsidRPr="003106F8">
              <w:rPr>
                <w:rFonts w:asciiTheme="minorHAnsi" w:eastAsia="Times New Roman" w:hAnsiTheme="minorHAnsi" w:cstheme="minorHAnsi"/>
                <w:sz w:val="22"/>
              </w:rPr>
              <w:t xml:space="preserve"> 13 on Page 13 of the SGN Annexe.</w:t>
            </w:r>
          </w:p>
          <w:p w14:paraId="10508B9A" w14:textId="394FFAD5" w:rsidR="009A7A81" w:rsidRPr="003106F8" w:rsidRDefault="009A7A81" w:rsidP="009A7A8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sz w:val="22"/>
              </w:rPr>
            </w:pPr>
            <w:r w:rsidRPr="003106F8">
              <w:rPr>
                <w:rFonts w:asciiTheme="minorHAnsi" w:eastAsia="Times New Roman" w:hAnsiTheme="minorHAnsi" w:cstheme="minorHAnsi"/>
                <w:sz w:val="22"/>
              </w:rPr>
              <w:t>Alternatively the equivalent steps if Option 2 or 3 or another derivative was selected.</w:t>
            </w:r>
          </w:p>
          <w:p w14:paraId="373E21D8" w14:textId="66A655F9" w:rsidR="00A0584E" w:rsidRPr="003106F8" w:rsidRDefault="00A0584E" w:rsidP="00004B8C">
            <w:pPr>
              <w:pStyle w:val="xmsonormal"/>
              <w:rPr>
                <w:rFonts w:asciiTheme="minorHAnsi" w:hAnsiTheme="minorHAnsi" w:cs="Arial"/>
              </w:rPr>
            </w:pPr>
          </w:p>
        </w:tc>
      </w:tr>
      <w:tr w:rsidR="005927B6" w:rsidRPr="003106F8" w14:paraId="5689E132" w14:textId="77777777" w:rsidTr="21FEC5AE">
        <w:trPr>
          <w:trHeight w:hRule="exact" w:val="397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00E00379" w14:textId="0380BCDB" w:rsidR="005927B6" w:rsidRPr="003106F8" w:rsidRDefault="005927B6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8081" w:type="dxa"/>
            <w:gridSpan w:val="2"/>
            <w:shd w:val="clear" w:color="auto" w:fill="auto"/>
            <w:vAlign w:val="center"/>
          </w:tcPr>
          <w:p w14:paraId="2CF1E278" w14:textId="27818C43" w:rsidR="005927B6" w:rsidRPr="003106F8" w:rsidRDefault="004D1A9C" w:rsidP="005927B6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CD13FB" w:rsidRPr="003106F8" w14:paraId="373E21DC" w14:textId="77777777" w:rsidTr="21FEC5AE">
        <w:trPr>
          <w:trHeight w:hRule="exact" w:val="397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373E21DA" w14:textId="31C9A8AB" w:rsidR="00CD13FB" w:rsidRPr="003106F8" w:rsidRDefault="00CD13FB" w:rsidP="00CD13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FDQ raised by </w:t>
            </w:r>
          </w:p>
        </w:tc>
        <w:tc>
          <w:tcPr>
            <w:tcW w:w="8081" w:type="dxa"/>
            <w:gridSpan w:val="2"/>
            <w:shd w:val="clear" w:color="auto" w:fill="auto"/>
            <w:vAlign w:val="center"/>
          </w:tcPr>
          <w:p w14:paraId="373E21DB" w14:textId="4807E183" w:rsidR="00CD13FB" w:rsidRPr="003106F8" w:rsidRDefault="00CD13FB" w:rsidP="00CD13F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CD13FB" w:rsidRPr="003106F8" w14:paraId="373E21DF" w14:textId="77777777" w:rsidTr="21FEC5AE">
        <w:trPr>
          <w:trHeight w:hRule="exact" w:val="397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373E21DD" w14:textId="43C86628" w:rsidR="00CD13FB" w:rsidRPr="003106F8" w:rsidRDefault="00CD13FB" w:rsidP="00CD13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>Date Sent</w:t>
            </w:r>
          </w:p>
        </w:tc>
        <w:tc>
          <w:tcPr>
            <w:tcW w:w="8081" w:type="dxa"/>
            <w:gridSpan w:val="2"/>
            <w:shd w:val="clear" w:color="auto" w:fill="auto"/>
            <w:vAlign w:val="center"/>
          </w:tcPr>
          <w:p w14:paraId="373E21DE" w14:textId="34463038" w:rsidR="00CD13FB" w:rsidRPr="003106F8" w:rsidRDefault="00CD13FB" w:rsidP="00CD13F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</w:t>
            </w:r>
            <w:r w:rsidR="0081202F">
              <w:rPr>
                <w:rFonts w:asciiTheme="minorHAnsi" w:hAnsiTheme="minorHAnsi" w:cs="Arial"/>
                <w:sz w:val="22"/>
              </w:rPr>
              <w:t>4</w:t>
            </w:r>
            <w:r>
              <w:rPr>
                <w:rFonts w:asciiTheme="minorHAnsi" w:hAnsiTheme="minorHAnsi" w:cs="Arial"/>
                <w:sz w:val="22"/>
              </w:rPr>
              <w:t>/12/2020</w:t>
            </w:r>
          </w:p>
        </w:tc>
      </w:tr>
      <w:tr w:rsidR="000E5B6D" w:rsidRPr="003106F8" w14:paraId="237714F0" w14:textId="77777777" w:rsidTr="00F84E26">
        <w:trPr>
          <w:trHeight w:val="127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4CD6EE6F" w14:textId="77777777" w:rsidR="000E5B6D" w:rsidRPr="003106F8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106F8">
              <w:rPr>
                <w:rFonts w:asciiTheme="minorHAnsi" w:hAnsiTheme="minorHAnsi" w:cs="Arial"/>
                <w:b/>
                <w:bCs/>
                <w:sz w:val="22"/>
              </w:rPr>
              <w:t xml:space="preserve">Ofgem Response </w:t>
            </w:r>
          </w:p>
          <w:p w14:paraId="68C4F125" w14:textId="77777777" w:rsidR="000E5B6D" w:rsidRPr="003106F8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260FE646" w14:textId="77777777" w:rsidR="000E5B6D" w:rsidRPr="003106F8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02C5C34A" w14:textId="66640490" w:rsidR="000E5B6D" w:rsidRPr="003106F8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8081" w:type="dxa"/>
            <w:gridSpan w:val="2"/>
            <w:shd w:val="clear" w:color="auto" w:fill="auto"/>
          </w:tcPr>
          <w:p w14:paraId="631EC2E4" w14:textId="7AE6A343" w:rsidR="00F84E26" w:rsidRDefault="00447392" w:rsidP="00F84E26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can confirm </w:t>
            </w:r>
            <w:r w:rsidR="00F84E26" w:rsidRPr="00F84E26">
              <w:rPr>
                <w:rFonts w:asciiTheme="minorHAnsi" w:hAnsiTheme="minorHAnsi" w:cs="Arial"/>
                <w:sz w:val="22"/>
              </w:rPr>
              <w:t xml:space="preserve">Option 1 was applied, which </w:t>
            </w:r>
            <w:r>
              <w:rPr>
                <w:rFonts w:asciiTheme="minorHAnsi" w:hAnsiTheme="minorHAnsi" w:cs="Arial"/>
                <w:sz w:val="22"/>
              </w:rPr>
              <w:t xml:space="preserve">was adopted after consultation with the GDNs as it </w:t>
            </w:r>
            <w:r w:rsidR="00F84E26" w:rsidRPr="00F84E26">
              <w:rPr>
                <w:rFonts w:asciiTheme="minorHAnsi" w:hAnsiTheme="minorHAnsi" w:cs="Arial"/>
                <w:sz w:val="22"/>
              </w:rPr>
              <w:t>ensures consistency between the totex allowance and bottom-up adjustments made through the PCDs and maintains the industry average synthetic unit cost curve.</w:t>
            </w:r>
          </w:p>
          <w:p w14:paraId="7CEB02BD" w14:textId="77777777" w:rsidR="00447392" w:rsidRDefault="003541B7" w:rsidP="00F84E26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All the information you </w:t>
            </w:r>
            <w:r w:rsidR="00447392">
              <w:rPr>
                <w:rFonts w:asciiTheme="minorHAnsi" w:hAnsiTheme="minorHAnsi" w:cs="Arial"/>
                <w:sz w:val="22"/>
              </w:rPr>
              <w:t xml:space="preserve">have </w:t>
            </w:r>
            <w:r>
              <w:rPr>
                <w:rFonts w:asciiTheme="minorHAnsi" w:hAnsiTheme="minorHAnsi" w:cs="Arial"/>
                <w:sz w:val="22"/>
              </w:rPr>
              <w:t>request</w:t>
            </w:r>
            <w:r w:rsidR="00447392">
              <w:rPr>
                <w:rFonts w:asciiTheme="minorHAnsi" w:hAnsiTheme="minorHAnsi" w:cs="Arial"/>
                <w:sz w:val="22"/>
              </w:rPr>
              <w:t>ed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="00447392">
              <w:rPr>
                <w:rFonts w:asciiTheme="minorHAnsi" w:hAnsiTheme="minorHAnsi" w:cs="Arial"/>
                <w:sz w:val="22"/>
              </w:rPr>
              <w:t xml:space="preserve">above </w:t>
            </w:r>
            <w:r>
              <w:rPr>
                <w:rFonts w:asciiTheme="minorHAnsi" w:hAnsiTheme="minorHAnsi" w:cs="Arial"/>
                <w:sz w:val="22"/>
              </w:rPr>
              <w:t xml:space="preserve">can be found </w:t>
            </w:r>
            <w:r w:rsidR="00447392">
              <w:rPr>
                <w:rFonts w:asciiTheme="minorHAnsi" w:hAnsiTheme="minorHAnsi" w:cs="Arial"/>
                <w:sz w:val="22"/>
              </w:rPr>
              <w:t>within the Modelling Suite uploaded to Huddle in the E</w:t>
            </w:r>
            <w:r w:rsidR="000F48B9">
              <w:rPr>
                <w:rFonts w:asciiTheme="minorHAnsi" w:hAnsiTheme="minorHAnsi" w:cs="Arial"/>
                <w:sz w:val="22"/>
              </w:rPr>
              <w:t>xcel</w:t>
            </w:r>
            <w:r w:rsidR="0053398A">
              <w:rPr>
                <w:rFonts w:asciiTheme="minorHAnsi" w:hAnsiTheme="minorHAnsi" w:cs="Arial"/>
                <w:sz w:val="22"/>
              </w:rPr>
              <w:t xml:space="preserve"> file named ‘</w:t>
            </w:r>
            <w:r w:rsidR="000F48B9" w:rsidRPr="000F48B9">
              <w:rPr>
                <w:rFonts w:asciiTheme="minorHAnsi" w:hAnsiTheme="minorHAnsi" w:cs="Arial"/>
                <w:sz w:val="22"/>
              </w:rPr>
              <w:t>PCD_VD_UnitCostModel_noRPEs</w:t>
            </w:r>
            <w:r w:rsidR="000F48B9">
              <w:rPr>
                <w:rFonts w:asciiTheme="minorHAnsi" w:hAnsiTheme="minorHAnsi" w:cs="Arial"/>
                <w:sz w:val="22"/>
              </w:rPr>
              <w:t>’</w:t>
            </w:r>
            <w:r w:rsidR="00447392">
              <w:rPr>
                <w:rFonts w:asciiTheme="minorHAnsi" w:hAnsiTheme="minorHAnsi" w:cs="Arial"/>
                <w:sz w:val="22"/>
              </w:rPr>
              <w:t xml:space="preserve">. </w:t>
            </w:r>
          </w:p>
          <w:p w14:paraId="0481D238" w14:textId="6736B391" w:rsidR="003541B7" w:rsidRDefault="00447392" w:rsidP="00F84E26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However</w:t>
            </w:r>
            <w:r w:rsidR="007C2ADA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to assist SGN</w:t>
            </w:r>
            <w:r w:rsidR="007C2ADA">
              <w:rPr>
                <w:rFonts w:asciiTheme="minorHAnsi" w:hAnsiTheme="minorHAnsi" w:cs="Arial"/>
                <w:sz w:val="22"/>
              </w:rPr>
              <w:t>,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="00BD74F1">
              <w:rPr>
                <w:rFonts w:asciiTheme="minorHAnsi" w:hAnsiTheme="minorHAnsi" w:cs="Arial"/>
                <w:sz w:val="22"/>
              </w:rPr>
              <w:t>we hav</w:t>
            </w:r>
            <w:r w:rsidR="00D52B0A">
              <w:rPr>
                <w:rFonts w:asciiTheme="minorHAnsi" w:hAnsiTheme="minorHAnsi" w:cs="Arial"/>
                <w:sz w:val="22"/>
              </w:rPr>
              <w:t xml:space="preserve">e also set out the </w:t>
            </w:r>
            <w:r>
              <w:rPr>
                <w:rFonts w:asciiTheme="minorHAnsi" w:hAnsiTheme="minorHAnsi" w:cs="Arial"/>
                <w:sz w:val="22"/>
              </w:rPr>
              <w:t xml:space="preserve">specific </w:t>
            </w:r>
            <w:r w:rsidR="00D52B0A">
              <w:rPr>
                <w:rFonts w:asciiTheme="minorHAnsi" w:hAnsiTheme="minorHAnsi" w:cs="Arial"/>
                <w:sz w:val="22"/>
              </w:rPr>
              <w:t xml:space="preserve">information </w:t>
            </w:r>
            <w:r>
              <w:rPr>
                <w:rFonts w:asciiTheme="minorHAnsi" w:hAnsiTheme="minorHAnsi" w:cs="Arial"/>
                <w:sz w:val="22"/>
              </w:rPr>
              <w:t xml:space="preserve">requested </w:t>
            </w:r>
            <w:r w:rsidR="00D52B0A">
              <w:rPr>
                <w:rFonts w:asciiTheme="minorHAnsi" w:hAnsiTheme="minorHAnsi" w:cs="Arial"/>
                <w:sz w:val="22"/>
              </w:rPr>
              <w:t xml:space="preserve">below </w:t>
            </w:r>
            <w:r w:rsidR="003C6D75">
              <w:rPr>
                <w:rFonts w:asciiTheme="minorHAnsi" w:hAnsiTheme="minorHAnsi" w:cs="Arial"/>
                <w:sz w:val="22"/>
              </w:rPr>
              <w:t>for your convenience</w:t>
            </w:r>
            <w:r w:rsidR="00D52B0A">
              <w:rPr>
                <w:rFonts w:asciiTheme="minorHAnsi" w:hAnsiTheme="minorHAnsi" w:cs="Arial"/>
                <w:sz w:val="22"/>
              </w:rPr>
              <w:t>.</w:t>
            </w:r>
          </w:p>
          <w:p w14:paraId="4395F934" w14:textId="68863561" w:rsidR="00F84E26" w:rsidRPr="00F84E26" w:rsidRDefault="00F84E26" w:rsidP="00F84E26">
            <w:pPr>
              <w:rPr>
                <w:rFonts w:asciiTheme="minorHAnsi" w:hAnsiTheme="minorHAnsi" w:cs="Arial"/>
                <w:b/>
                <w:bCs/>
                <w:sz w:val="22"/>
                <w:u w:val="single"/>
              </w:rPr>
            </w:pPr>
            <w:r w:rsidRPr="00F84E26">
              <w:rPr>
                <w:rFonts w:asciiTheme="minorHAnsi" w:hAnsiTheme="minorHAnsi" w:cs="Arial"/>
                <w:b/>
                <w:bCs/>
                <w:sz w:val="22"/>
                <w:u w:val="single"/>
              </w:rPr>
              <w:lastRenderedPageBreak/>
              <w:t>Tier 1 mains</w:t>
            </w:r>
            <w:r w:rsidR="0093029A">
              <w:rPr>
                <w:rFonts w:asciiTheme="minorHAnsi" w:hAnsiTheme="minorHAnsi" w:cs="Arial"/>
                <w:b/>
                <w:bCs/>
                <w:sz w:val="22"/>
                <w:u w:val="single"/>
              </w:rPr>
              <w:t xml:space="preserve"> PCD</w:t>
            </w:r>
          </w:p>
          <w:p w14:paraId="4CE62840" w14:textId="7774AE1E" w:rsidR="00F84E26" w:rsidRDefault="00F84E26" w:rsidP="00F84E2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Industry average synthetic decommissioning unit costs</w:t>
            </w:r>
            <w:r w:rsidR="00E326F5">
              <w:rPr>
                <w:rFonts w:asciiTheme="minorHAnsi" w:hAnsiTheme="minorHAnsi" w:cs="Arial"/>
                <w:sz w:val="22"/>
              </w:rPr>
              <w:t xml:space="preserve"> </w:t>
            </w:r>
            <w:r w:rsidR="00E326F5" w:rsidRPr="0018237A">
              <w:rPr>
                <w:rFonts w:asciiTheme="minorHAnsi" w:hAnsiTheme="minorHAnsi" w:cs="Arial"/>
                <w:color w:val="4F81BD" w:themeColor="accent1"/>
                <w:sz w:val="22"/>
              </w:rPr>
              <w:t>(</w:t>
            </w:r>
            <w:r w:rsidR="00387FB7" w:rsidRPr="0018237A">
              <w:rPr>
                <w:rFonts w:asciiTheme="minorHAnsi" w:hAnsiTheme="minorHAnsi" w:cs="Arial"/>
                <w:color w:val="4F81BD" w:themeColor="accent1"/>
                <w:sz w:val="22"/>
              </w:rPr>
              <w:t>included in ‘Inp_IA_SUCs’)</w:t>
            </w:r>
            <w:r>
              <w:rPr>
                <w:rFonts w:asciiTheme="minorHAnsi" w:hAnsiTheme="minorHAnsi" w:cs="Arial"/>
                <w:sz w:val="22"/>
              </w:rPr>
              <w:t>:</w:t>
            </w:r>
          </w:p>
          <w:p w14:paraId="113E127E" w14:textId="77777777" w:rsidR="00F84E26" w:rsidRDefault="00F84E26" w:rsidP="00F84E26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≤</w:t>
            </w:r>
            <w:r>
              <w:rPr>
                <w:rFonts w:asciiTheme="minorHAnsi" w:hAnsiTheme="minorHAnsi" w:cs="Arial"/>
                <w:sz w:val="22"/>
              </w:rPr>
              <w:t>3” = £94,757 per km</w:t>
            </w:r>
          </w:p>
          <w:p w14:paraId="252AA5D3" w14:textId="77777777" w:rsidR="00F84E26" w:rsidRDefault="00F84E26" w:rsidP="00F84E26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4”-5” = £104,893 per km</w:t>
            </w:r>
          </w:p>
          <w:p w14:paraId="0AD04D65" w14:textId="77777777" w:rsidR="00F84E26" w:rsidRDefault="00F84E26" w:rsidP="00F84E26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6”-7” = £152,743 per km</w:t>
            </w:r>
          </w:p>
          <w:p w14:paraId="07D50128" w14:textId="77777777" w:rsidR="00F84E26" w:rsidRDefault="00F84E26" w:rsidP="00F84E26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8” = £228,731 per km</w:t>
            </w:r>
          </w:p>
          <w:p w14:paraId="0B82327C" w14:textId="0D933FDA" w:rsidR="00F84E26" w:rsidRDefault="00F84E26" w:rsidP="00F84E2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Bottom up allowances</w:t>
            </w:r>
            <w:r w:rsidR="00CB3ECC">
              <w:rPr>
                <w:rFonts w:asciiTheme="minorHAnsi" w:hAnsiTheme="minorHAnsi" w:cs="Arial"/>
                <w:sz w:val="22"/>
              </w:rPr>
              <w:t xml:space="preserve"> </w:t>
            </w:r>
            <w:r w:rsidR="00CB3ECC" w:rsidRPr="0018237A">
              <w:rPr>
                <w:rFonts w:asciiTheme="minorHAnsi" w:hAnsiTheme="minorHAnsi" w:cs="Arial"/>
                <w:color w:val="4F81BD" w:themeColor="accent1"/>
                <w:sz w:val="22"/>
              </w:rPr>
              <w:t>(included in ‘Cal_BUallowance’)</w:t>
            </w:r>
            <w:r>
              <w:rPr>
                <w:rFonts w:asciiTheme="minorHAnsi" w:hAnsiTheme="minorHAnsi" w:cs="Arial"/>
                <w:sz w:val="22"/>
              </w:rPr>
              <w:t>:</w:t>
            </w:r>
          </w:p>
          <w:p w14:paraId="22D83632" w14:textId="77777777" w:rsidR="00F84E26" w:rsidRDefault="00F84E26" w:rsidP="00F84E26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Scotland: £139.0 million</w:t>
            </w:r>
          </w:p>
          <w:p w14:paraId="6C2956E8" w14:textId="77777777" w:rsidR="00F84E26" w:rsidRDefault="00F84E26" w:rsidP="00F84E26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Southern: £395.7 million</w:t>
            </w:r>
          </w:p>
          <w:p w14:paraId="66537D53" w14:textId="414DC55A" w:rsidR="00F84E26" w:rsidRDefault="00F84E26" w:rsidP="00F84E2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Adjusted </w:t>
            </w:r>
            <w:r w:rsidR="00E223C8">
              <w:rPr>
                <w:rFonts w:asciiTheme="minorHAnsi" w:hAnsiTheme="minorHAnsi" w:cs="Arial"/>
                <w:sz w:val="22"/>
              </w:rPr>
              <w:t xml:space="preserve">RIIO-GD2 </w:t>
            </w:r>
            <w:r>
              <w:rPr>
                <w:rFonts w:asciiTheme="minorHAnsi" w:hAnsiTheme="minorHAnsi" w:cs="Arial"/>
                <w:sz w:val="22"/>
              </w:rPr>
              <w:t>decommissioning workloads</w:t>
            </w:r>
            <w:r w:rsidR="00231970">
              <w:rPr>
                <w:rFonts w:asciiTheme="minorHAnsi" w:hAnsiTheme="minorHAnsi" w:cs="Arial"/>
                <w:sz w:val="22"/>
              </w:rPr>
              <w:t xml:space="preserve"> </w:t>
            </w:r>
            <w:r w:rsidR="00231970" w:rsidRPr="0018237A">
              <w:rPr>
                <w:rFonts w:asciiTheme="minorHAnsi" w:hAnsiTheme="minorHAnsi" w:cs="Arial"/>
                <w:color w:val="4F81BD" w:themeColor="accent1"/>
                <w:sz w:val="22"/>
              </w:rPr>
              <w:t>(included in ‘Cal_SubWorkloadsAdj’)</w:t>
            </w:r>
            <w:r>
              <w:rPr>
                <w:rFonts w:asciiTheme="minorHAnsi" w:hAnsiTheme="minorHAnsi" w:cs="Arial"/>
                <w:sz w:val="22"/>
              </w:rPr>
              <w:t>:</w:t>
            </w:r>
          </w:p>
          <w:p w14:paraId="3F59970E" w14:textId="77777777" w:rsidR="00F84E26" w:rsidRDefault="00E223C8" w:rsidP="00F84E26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</w:t>
            </w:r>
          </w:p>
          <w:p w14:paraId="38750921" w14:textId="388938D7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≤</w:t>
            </w:r>
            <w:r>
              <w:rPr>
                <w:rFonts w:asciiTheme="minorHAnsi" w:hAnsiTheme="minorHAnsi" w:cs="Arial"/>
                <w:sz w:val="22"/>
              </w:rPr>
              <w:t>3” = 62.6 kms</w:t>
            </w:r>
          </w:p>
          <w:p w14:paraId="7CEBFAF2" w14:textId="2BCC1058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4”-5” = 519.4 kms</w:t>
            </w:r>
          </w:p>
          <w:p w14:paraId="040717EB" w14:textId="195E06BE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6”-7” = 354.9 kms</w:t>
            </w:r>
          </w:p>
          <w:p w14:paraId="1F2D4B8B" w14:textId="631DC8AA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8” = 106.4 kms</w:t>
            </w:r>
          </w:p>
          <w:p w14:paraId="33D71AC6" w14:textId="3D665C50" w:rsidR="00E223C8" w:rsidRDefault="00E223C8" w:rsidP="00E223C8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</w:t>
            </w:r>
          </w:p>
          <w:p w14:paraId="5E2AE855" w14:textId="522542DB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≤</w:t>
            </w:r>
            <w:r>
              <w:rPr>
                <w:rFonts w:asciiTheme="minorHAnsi" w:hAnsiTheme="minorHAnsi" w:cs="Arial"/>
                <w:sz w:val="22"/>
              </w:rPr>
              <w:t>3” = 75.9 kms</w:t>
            </w:r>
          </w:p>
          <w:p w14:paraId="2F1FECE1" w14:textId="3BB00195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4”-5” = 1,837.1 kms</w:t>
            </w:r>
          </w:p>
          <w:p w14:paraId="76CF5212" w14:textId="49787C4B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6”-7” = 804.7 kms</w:t>
            </w:r>
          </w:p>
          <w:p w14:paraId="0A8C70AE" w14:textId="1BBC5A3D" w:rsidR="00E223C8" w:rsidRDefault="00E223C8" w:rsidP="00E223C8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8” = 318.8 kms</w:t>
            </w:r>
          </w:p>
          <w:p w14:paraId="75FD57A6" w14:textId="796A81AD" w:rsidR="00E223C8" w:rsidRDefault="00E223C8" w:rsidP="00E223C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Top-down efficient tier 1 mains allowance (excluding steel &lt; 2”)</w:t>
            </w:r>
            <w:r w:rsidR="000F411D">
              <w:rPr>
                <w:rFonts w:asciiTheme="minorHAnsi" w:hAnsiTheme="minorHAnsi" w:cs="Arial"/>
                <w:sz w:val="22"/>
              </w:rPr>
              <w:t xml:space="preserve"> </w:t>
            </w:r>
            <w:r w:rsidR="000F411D" w:rsidRPr="000F411D">
              <w:rPr>
                <w:rFonts w:asciiTheme="minorHAnsi" w:hAnsiTheme="minorHAnsi" w:cs="Arial"/>
                <w:color w:val="4F81BD" w:themeColor="accent1"/>
                <w:sz w:val="22"/>
              </w:rPr>
              <w:t>(included in ‘Inp_TD_DisaggAllowance</w:t>
            </w:r>
            <w:r w:rsidR="004B13AC">
              <w:rPr>
                <w:rFonts w:asciiTheme="minorHAnsi" w:hAnsiTheme="minorHAnsi" w:cs="Arial"/>
                <w:color w:val="4F81BD" w:themeColor="accent1"/>
                <w:sz w:val="22"/>
              </w:rPr>
              <w:t>’</w:t>
            </w:r>
            <w:r w:rsidR="000F411D" w:rsidRPr="000F411D">
              <w:rPr>
                <w:rFonts w:asciiTheme="minorHAnsi" w:hAnsiTheme="minorHAnsi" w:cs="Arial"/>
                <w:color w:val="4F81BD" w:themeColor="accent1"/>
                <w:sz w:val="22"/>
              </w:rPr>
              <w:t>)</w:t>
            </w:r>
            <w:r w:rsidR="000F411D">
              <w:rPr>
                <w:rFonts w:asciiTheme="minorHAnsi" w:hAnsiTheme="minorHAnsi" w:cs="Arial"/>
                <w:sz w:val="22"/>
              </w:rPr>
              <w:t>:</w:t>
            </w:r>
          </w:p>
          <w:p w14:paraId="4DF68D8B" w14:textId="77777777" w:rsidR="00E223C8" w:rsidRDefault="00E223C8" w:rsidP="00E223C8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Scotland: £159.8m</w:t>
            </w:r>
          </w:p>
          <w:p w14:paraId="46F7E3B3" w14:textId="77777777" w:rsidR="00E223C8" w:rsidRDefault="00E223C8" w:rsidP="00E223C8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Southern: £425.2m</w:t>
            </w:r>
          </w:p>
          <w:p w14:paraId="3895CD5B" w14:textId="3FC60B03" w:rsidR="00E223C8" w:rsidRDefault="00E223C8" w:rsidP="00E223C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Bottom-up to top-down unit cost adjustment factors</w:t>
            </w:r>
            <w:r w:rsidR="008C1105">
              <w:rPr>
                <w:rFonts w:asciiTheme="minorHAnsi" w:hAnsiTheme="minorHAnsi" w:cs="Arial"/>
                <w:sz w:val="22"/>
              </w:rPr>
              <w:t xml:space="preserve"> </w:t>
            </w:r>
            <w:r w:rsidR="008C1105" w:rsidRPr="004376E1">
              <w:rPr>
                <w:rFonts w:asciiTheme="minorHAnsi" w:hAnsiTheme="minorHAnsi" w:cs="Arial"/>
                <w:color w:val="4F81BD" w:themeColor="accent1"/>
                <w:sz w:val="22"/>
              </w:rPr>
              <w:t>(</w:t>
            </w:r>
            <w:r w:rsidR="008C1105">
              <w:rPr>
                <w:rFonts w:asciiTheme="minorHAnsi" w:hAnsiTheme="minorHAnsi" w:cs="Arial"/>
                <w:color w:val="4F81BD" w:themeColor="accent1"/>
                <w:sz w:val="22"/>
              </w:rPr>
              <w:t>included in ‘Cal_TDvsBU’)</w:t>
            </w:r>
            <w:r w:rsidR="008C1105" w:rsidRPr="008C1105">
              <w:rPr>
                <w:rFonts w:asciiTheme="minorHAnsi" w:hAnsiTheme="minorHAnsi" w:cs="Arial"/>
                <w:sz w:val="22"/>
              </w:rPr>
              <w:t>:</w:t>
            </w:r>
          </w:p>
          <w:p w14:paraId="69BC6CD0" w14:textId="77777777" w:rsidR="00E223C8" w:rsidRDefault="00E223C8" w:rsidP="00E223C8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Scotland: 115%</w:t>
            </w:r>
          </w:p>
          <w:p w14:paraId="5B56E479" w14:textId="77777777" w:rsidR="00E223C8" w:rsidRDefault="00E223C8" w:rsidP="00E223C8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Southern: 107%</w:t>
            </w:r>
          </w:p>
          <w:p w14:paraId="566B53A0" w14:textId="30760B3F" w:rsidR="00E223C8" w:rsidRDefault="00E223C8" w:rsidP="00E223C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Resulting PCD unit costs</w:t>
            </w:r>
            <w:r w:rsidR="00B145B4">
              <w:rPr>
                <w:rFonts w:asciiTheme="minorHAnsi" w:hAnsiTheme="minorHAnsi" w:cs="Arial"/>
                <w:sz w:val="22"/>
              </w:rPr>
              <w:t xml:space="preserve"> </w:t>
            </w:r>
            <w:r w:rsidR="00B145B4">
              <w:rPr>
                <w:rFonts w:asciiTheme="minorHAnsi" w:hAnsiTheme="minorHAnsi" w:cs="Arial"/>
                <w:color w:val="4F81BD" w:themeColor="accent1"/>
                <w:sz w:val="22"/>
              </w:rPr>
              <w:t>(included in ‘Out_Unit</w:t>
            </w:r>
            <w:r w:rsidR="004376E1">
              <w:rPr>
                <w:rFonts w:asciiTheme="minorHAnsi" w:hAnsiTheme="minorHAnsi" w:cs="Arial"/>
                <w:color w:val="4F81BD" w:themeColor="accent1"/>
                <w:sz w:val="22"/>
              </w:rPr>
              <w:t>Costs’)</w:t>
            </w:r>
            <w:r w:rsidR="00F379FD">
              <w:rPr>
                <w:rFonts w:asciiTheme="minorHAnsi" w:hAnsiTheme="minorHAnsi" w:cs="Arial"/>
                <w:sz w:val="22"/>
              </w:rPr>
              <w:t>:</w:t>
            </w:r>
          </w:p>
          <w:p w14:paraId="3C7A52CD" w14:textId="77777777" w:rsidR="00B77BAB" w:rsidRDefault="00B77BAB" w:rsidP="00B77BAB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</w:t>
            </w:r>
          </w:p>
          <w:p w14:paraId="3BC75EA3" w14:textId="6FE0B86F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≤</w:t>
            </w:r>
            <w:r>
              <w:rPr>
                <w:rFonts w:asciiTheme="minorHAnsi" w:hAnsiTheme="minorHAnsi" w:cs="Arial"/>
                <w:sz w:val="22"/>
              </w:rPr>
              <w:t>3” = £108,958 per km</w:t>
            </w:r>
          </w:p>
          <w:p w14:paraId="6A8656B9" w14:textId="4851CAE6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4”-5” = £120,614 per km</w:t>
            </w:r>
          </w:p>
          <w:p w14:paraId="3EB9EA4C" w14:textId="173CA98D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6”-7” = £175,635 per km</w:t>
            </w:r>
          </w:p>
          <w:p w14:paraId="7D5E3F72" w14:textId="50E24D86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8” = £263,011 per km</w:t>
            </w:r>
          </w:p>
          <w:p w14:paraId="23B4F074" w14:textId="77777777" w:rsidR="00B77BAB" w:rsidRDefault="00B77BAB" w:rsidP="00B77BAB">
            <w:pPr>
              <w:pStyle w:val="ListParagraph"/>
              <w:numPr>
                <w:ilvl w:val="1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</w:t>
            </w:r>
          </w:p>
          <w:p w14:paraId="6F794550" w14:textId="183228BD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≤</w:t>
            </w:r>
            <w:r>
              <w:rPr>
                <w:rFonts w:asciiTheme="minorHAnsi" w:hAnsiTheme="minorHAnsi" w:cs="Arial"/>
                <w:sz w:val="22"/>
              </w:rPr>
              <w:t>3” = £101,803 per km</w:t>
            </w:r>
          </w:p>
          <w:p w14:paraId="1A651097" w14:textId="7BA2AD2C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4”-5” = £112,693 per km</w:t>
            </w:r>
          </w:p>
          <w:p w14:paraId="323A3484" w14:textId="0729A4FF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6”-7” = £164,102 per km</w:t>
            </w:r>
          </w:p>
          <w:p w14:paraId="7DFD869D" w14:textId="3BB80D2B" w:rsidR="00B77BAB" w:rsidRDefault="00B77BAB" w:rsidP="00B77BAB">
            <w:pPr>
              <w:pStyle w:val="ListParagraph"/>
              <w:numPr>
                <w:ilvl w:val="2"/>
                <w:numId w:val="10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8” = £245,740 per km</w:t>
            </w:r>
          </w:p>
          <w:p w14:paraId="1E978897" w14:textId="77777777" w:rsidR="00447392" w:rsidRDefault="00447392" w:rsidP="00B77BAB">
            <w:pPr>
              <w:rPr>
                <w:rFonts w:asciiTheme="minorHAnsi" w:hAnsiTheme="minorHAnsi" w:cs="Arial"/>
                <w:b/>
                <w:bCs/>
                <w:sz w:val="22"/>
                <w:u w:val="single"/>
              </w:rPr>
            </w:pPr>
          </w:p>
          <w:p w14:paraId="268191A5" w14:textId="24C7C32E" w:rsidR="00B77BAB" w:rsidRPr="00F84E26" w:rsidRDefault="00B77BAB" w:rsidP="00B77BAB">
            <w:pPr>
              <w:rPr>
                <w:rFonts w:asciiTheme="minorHAnsi" w:hAnsiTheme="minorHAnsi" w:cs="Arial"/>
                <w:b/>
                <w:bCs/>
                <w:sz w:val="22"/>
                <w:u w:val="single"/>
              </w:rPr>
            </w:pPr>
            <w:r w:rsidRPr="00F84E26">
              <w:rPr>
                <w:rFonts w:asciiTheme="minorHAnsi" w:hAnsiTheme="minorHAnsi" w:cs="Arial"/>
                <w:b/>
                <w:bCs/>
                <w:sz w:val="22"/>
                <w:u w:val="single"/>
              </w:rPr>
              <w:lastRenderedPageBreak/>
              <w:t xml:space="preserve">Tier 1 </w:t>
            </w:r>
            <w:r>
              <w:rPr>
                <w:rFonts w:asciiTheme="minorHAnsi" w:hAnsiTheme="minorHAnsi" w:cs="Arial"/>
                <w:b/>
                <w:bCs/>
                <w:sz w:val="22"/>
                <w:u w:val="single"/>
              </w:rPr>
              <w:t>services</w:t>
            </w:r>
            <w:r w:rsidR="0093029A">
              <w:rPr>
                <w:rFonts w:asciiTheme="minorHAnsi" w:hAnsiTheme="minorHAnsi" w:cs="Arial"/>
                <w:b/>
                <w:bCs/>
                <w:sz w:val="22"/>
                <w:u w:val="single"/>
              </w:rPr>
              <w:t xml:space="preserve"> PCD</w:t>
            </w:r>
          </w:p>
          <w:p w14:paraId="53BD33E4" w14:textId="1E7EEFF1" w:rsidR="00B77BAB" w:rsidRDefault="00B77BAB" w:rsidP="00B77BA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Industry average synthetic decommissioning unit costs</w:t>
            </w:r>
            <w:r w:rsidR="00102AB3">
              <w:rPr>
                <w:rFonts w:asciiTheme="minorHAnsi" w:hAnsiTheme="minorHAnsi" w:cs="Arial"/>
                <w:sz w:val="22"/>
              </w:rPr>
              <w:t xml:space="preserve"> </w:t>
            </w:r>
            <w:r w:rsidR="00102AB3" w:rsidRPr="004376E1">
              <w:rPr>
                <w:rFonts w:asciiTheme="minorHAnsi" w:hAnsiTheme="minorHAnsi" w:cs="Arial"/>
                <w:color w:val="4F81BD" w:themeColor="accent1"/>
                <w:sz w:val="22"/>
              </w:rPr>
              <w:t>(included in ‘Inp_IA_SUCs’)</w:t>
            </w:r>
            <w:r>
              <w:rPr>
                <w:rFonts w:asciiTheme="minorHAnsi" w:hAnsiTheme="minorHAnsi" w:cs="Arial"/>
                <w:sz w:val="22"/>
              </w:rPr>
              <w:t>:</w:t>
            </w:r>
          </w:p>
          <w:p w14:paraId="6BD5F682" w14:textId="3EE96ACE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Relay: £740 per service</w:t>
            </w:r>
          </w:p>
          <w:p w14:paraId="1B59F318" w14:textId="1B02ED55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Test and transfer: £466 per service</w:t>
            </w:r>
          </w:p>
          <w:p w14:paraId="0A5EDA42" w14:textId="1DBD7BAF" w:rsidR="00B77BAB" w:rsidRDefault="00B77BAB" w:rsidP="00B77BA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Bottom up allowances</w:t>
            </w:r>
            <w:r w:rsidR="00CB3ECC">
              <w:rPr>
                <w:rFonts w:asciiTheme="minorHAnsi" w:hAnsiTheme="minorHAnsi" w:cs="Arial"/>
                <w:sz w:val="22"/>
              </w:rPr>
              <w:t xml:space="preserve"> </w:t>
            </w:r>
            <w:r w:rsidR="00CB3ECC" w:rsidRPr="004376E1">
              <w:rPr>
                <w:rFonts w:asciiTheme="minorHAnsi" w:hAnsiTheme="minorHAnsi" w:cs="Arial"/>
                <w:color w:val="4F81BD" w:themeColor="accent1"/>
                <w:sz w:val="22"/>
              </w:rPr>
              <w:t>(included in ‘Cal_BUallowance’)</w:t>
            </w:r>
            <w:r>
              <w:rPr>
                <w:rFonts w:asciiTheme="minorHAnsi" w:hAnsiTheme="minorHAnsi" w:cs="Arial"/>
                <w:sz w:val="22"/>
              </w:rPr>
              <w:t>:</w:t>
            </w:r>
          </w:p>
          <w:p w14:paraId="73E7C15B" w14:textId="49AB60E9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Scotland: £45.3 million</w:t>
            </w:r>
          </w:p>
          <w:p w14:paraId="1CF1C6C8" w14:textId="71747481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Southern: £173.9 million</w:t>
            </w:r>
          </w:p>
          <w:p w14:paraId="0263B0EA" w14:textId="459AB11B" w:rsidR="00B77BAB" w:rsidRDefault="00B77BAB" w:rsidP="00B77BA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Adjusted RIIO-GD2 decommissioning workloads</w:t>
            </w:r>
            <w:r w:rsidR="0018237A">
              <w:rPr>
                <w:rFonts w:asciiTheme="minorHAnsi" w:hAnsiTheme="minorHAnsi" w:cs="Arial"/>
                <w:sz w:val="22"/>
              </w:rPr>
              <w:t xml:space="preserve"> </w:t>
            </w:r>
            <w:r w:rsidR="0018237A" w:rsidRPr="004376E1">
              <w:rPr>
                <w:rFonts w:asciiTheme="minorHAnsi" w:hAnsiTheme="minorHAnsi" w:cs="Arial"/>
                <w:color w:val="4F81BD" w:themeColor="accent1"/>
                <w:sz w:val="22"/>
              </w:rPr>
              <w:t>(included in ‘Cal_SubWorkloadsAdj’)</w:t>
            </w:r>
            <w:r>
              <w:rPr>
                <w:rFonts w:asciiTheme="minorHAnsi" w:hAnsiTheme="minorHAnsi" w:cs="Arial"/>
                <w:sz w:val="22"/>
              </w:rPr>
              <w:t>:</w:t>
            </w:r>
          </w:p>
          <w:p w14:paraId="4586B4B5" w14:textId="77777777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</w:t>
            </w:r>
          </w:p>
          <w:p w14:paraId="5BCF6A55" w14:textId="25B0C4DC" w:rsidR="00B77BAB" w:rsidRDefault="00B77BAB" w:rsidP="00B77BAB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Relay = 30,610 services</w:t>
            </w:r>
          </w:p>
          <w:p w14:paraId="3F2F22E9" w14:textId="6EF73DD8" w:rsidR="00B77BAB" w:rsidRDefault="00B77BAB" w:rsidP="00B77BAB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Test and transfer = 48,595 services</w:t>
            </w:r>
          </w:p>
          <w:p w14:paraId="1D9B12C6" w14:textId="77777777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</w:t>
            </w:r>
          </w:p>
          <w:p w14:paraId="612BEF19" w14:textId="5D094213" w:rsidR="00B77BAB" w:rsidRDefault="00B77BAB" w:rsidP="00B77BAB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Relay = 178,898 services</w:t>
            </w:r>
          </w:p>
          <w:p w14:paraId="6D80829F" w14:textId="0D4B1A57" w:rsidR="00B77BAB" w:rsidRDefault="00B77BAB" w:rsidP="00B77BAB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Test and transfer = 89,163 services</w:t>
            </w:r>
          </w:p>
          <w:p w14:paraId="38D98498" w14:textId="2B7758A1" w:rsidR="00B77BAB" w:rsidRDefault="00B77BAB" w:rsidP="00B77BA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Top-down efficient tier 1 services allowance (excluding steel &lt; 2”)</w:t>
            </w:r>
            <w:r w:rsidR="00F379FD">
              <w:rPr>
                <w:rFonts w:asciiTheme="minorHAnsi" w:hAnsiTheme="minorHAnsi" w:cs="Arial"/>
                <w:sz w:val="22"/>
              </w:rPr>
              <w:t xml:space="preserve"> </w:t>
            </w:r>
            <w:r w:rsidR="00F379FD" w:rsidRPr="000F411D">
              <w:rPr>
                <w:rFonts w:asciiTheme="minorHAnsi" w:hAnsiTheme="minorHAnsi" w:cs="Arial"/>
                <w:color w:val="4F81BD" w:themeColor="accent1"/>
                <w:sz w:val="22"/>
              </w:rPr>
              <w:t>(included in ‘Inp_TD_DisaggAllowance</w:t>
            </w:r>
            <w:r w:rsidR="00F379FD">
              <w:rPr>
                <w:rFonts w:asciiTheme="minorHAnsi" w:hAnsiTheme="minorHAnsi" w:cs="Arial"/>
                <w:color w:val="4F81BD" w:themeColor="accent1"/>
                <w:sz w:val="22"/>
              </w:rPr>
              <w:t>’</w:t>
            </w:r>
            <w:r w:rsidR="00F379FD" w:rsidRPr="000F411D">
              <w:rPr>
                <w:rFonts w:asciiTheme="minorHAnsi" w:hAnsiTheme="minorHAnsi" w:cs="Arial"/>
                <w:color w:val="4F81BD" w:themeColor="accent1"/>
                <w:sz w:val="22"/>
              </w:rPr>
              <w:t>)</w:t>
            </w:r>
            <w:r w:rsidR="00F379FD" w:rsidRPr="00F379FD">
              <w:rPr>
                <w:rFonts w:asciiTheme="minorHAnsi" w:hAnsiTheme="minorHAnsi" w:cs="Arial"/>
                <w:sz w:val="22"/>
              </w:rPr>
              <w:t>:</w:t>
            </w:r>
          </w:p>
          <w:p w14:paraId="0BC090F1" w14:textId="43E3FD1D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Scotland: £</w:t>
            </w:r>
            <w:r w:rsidR="0093029A">
              <w:rPr>
                <w:rFonts w:asciiTheme="minorHAnsi" w:hAnsiTheme="minorHAnsi" w:cs="Arial"/>
                <w:sz w:val="22"/>
              </w:rPr>
              <w:t>54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="0093029A">
              <w:rPr>
                <w:rFonts w:asciiTheme="minorHAnsi" w:hAnsiTheme="minorHAnsi" w:cs="Arial"/>
                <w:sz w:val="22"/>
              </w:rPr>
              <w:t>7</w:t>
            </w:r>
            <w:r>
              <w:rPr>
                <w:rFonts w:asciiTheme="minorHAnsi" w:hAnsiTheme="minorHAnsi" w:cs="Arial"/>
                <w:sz w:val="22"/>
              </w:rPr>
              <w:t>m</w:t>
            </w:r>
          </w:p>
          <w:p w14:paraId="7585193B" w14:textId="22EB2659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Southern: £</w:t>
            </w:r>
            <w:r w:rsidR="0093029A">
              <w:rPr>
                <w:rFonts w:asciiTheme="minorHAnsi" w:hAnsiTheme="minorHAnsi" w:cs="Arial"/>
                <w:sz w:val="22"/>
              </w:rPr>
              <w:t>178.6</w:t>
            </w:r>
            <w:r>
              <w:rPr>
                <w:rFonts w:asciiTheme="minorHAnsi" w:hAnsiTheme="minorHAnsi" w:cs="Arial"/>
                <w:sz w:val="22"/>
              </w:rPr>
              <w:t>m</w:t>
            </w:r>
          </w:p>
          <w:p w14:paraId="0E25E8AB" w14:textId="63CFA83D" w:rsidR="00B77BAB" w:rsidRDefault="00B77BAB" w:rsidP="00B77BA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Bottom-up to top-down unit cost adjustment factors</w:t>
            </w:r>
            <w:r w:rsidR="00F379FD">
              <w:rPr>
                <w:rFonts w:asciiTheme="minorHAnsi" w:hAnsiTheme="minorHAnsi" w:cs="Arial"/>
                <w:sz w:val="22"/>
              </w:rPr>
              <w:t xml:space="preserve"> </w:t>
            </w:r>
            <w:r w:rsidR="00F379FD" w:rsidRPr="004376E1">
              <w:rPr>
                <w:rFonts w:asciiTheme="minorHAnsi" w:hAnsiTheme="minorHAnsi" w:cs="Arial"/>
                <w:color w:val="4F81BD" w:themeColor="accent1"/>
                <w:sz w:val="22"/>
              </w:rPr>
              <w:t>(</w:t>
            </w:r>
            <w:r w:rsidR="00F379FD">
              <w:rPr>
                <w:rFonts w:asciiTheme="minorHAnsi" w:hAnsiTheme="minorHAnsi" w:cs="Arial"/>
                <w:color w:val="4F81BD" w:themeColor="accent1"/>
                <w:sz w:val="22"/>
              </w:rPr>
              <w:t>included in ‘Cal_TDvsBU’)</w:t>
            </w:r>
            <w:r w:rsidR="00F379FD" w:rsidRPr="008C1105">
              <w:rPr>
                <w:rFonts w:asciiTheme="minorHAnsi" w:hAnsiTheme="minorHAnsi" w:cs="Arial"/>
                <w:sz w:val="22"/>
              </w:rPr>
              <w:t>:</w:t>
            </w:r>
          </w:p>
          <w:p w14:paraId="5F5BA1E4" w14:textId="3BE8974A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Scotland: 1</w:t>
            </w:r>
            <w:r w:rsidR="0093029A">
              <w:rPr>
                <w:rFonts w:asciiTheme="minorHAnsi" w:hAnsiTheme="minorHAnsi" w:cs="Arial"/>
                <w:sz w:val="22"/>
              </w:rPr>
              <w:t>21</w:t>
            </w:r>
            <w:r>
              <w:rPr>
                <w:rFonts w:asciiTheme="minorHAnsi" w:hAnsiTheme="minorHAnsi" w:cs="Arial"/>
                <w:sz w:val="22"/>
              </w:rPr>
              <w:t>%</w:t>
            </w:r>
          </w:p>
          <w:p w14:paraId="595E8364" w14:textId="6A328E46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Southern: 10</w:t>
            </w:r>
            <w:r w:rsidR="0093029A">
              <w:rPr>
                <w:rFonts w:asciiTheme="minorHAnsi" w:hAnsiTheme="minorHAnsi" w:cs="Arial"/>
                <w:sz w:val="22"/>
              </w:rPr>
              <w:t>3</w:t>
            </w:r>
            <w:r>
              <w:rPr>
                <w:rFonts w:asciiTheme="minorHAnsi" w:hAnsiTheme="minorHAnsi" w:cs="Arial"/>
                <w:sz w:val="22"/>
              </w:rPr>
              <w:t>%</w:t>
            </w:r>
          </w:p>
          <w:p w14:paraId="19E36BD2" w14:textId="560947CB" w:rsidR="00B77BAB" w:rsidRDefault="00B77BAB" w:rsidP="00B77BA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Resulting PCD unit costs</w:t>
            </w:r>
            <w:r w:rsidR="00F379FD">
              <w:rPr>
                <w:rFonts w:asciiTheme="minorHAnsi" w:hAnsiTheme="minorHAnsi" w:cs="Arial"/>
                <w:sz w:val="22"/>
              </w:rPr>
              <w:t xml:space="preserve"> </w:t>
            </w:r>
            <w:r w:rsidR="00F379FD">
              <w:rPr>
                <w:rFonts w:asciiTheme="minorHAnsi" w:hAnsiTheme="minorHAnsi" w:cs="Arial"/>
                <w:color w:val="4F81BD" w:themeColor="accent1"/>
                <w:sz w:val="22"/>
              </w:rPr>
              <w:t>(included in ‘Out_UnitCosts’)</w:t>
            </w:r>
            <w:r w:rsidR="00F379FD">
              <w:rPr>
                <w:rFonts w:asciiTheme="minorHAnsi" w:hAnsiTheme="minorHAnsi" w:cs="Arial"/>
                <w:sz w:val="22"/>
              </w:rPr>
              <w:t>:</w:t>
            </w:r>
          </w:p>
          <w:p w14:paraId="44AC1E9F" w14:textId="77777777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Scotland</w:t>
            </w:r>
          </w:p>
          <w:p w14:paraId="1A1F909B" w14:textId="010D7D68" w:rsidR="00B77BAB" w:rsidRDefault="0093029A" w:rsidP="00B77BAB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Relay</w:t>
            </w:r>
            <w:r w:rsidR="00B77BAB">
              <w:rPr>
                <w:rFonts w:asciiTheme="minorHAnsi" w:hAnsiTheme="minorHAnsi" w:cs="Arial"/>
                <w:sz w:val="22"/>
              </w:rPr>
              <w:t xml:space="preserve"> = £</w:t>
            </w:r>
            <w:r>
              <w:rPr>
                <w:rFonts w:asciiTheme="minorHAnsi" w:hAnsiTheme="minorHAnsi" w:cs="Arial"/>
                <w:sz w:val="22"/>
              </w:rPr>
              <w:t>893</w:t>
            </w:r>
            <w:r w:rsidR="00B77BAB">
              <w:rPr>
                <w:rFonts w:asciiTheme="minorHAnsi" w:hAnsiTheme="minorHAnsi" w:cs="Arial"/>
                <w:sz w:val="22"/>
              </w:rPr>
              <w:t xml:space="preserve"> per </w:t>
            </w:r>
            <w:r>
              <w:rPr>
                <w:rFonts w:asciiTheme="minorHAnsi" w:hAnsiTheme="minorHAnsi" w:cs="Arial"/>
                <w:sz w:val="22"/>
              </w:rPr>
              <w:t>service</w:t>
            </w:r>
          </w:p>
          <w:p w14:paraId="47FB51CA" w14:textId="6780FCA1" w:rsidR="00B77BAB" w:rsidRDefault="0093029A" w:rsidP="00B77BAB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Test and Transfer</w:t>
            </w:r>
            <w:r w:rsidR="00B77BAB">
              <w:rPr>
                <w:rFonts w:asciiTheme="minorHAnsi" w:hAnsiTheme="minorHAnsi" w:cs="Arial"/>
                <w:sz w:val="22"/>
              </w:rPr>
              <w:t xml:space="preserve"> = £</w:t>
            </w:r>
            <w:r>
              <w:rPr>
                <w:rFonts w:asciiTheme="minorHAnsi" w:hAnsiTheme="minorHAnsi" w:cs="Arial"/>
                <w:sz w:val="22"/>
              </w:rPr>
              <w:t>563</w:t>
            </w:r>
            <w:r w:rsidR="00B77BA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per service</w:t>
            </w:r>
          </w:p>
          <w:p w14:paraId="4F9D1EAA" w14:textId="77777777" w:rsidR="00B77BAB" w:rsidRDefault="00B77BAB" w:rsidP="00B77BAB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Southern</w:t>
            </w:r>
          </w:p>
          <w:p w14:paraId="0AE07065" w14:textId="2B5FB4F9" w:rsidR="0093029A" w:rsidRDefault="0093029A" w:rsidP="0093029A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Relay = £760 per service</w:t>
            </w:r>
          </w:p>
          <w:p w14:paraId="77E190A5" w14:textId="4F4F31D0" w:rsidR="00E223C8" w:rsidRPr="0093029A" w:rsidRDefault="0093029A" w:rsidP="0093029A">
            <w:pPr>
              <w:pStyle w:val="ListParagraph"/>
              <w:numPr>
                <w:ilvl w:val="2"/>
                <w:numId w:val="11"/>
              </w:num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Test and Transfer = £479 per service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1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0B3AB" w14:textId="77777777" w:rsidR="00660F0E" w:rsidRDefault="00660F0E" w:rsidP="00526623">
      <w:pPr>
        <w:spacing w:after="0" w:line="240" w:lineRule="auto"/>
      </w:pPr>
      <w:r>
        <w:separator/>
      </w:r>
    </w:p>
  </w:endnote>
  <w:endnote w:type="continuationSeparator" w:id="0">
    <w:p w14:paraId="503A7267" w14:textId="77777777" w:rsidR="00660F0E" w:rsidRDefault="00660F0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98F0" w14:textId="21CB667B" w:rsidR="00004B8C" w:rsidRDefault="00004B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73AA7" wp14:editId="5841BB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51b48348c2230498fe1e68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48E6D5" w14:textId="5562BCB1" w:rsidR="00004B8C" w:rsidRPr="00004B8C" w:rsidRDefault="00004B8C" w:rsidP="00004B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004B8C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73AA7" id="_x0000_t202" coordsize="21600,21600" o:spt="202" path="m,l,21600r21600,l21600,xe">
              <v:stroke joinstyle="miter"/>
              <v:path gradientshapeok="t" o:connecttype="rect"/>
            </v:shapetype>
            <v:shape id="MSIPCMf51b48348c2230498fe1e680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AfapNz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1948E6D5" w14:textId="5562BCB1" w:rsidR="00004B8C" w:rsidRPr="00004B8C" w:rsidRDefault="00004B8C" w:rsidP="00004B8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004B8C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6C5B8" w14:textId="77777777" w:rsidR="00660F0E" w:rsidRDefault="00660F0E" w:rsidP="00526623">
      <w:pPr>
        <w:spacing w:after="0" w:line="240" w:lineRule="auto"/>
      </w:pPr>
      <w:r>
        <w:separator/>
      </w:r>
    </w:p>
  </w:footnote>
  <w:footnote w:type="continuationSeparator" w:id="0">
    <w:p w14:paraId="0C19C288" w14:textId="77777777" w:rsidR="00660F0E" w:rsidRDefault="00660F0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4486C"/>
    <w:multiLevelType w:val="multilevel"/>
    <w:tmpl w:val="3BD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50EFB"/>
    <w:multiLevelType w:val="hybridMultilevel"/>
    <w:tmpl w:val="80720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73CBC"/>
    <w:multiLevelType w:val="hybridMultilevel"/>
    <w:tmpl w:val="3790D7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F1EC6"/>
    <w:multiLevelType w:val="hybridMultilevel"/>
    <w:tmpl w:val="7ADA7F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2261E"/>
    <w:multiLevelType w:val="hybridMultilevel"/>
    <w:tmpl w:val="3790D7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086D"/>
    <w:rsid w:val="00004B8C"/>
    <w:rsid w:val="00007AB6"/>
    <w:rsid w:val="0001551F"/>
    <w:rsid w:val="00041711"/>
    <w:rsid w:val="000436C2"/>
    <w:rsid w:val="000473D3"/>
    <w:rsid w:val="00050C54"/>
    <w:rsid w:val="000A5D93"/>
    <w:rsid w:val="000B0536"/>
    <w:rsid w:val="000E5B6D"/>
    <w:rsid w:val="000F371F"/>
    <w:rsid w:val="000F411D"/>
    <w:rsid w:val="000F48B9"/>
    <w:rsid w:val="0010126C"/>
    <w:rsid w:val="00102AB3"/>
    <w:rsid w:val="00107296"/>
    <w:rsid w:val="00133BD9"/>
    <w:rsid w:val="00133CFC"/>
    <w:rsid w:val="00172809"/>
    <w:rsid w:val="0018237A"/>
    <w:rsid w:val="001D0151"/>
    <w:rsid w:val="00206D5F"/>
    <w:rsid w:val="00231970"/>
    <w:rsid w:val="0026715F"/>
    <w:rsid w:val="002707B1"/>
    <w:rsid w:val="002874F3"/>
    <w:rsid w:val="00291D51"/>
    <w:rsid w:val="00293724"/>
    <w:rsid w:val="002A4AD8"/>
    <w:rsid w:val="002B4955"/>
    <w:rsid w:val="002E3EFB"/>
    <w:rsid w:val="00300FB4"/>
    <w:rsid w:val="003043A4"/>
    <w:rsid w:val="003106F8"/>
    <w:rsid w:val="00342E6F"/>
    <w:rsid w:val="003452B0"/>
    <w:rsid w:val="003541B7"/>
    <w:rsid w:val="00360385"/>
    <w:rsid w:val="00385085"/>
    <w:rsid w:val="00387FB7"/>
    <w:rsid w:val="003B3576"/>
    <w:rsid w:val="003C6D75"/>
    <w:rsid w:val="003F465C"/>
    <w:rsid w:val="00400822"/>
    <w:rsid w:val="004376E1"/>
    <w:rsid w:val="00447392"/>
    <w:rsid w:val="004B13AC"/>
    <w:rsid w:val="004C4D2B"/>
    <w:rsid w:val="004D0311"/>
    <w:rsid w:val="004D1A9C"/>
    <w:rsid w:val="004D1F2F"/>
    <w:rsid w:val="00503895"/>
    <w:rsid w:val="00523DB2"/>
    <w:rsid w:val="00526623"/>
    <w:rsid w:val="00526A8E"/>
    <w:rsid w:val="0053398A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60F0E"/>
    <w:rsid w:val="006847DA"/>
    <w:rsid w:val="006B26DE"/>
    <w:rsid w:val="00716508"/>
    <w:rsid w:val="00721734"/>
    <w:rsid w:val="007400B7"/>
    <w:rsid w:val="00753976"/>
    <w:rsid w:val="007572D8"/>
    <w:rsid w:val="007649AC"/>
    <w:rsid w:val="00772D1E"/>
    <w:rsid w:val="007869B0"/>
    <w:rsid w:val="007974DA"/>
    <w:rsid w:val="007B29A9"/>
    <w:rsid w:val="007C2ADA"/>
    <w:rsid w:val="007C2E37"/>
    <w:rsid w:val="007D7648"/>
    <w:rsid w:val="007E30C4"/>
    <w:rsid w:val="0081202F"/>
    <w:rsid w:val="008170C7"/>
    <w:rsid w:val="00845396"/>
    <w:rsid w:val="0085400C"/>
    <w:rsid w:val="008A5062"/>
    <w:rsid w:val="008B3636"/>
    <w:rsid w:val="008B7043"/>
    <w:rsid w:val="008C1105"/>
    <w:rsid w:val="008C5A35"/>
    <w:rsid w:val="00924DEC"/>
    <w:rsid w:val="0093029A"/>
    <w:rsid w:val="00935000"/>
    <w:rsid w:val="00937BF5"/>
    <w:rsid w:val="00942721"/>
    <w:rsid w:val="00945C7C"/>
    <w:rsid w:val="00946125"/>
    <w:rsid w:val="0097056E"/>
    <w:rsid w:val="009762C9"/>
    <w:rsid w:val="009845A8"/>
    <w:rsid w:val="009A7A81"/>
    <w:rsid w:val="009B26A0"/>
    <w:rsid w:val="009B7577"/>
    <w:rsid w:val="009D4F56"/>
    <w:rsid w:val="009E7F77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145B4"/>
    <w:rsid w:val="00B33B74"/>
    <w:rsid w:val="00B33BDA"/>
    <w:rsid w:val="00B35E40"/>
    <w:rsid w:val="00B378CC"/>
    <w:rsid w:val="00B41AEB"/>
    <w:rsid w:val="00B77BAB"/>
    <w:rsid w:val="00B82400"/>
    <w:rsid w:val="00B86DDF"/>
    <w:rsid w:val="00BA0C5F"/>
    <w:rsid w:val="00BA4154"/>
    <w:rsid w:val="00BA5A79"/>
    <w:rsid w:val="00BB4793"/>
    <w:rsid w:val="00BB56A8"/>
    <w:rsid w:val="00BB682C"/>
    <w:rsid w:val="00BD48A8"/>
    <w:rsid w:val="00BD74F1"/>
    <w:rsid w:val="00C10D99"/>
    <w:rsid w:val="00C47C86"/>
    <w:rsid w:val="00C57345"/>
    <w:rsid w:val="00C814D0"/>
    <w:rsid w:val="00C81B4C"/>
    <w:rsid w:val="00CA4297"/>
    <w:rsid w:val="00CB3ECC"/>
    <w:rsid w:val="00CC7214"/>
    <w:rsid w:val="00CD13FB"/>
    <w:rsid w:val="00CF22EF"/>
    <w:rsid w:val="00D1736D"/>
    <w:rsid w:val="00D50036"/>
    <w:rsid w:val="00D52B0A"/>
    <w:rsid w:val="00D53135"/>
    <w:rsid w:val="00D81399"/>
    <w:rsid w:val="00D815E6"/>
    <w:rsid w:val="00DA4D94"/>
    <w:rsid w:val="00DA545C"/>
    <w:rsid w:val="00DA67E5"/>
    <w:rsid w:val="00E040EA"/>
    <w:rsid w:val="00E11C0E"/>
    <w:rsid w:val="00E223C8"/>
    <w:rsid w:val="00E27E3D"/>
    <w:rsid w:val="00E326F5"/>
    <w:rsid w:val="00E346B6"/>
    <w:rsid w:val="00E525E0"/>
    <w:rsid w:val="00E55A7F"/>
    <w:rsid w:val="00E566F5"/>
    <w:rsid w:val="00EB123E"/>
    <w:rsid w:val="00EB179A"/>
    <w:rsid w:val="00EB2613"/>
    <w:rsid w:val="00EB3EBB"/>
    <w:rsid w:val="00EE1C79"/>
    <w:rsid w:val="00EE2493"/>
    <w:rsid w:val="00F129C1"/>
    <w:rsid w:val="00F20F23"/>
    <w:rsid w:val="00F23B18"/>
    <w:rsid w:val="00F266D1"/>
    <w:rsid w:val="00F31270"/>
    <w:rsid w:val="00F379FD"/>
    <w:rsid w:val="00F678C1"/>
    <w:rsid w:val="00F82AB4"/>
    <w:rsid w:val="00F84E26"/>
    <w:rsid w:val="00FB0EC9"/>
    <w:rsid w:val="13E09F4D"/>
    <w:rsid w:val="21FEC5AE"/>
    <w:rsid w:val="5B96D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xmsonormal">
    <w:name w:val="x_msonormal"/>
    <w:basedOn w:val="Normal"/>
    <w:rsid w:val="00004B8C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004B8C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Scotia Gas Networks</Organisation>
    <Publication_x0020_Date_x003a_ xmlns="631298fc-6a88-4548-b7d9-3b164918c4a3">2020-12-16T00:00:00+00:00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BE089A8B-B2FC-43FE-A6B8-BB4FA0FD85CC}"/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dcbf8a88-e063-4a69-82e9-42d02808f636"/>
    <ds:schemaRef ds:uri="http://purl.org/dc/terms/"/>
    <ds:schemaRef ds:uri="57eae938-0bde-4b15-99d2-1fbf7878da9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1F9D26-F818-4181-9A8A-3763639B73B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F0B538E8-801A-40B3-9CBD-D44C55D8A0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SQS 2014</dc:subject>
  <dc:creator/>
  <cp:lastModifiedBy>Mike</cp:lastModifiedBy>
  <cp:revision>22</cp:revision>
  <dcterms:created xsi:type="dcterms:W3CDTF">2020-12-16T11:49:00Z</dcterms:created>
  <dcterms:modified xsi:type="dcterms:W3CDTF">2020-12-16T16:03:00Z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  <property fmtid="{D5CDD505-2E9C-101B-9397-08002B2CF9AE}" pid="45" name="MSIP_Label_2b73dd0b-afe1-4a46-943f-1bdb914b8a49_Enabled">
    <vt:lpwstr>true</vt:lpwstr>
  </property>
  <property fmtid="{D5CDD505-2E9C-101B-9397-08002B2CF9AE}" pid="46" name="MSIP_Label_2b73dd0b-afe1-4a46-943f-1bdb914b8a49_SetDate">
    <vt:lpwstr>2020-12-10T21:00:04Z</vt:lpwstr>
  </property>
  <property fmtid="{D5CDD505-2E9C-101B-9397-08002B2CF9AE}" pid="47" name="MSIP_Label_2b73dd0b-afe1-4a46-943f-1bdb914b8a49_Method">
    <vt:lpwstr>Standard</vt:lpwstr>
  </property>
  <property fmtid="{D5CDD505-2E9C-101B-9397-08002B2CF9AE}" pid="48" name="MSIP_Label_2b73dd0b-afe1-4a46-943f-1bdb914b8a49_Name">
    <vt:lpwstr>Internal</vt:lpwstr>
  </property>
  <property fmtid="{D5CDD505-2E9C-101B-9397-08002B2CF9AE}" pid="49" name="MSIP_Label_2b73dd0b-afe1-4a46-943f-1bdb914b8a49_SiteId">
    <vt:lpwstr>b9563cbc-9874-41ab-b448-7e0f61aff3eb</vt:lpwstr>
  </property>
  <property fmtid="{D5CDD505-2E9C-101B-9397-08002B2CF9AE}" pid="50" name="MSIP_Label_2b73dd0b-afe1-4a46-943f-1bdb914b8a49_ActionId">
    <vt:lpwstr>744a0660-0faf-4336-b578-00004c4bec3f</vt:lpwstr>
  </property>
  <property fmtid="{D5CDD505-2E9C-101B-9397-08002B2CF9AE}" pid="51" name="MSIP_Label_2b73dd0b-afe1-4a46-943f-1bdb914b8a49_ContentBits">
    <vt:lpwstr>2</vt:lpwstr>
  </property>
</Properties>
</file>