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7185"/>
        <w:gridCol w:w="231"/>
      </w:tblGrid>
      <w:tr w:rsidR="00133BD9" w:rsidRPr="00876240" w14:paraId="50F674E3"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1020AF6C"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0001C9FB"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19EEFA37"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3B45ED6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5FAE45E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BD613A"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7C463" w14:textId="582031BA"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w:t>
            </w:r>
            <w:r w:rsidR="004037CE">
              <w:rPr>
                <w:rFonts w:ascii="Arial" w:hAnsi="Arial" w:cs="Arial"/>
                <w:sz w:val="20"/>
                <w:szCs w:val="20"/>
                <w:lang w:eastAsia="en-US"/>
              </w:rPr>
              <w:t>16</w:t>
            </w:r>
            <w:r w:rsidRPr="00EA1559">
              <w:rPr>
                <w:rFonts w:ascii="Arial" w:hAnsi="Arial" w:cs="Arial"/>
                <w:sz w:val="20"/>
                <w:szCs w:val="20"/>
                <w:lang w:eastAsia="en-US"/>
              </w:rPr>
              <w:t xml:space="preserve">  </w:t>
            </w:r>
          </w:p>
        </w:tc>
      </w:tr>
      <w:tr w:rsidR="00EA1559" w:rsidRPr="00EA1559" w14:paraId="27832B5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04B11708"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CD517F"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BC2279"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r w:rsidR="00DE2A12">
              <w:rPr>
                <w:rFonts w:ascii="Arial" w:hAnsi="Arial" w:cs="Arial"/>
                <w:sz w:val="20"/>
                <w:szCs w:val="20"/>
                <w:lang w:eastAsia="en-US"/>
              </w:rPr>
              <w:t>– Technical Error</w:t>
            </w:r>
          </w:p>
        </w:tc>
      </w:tr>
      <w:tr w:rsidR="00EA1559" w:rsidRPr="00EA1559" w14:paraId="4B5B2BC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E216E1B"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89FE0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E3A5C4"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3AFF682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3AAD6B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FB3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EB9DA7A" w14:textId="77777777" w:rsidR="00EA1559" w:rsidRPr="00DB4D31" w:rsidRDefault="00DB4D3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Modelled Reports - WWU</w:t>
            </w:r>
          </w:p>
        </w:tc>
      </w:tr>
      <w:tr w:rsidR="00EA1559" w:rsidRPr="00EA1559" w14:paraId="2E46FD7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34BF82F"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7D169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DD96279" w14:textId="77777777" w:rsidR="004C05AA" w:rsidRDefault="004C05AA" w:rsidP="004C05AA">
            <w:pPr>
              <w:spacing w:after="0" w:line="240" w:lineRule="auto"/>
              <w:rPr>
                <w:rFonts w:eastAsia="Times New Roman"/>
              </w:rPr>
            </w:pPr>
          </w:p>
          <w:p w14:paraId="67A382D6" w14:textId="77777777" w:rsidR="00DB4D31" w:rsidRDefault="00DB4D31" w:rsidP="004C05AA">
            <w:pPr>
              <w:spacing w:after="0" w:line="240" w:lineRule="auto"/>
              <w:rPr>
                <w:rFonts w:eastAsia="Times New Roman"/>
              </w:rPr>
            </w:pPr>
            <w:r>
              <w:rPr>
                <w:rFonts w:eastAsia="Times New Roman"/>
              </w:rPr>
              <w:t xml:space="preserve">At DD Ofgem made a downwards adjustment to the projected volume of Reports for WWU, to bring that GDN’s path of modelled Reports into line with the industry average.   </w:t>
            </w:r>
          </w:p>
          <w:p w14:paraId="06DF4581" w14:textId="77777777" w:rsidR="00DB4D31" w:rsidRDefault="00DB4D31" w:rsidP="004C05AA">
            <w:pPr>
              <w:spacing w:after="0" w:line="240" w:lineRule="auto"/>
              <w:rPr>
                <w:rFonts w:eastAsia="Times New Roman"/>
              </w:rPr>
            </w:pPr>
          </w:p>
          <w:p w14:paraId="3E7A1FB5" w14:textId="77777777" w:rsidR="00DB4D31" w:rsidRDefault="00DB4D31" w:rsidP="00DB4D31">
            <w:pPr>
              <w:pStyle w:val="ListParagraph"/>
              <w:numPr>
                <w:ilvl w:val="0"/>
                <w:numId w:val="6"/>
              </w:numPr>
              <w:spacing w:after="0" w:line="240" w:lineRule="auto"/>
              <w:contextualSpacing w:val="0"/>
              <w:rPr>
                <w:rFonts w:eastAsia="Times New Roman"/>
              </w:rPr>
            </w:pPr>
            <w:r>
              <w:rPr>
                <w:rFonts w:eastAsia="Times New Roman"/>
              </w:rPr>
              <w:t>DD WWU Annex, Para 3.17 states:</w:t>
            </w:r>
          </w:p>
          <w:p w14:paraId="6E1F4548" w14:textId="77777777" w:rsidR="00DB4D31" w:rsidRDefault="00DB4D31" w:rsidP="00DB4D31">
            <w:pPr>
              <w:pStyle w:val="ListParagraph"/>
              <w:spacing w:after="0" w:line="240" w:lineRule="auto"/>
              <w:contextualSpacing w:val="0"/>
              <w:rPr>
                <w:rFonts w:eastAsia="Times New Roman"/>
              </w:rPr>
            </w:pPr>
          </w:p>
          <w:p w14:paraId="40B1D5E4" w14:textId="77777777" w:rsidR="00DB4D31" w:rsidRDefault="00DB4D31" w:rsidP="00DB4D31">
            <w:pPr>
              <w:pStyle w:val="ListParagraph"/>
              <w:spacing w:after="0" w:line="240" w:lineRule="auto"/>
              <w:ind w:left="1440"/>
              <w:contextualSpacing w:val="0"/>
              <w:rPr>
                <w:rFonts w:eastAsia="Times New Roman"/>
              </w:rPr>
            </w:pPr>
            <w:r>
              <w:rPr>
                <w:rFonts w:eastAsia="Times New Roman"/>
              </w:rPr>
              <w:t xml:space="preserve"> “</w:t>
            </w:r>
            <w:r>
              <w:rPr>
                <w:rFonts w:eastAsia="Times New Roman"/>
                <w:b/>
                <w:bCs/>
                <w:i/>
                <w:iCs/>
              </w:rPr>
              <w:t>Our adjustment reduces WWU’s trend in the number of external condition reports to the average of the rest of the industry from 2019/20 to 2025/26 (a decrease of approximately 2% each year)</w:t>
            </w:r>
            <w:r>
              <w:rPr>
                <w:rFonts w:eastAsia="Times New Roman"/>
                <w:i/>
                <w:iCs/>
              </w:rPr>
              <w:t xml:space="preserve"> </w:t>
            </w:r>
          </w:p>
          <w:p w14:paraId="016753B0" w14:textId="77777777" w:rsidR="00DB4D31" w:rsidRDefault="00DB4D31" w:rsidP="004C05AA">
            <w:pPr>
              <w:spacing w:after="0" w:line="240" w:lineRule="auto"/>
              <w:rPr>
                <w:rFonts w:eastAsia="Times New Roman"/>
              </w:rPr>
            </w:pPr>
          </w:p>
          <w:p w14:paraId="740241D4" w14:textId="77777777" w:rsidR="00DB4D31" w:rsidRDefault="00DB4D31" w:rsidP="004C05AA">
            <w:pPr>
              <w:spacing w:after="0" w:line="240" w:lineRule="auto"/>
              <w:rPr>
                <w:rFonts w:eastAsia="Times New Roman"/>
              </w:rPr>
            </w:pPr>
            <w:r>
              <w:rPr>
                <w:rFonts w:eastAsia="Times New Roman"/>
              </w:rPr>
              <w:t xml:space="preserve">The text at FD states that adjustment from DD has been maintained at FD.  </w:t>
            </w:r>
          </w:p>
          <w:p w14:paraId="15A45961" w14:textId="77777777" w:rsidR="00DB4D31" w:rsidRDefault="00DB4D31" w:rsidP="004C05AA">
            <w:pPr>
              <w:spacing w:after="0" w:line="240" w:lineRule="auto"/>
              <w:rPr>
                <w:rFonts w:eastAsia="Times New Roman"/>
              </w:rPr>
            </w:pPr>
          </w:p>
          <w:p w14:paraId="5D05AAE3" w14:textId="77777777" w:rsidR="00DB4D31" w:rsidRDefault="00DB4D31" w:rsidP="00DB4D31">
            <w:pPr>
              <w:pStyle w:val="ListParagraph"/>
              <w:numPr>
                <w:ilvl w:val="0"/>
                <w:numId w:val="6"/>
              </w:numPr>
              <w:spacing w:after="0" w:line="240" w:lineRule="auto"/>
              <w:contextualSpacing w:val="0"/>
              <w:rPr>
                <w:rFonts w:eastAsia="Times New Roman"/>
              </w:rPr>
            </w:pPr>
            <w:r>
              <w:rPr>
                <w:rFonts w:eastAsia="Times New Roman"/>
              </w:rPr>
              <w:t>FD WWU FD Annex, P</w:t>
            </w:r>
            <w:r w:rsidRPr="004C05AA">
              <w:rPr>
                <w:rFonts w:eastAsia="Times New Roman"/>
              </w:rPr>
              <w:t>ara 3.15 states</w:t>
            </w:r>
            <w:r>
              <w:rPr>
                <w:rFonts w:eastAsia="Times New Roman"/>
              </w:rPr>
              <w:t>:</w:t>
            </w:r>
          </w:p>
          <w:p w14:paraId="3D79BFB3" w14:textId="77777777" w:rsidR="00DB4D31" w:rsidRDefault="00DB4D31" w:rsidP="00DB4D31">
            <w:pPr>
              <w:pStyle w:val="ListParagraph"/>
              <w:spacing w:after="0" w:line="240" w:lineRule="auto"/>
              <w:ind w:left="1440"/>
              <w:contextualSpacing w:val="0"/>
              <w:rPr>
                <w:rFonts w:eastAsia="Times New Roman"/>
              </w:rPr>
            </w:pPr>
          </w:p>
          <w:p w14:paraId="02BC0BD3" w14:textId="77777777" w:rsidR="00DB4D31" w:rsidRDefault="00DB4D31" w:rsidP="00DB4D31">
            <w:pPr>
              <w:pStyle w:val="ListParagraph"/>
              <w:spacing w:after="0" w:line="240" w:lineRule="auto"/>
              <w:ind w:left="1440"/>
              <w:contextualSpacing w:val="0"/>
              <w:rPr>
                <w:rFonts w:eastAsia="Times New Roman"/>
              </w:rPr>
            </w:pPr>
            <w:r w:rsidRPr="004C05AA">
              <w:rPr>
                <w:rFonts w:eastAsia="Times New Roman"/>
              </w:rPr>
              <w:t>“</w:t>
            </w:r>
            <w:r w:rsidRPr="004C05AA">
              <w:rPr>
                <w:rFonts w:eastAsia="Times New Roman"/>
                <w:b/>
                <w:bCs/>
                <w:i/>
                <w:iCs/>
              </w:rPr>
              <w:t>We have adopted our DD position and made an adjustment to WWU’s total external condition reports to align their number to the average of the rest of the industry</w:t>
            </w:r>
            <w:r w:rsidRPr="004C05AA">
              <w:rPr>
                <w:rFonts w:eastAsia="Times New Roman"/>
              </w:rPr>
              <w:t xml:space="preserve">”. </w:t>
            </w:r>
          </w:p>
          <w:p w14:paraId="031E504F" w14:textId="77777777" w:rsidR="00DB4D31" w:rsidRDefault="00DB4D31" w:rsidP="004C05AA">
            <w:pPr>
              <w:spacing w:after="0" w:line="240" w:lineRule="auto"/>
              <w:rPr>
                <w:rFonts w:eastAsia="Times New Roman"/>
              </w:rPr>
            </w:pPr>
          </w:p>
          <w:p w14:paraId="3CFB9216" w14:textId="77777777" w:rsidR="00DB4D31" w:rsidRDefault="00DB4D31" w:rsidP="004C05AA">
            <w:pPr>
              <w:spacing w:after="0" w:line="240" w:lineRule="auto"/>
              <w:rPr>
                <w:rFonts w:eastAsia="Times New Roman"/>
              </w:rPr>
            </w:pPr>
            <w:r>
              <w:rPr>
                <w:rFonts w:eastAsia="Times New Roman"/>
              </w:rPr>
              <w:t xml:space="preserve">However, the modelled number of Reports at FD is significantly higher than the number at DD, and is </w:t>
            </w:r>
            <w:r w:rsidR="00775083">
              <w:rPr>
                <w:rFonts w:eastAsia="Times New Roman"/>
              </w:rPr>
              <w:t xml:space="preserve">even </w:t>
            </w:r>
            <w:r>
              <w:rPr>
                <w:rFonts w:eastAsia="Times New Roman"/>
              </w:rPr>
              <w:t xml:space="preserve">higher over the RIIO-2 period than in recent years, as shown below. </w:t>
            </w:r>
          </w:p>
          <w:p w14:paraId="1A2026FD" w14:textId="77777777" w:rsidR="00DB4D31" w:rsidRDefault="00DB4D31" w:rsidP="004C05AA">
            <w:pPr>
              <w:spacing w:after="0" w:line="240" w:lineRule="auto"/>
              <w:rPr>
                <w:rFonts w:eastAsia="Times New Roman"/>
              </w:rPr>
            </w:pPr>
          </w:p>
          <w:p w14:paraId="5E84714E" w14:textId="77777777" w:rsidR="00DB4D31" w:rsidRDefault="00DB4D31" w:rsidP="004C05AA">
            <w:pPr>
              <w:spacing w:after="0" w:line="240" w:lineRule="auto"/>
              <w:rPr>
                <w:rFonts w:eastAsia="Times New Roman"/>
              </w:rPr>
            </w:pPr>
          </w:p>
          <w:p w14:paraId="19FB9C6C" w14:textId="77777777" w:rsidR="00A9603B" w:rsidRDefault="00DB4D31" w:rsidP="00DB4D31">
            <w:pPr>
              <w:spacing w:after="0" w:line="240" w:lineRule="auto"/>
              <w:rPr>
                <w:rFonts w:eastAsia="Times New Roman"/>
              </w:rPr>
            </w:pPr>
            <w:r w:rsidRPr="00DB4D31">
              <w:rPr>
                <w:rFonts w:eastAsia="Times New Roman"/>
                <w:noProof/>
              </w:rPr>
              <w:lastRenderedPageBreak/>
              <w:drawing>
                <wp:inline distT="0" distB="0" distL="0" distR="0" wp14:anchorId="69C92A1A" wp14:editId="65611C68">
                  <wp:extent cx="4564380" cy="27355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4380" cy="2735580"/>
                          </a:xfrm>
                          <a:prstGeom prst="rect">
                            <a:avLst/>
                          </a:prstGeom>
                          <a:noFill/>
                          <a:ln>
                            <a:noFill/>
                          </a:ln>
                        </pic:spPr>
                      </pic:pic>
                    </a:graphicData>
                  </a:graphic>
                </wp:inline>
              </w:drawing>
            </w:r>
            <w:r w:rsidR="00A9603B">
              <w:rPr>
                <w:rFonts w:eastAsia="Times New Roman"/>
                <w:i/>
                <w:iCs/>
              </w:rPr>
              <w:t xml:space="preserve"> </w:t>
            </w:r>
          </w:p>
          <w:p w14:paraId="64ACA1F7" w14:textId="77777777" w:rsidR="00A9603B" w:rsidRDefault="00A9603B" w:rsidP="00A9603B">
            <w:pPr>
              <w:rPr>
                <w:lang w:eastAsia="en-GB"/>
              </w:rPr>
            </w:pPr>
          </w:p>
          <w:p w14:paraId="4DCE6C8D" w14:textId="77777777" w:rsidR="004C05AA" w:rsidRDefault="00DB4D31" w:rsidP="00A9603B">
            <w:pPr>
              <w:rPr>
                <w:lang w:eastAsia="en-GB"/>
              </w:rPr>
            </w:pPr>
            <w:r>
              <w:rPr>
                <w:lang w:eastAsia="en-GB"/>
              </w:rPr>
              <w:t>Therefore, t</w:t>
            </w:r>
            <w:r w:rsidR="00A9603B">
              <w:rPr>
                <w:lang w:eastAsia="en-GB"/>
              </w:rPr>
              <w:t xml:space="preserve">he FD </w:t>
            </w:r>
            <w:r w:rsidR="004C05AA">
              <w:rPr>
                <w:lang w:eastAsia="en-GB"/>
              </w:rPr>
              <w:t>models are not consistent with the decision articulated in the FD narrative.  It appears that the adjustment applied in the DD got missed out of the FD models, as such this is a technical Error and needs correcting.</w:t>
            </w:r>
          </w:p>
          <w:p w14:paraId="032745AD" w14:textId="77777777" w:rsidR="004C05AA" w:rsidRDefault="004C05AA" w:rsidP="00A9603B">
            <w:pPr>
              <w:rPr>
                <w:lang w:eastAsia="en-GB"/>
              </w:rPr>
            </w:pPr>
          </w:p>
          <w:p w14:paraId="14A8B945" w14:textId="77777777" w:rsidR="00660927" w:rsidRPr="004C05AA" w:rsidRDefault="004C05AA" w:rsidP="004C05AA">
            <w:pPr>
              <w:rPr>
                <w:lang w:eastAsia="en-GB"/>
              </w:rPr>
            </w:pPr>
            <w:r>
              <w:rPr>
                <w:lang w:eastAsia="en-GB"/>
              </w:rPr>
              <w:t xml:space="preserve">Can you please confirm that this is a Technical Error and will </w:t>
            </w:r>
            <w:r w:rsidR="00473B9C">
              <w:rPr>
                <w:lang w:eastAsia="en-GB"/>
              </w:rPr>
              <w:t xml:space="preserve">be </w:t>
            </w:r>
            <w:r>
              <w:rPr>
                <w:lang w:eastAsia="en-GB"/>
              </w:rPr>
              <w:t>corrected in the errata process?</w:t>
            </w:r>
            <w:r w:rsidR="00660927">
              <w:rPr>
                <w:iCs/>
                <w:szCs w:val="20"/>
              </w:rPr>
              <w:t xml:space="preserve"> </w:t>
            </w:r>
          </w:p>
          <w:p w14:paraId="27D8411F" w14:textId="77777777" w:rsidR="00BA0306" w:rsidRPr="00EA1559" w:rsidRDefault="00B73EA6" w:rsidP="00DE2A12">
            <w:pPr>
              <w:pStyle w:val="NormalWeb"/>
              <w:spacing w:before="0" w:beforeAutospacing="0" w:after="200" w:afterAutospacing="0" w:line="276" w:lineRule="auto"/>
              <w:rPr>
                <w:rFonts w:ascii="Verdana" w:hAnsi="Verdana"/>
                <w:sz w:val="20"/>
                <w:szCs w:val="20"/>
                <w:lang w:eastAsia="en-US"/>
              </w:rPr>
            </w:pPr>
            <w:r>
              <w:rPr>
                <w:rFonts w:ascii="Verdana" w:hAnsi="Verdana"/>
                <w:iCs/>
                <w:sz w:val="20"/>
                <w:szCs w:val="20"/>
              </w:rPr>
              <w:t xml:space="preserve"> </w:t>
            </w:r>
          </w:p>
        </w:tc>
      </w:tr>
      <w:tr w:rsidR="00EA1559" w:rsidRPr="00EA1559" w14:paraId="6DF8A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74763802"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4FA201"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06F52D"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6A48C87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6220C35"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3B51A8"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5B84C02" w14:textId="77777777" w:rsidR="00EA1559" w:rsidRPr="00EA1559" w:rsidRDefault="004C05AA">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w:t>
            </w:r>
            <w:r w:rsidR="00572DD8">
              <w:rPr>
                <w:rFonts w:ascii="Verdana" w:hAnsi="Verdana"/>
                <w:sz w:val="20"/>
                <w:szCs w:val="20"/>
                <w:lang w:eastAsia="en-US"/>
              </w:rPr>
              <w:t>m</w:t>
            </w:r>
            <w:r>
              <w:rPr>
                <w:rFonts w:ascii="Verdana" w:hAnsi="Verdana"/>
                <w:sz w:val="20"/>
                <w:szCs w:val="20"/>
                <w:lang w:eastAsia="en-US"/>
              </w:rPr>
              <w:t>son</w:t>
            </w:r>
          </w:p>
        </w:tc>
      </w:tr>
      <w:tr w:rsidR="00EA1559" w:rsidRPr="00EA1559" w14:paraId="6A45F43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5401C2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40B1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FAA1073" w14:textId="77777777" w:rsidR="00EA1559" w:rsidRPr="00EA1559" w:rsidRDefault="00DE2A12">
            <w:pPr>
              <w:pStyle w:val="NormalWeb"/>
              <w:spacing w:after="200" w:afterAutospacing="0" w:line="276" w:lineRule="auto"/>
              <w:rPr>
                <w:rFonts w:ascii="Verdana" w:hAnsi="Verdana"/>
                <w:sz w:val="20"/>
                <w:szCs w:val="20"/>
                <w:lang w:eastAsia="en-US"/>
              </w:rPr>
            </w:pPr>
            <w:r>
              <w:rPr>
                <w:rFonts w:ascii="Verdana" w:hAnsi="Verdana"/>
                <w:sz w:val="20"/>
                <w:szCs w:val="20"/>
                <w:lang w:eastAsia="en-US"/>
              </w:rPr>
              <w:t>5</w:t>
            </w:r>
            <w:r w:rsidR="0000155F">
              <w:rPr>
                <w:rFonts w:ascii="Verdana" w:hAnsi="Verdana"/>
                <w:sz w:val="20"/>
                <w:szCs w:val="20"/>
                <w:lang w:eastAsia="en-US"/>
              </w:rPr>
              <w:t>/</w:t>
            </w:r>
            <w:r>
              <w:rPr>
                <w:rFonts w:ascii="Verdana" w:hAnsi="Verdana"/>
                <w:sz w:val="20"/>
                <w:szCs w:val="20"/>
                <w:lang w:eastAsia="en-US"/>
              </w:rPr>
              <w:t>1</w:t>
            </w:r>
            <w:r w:rsidR="0000155F">
              <w:rPr>
                <w:rFonts w:ascii="Verdana" w:hAnsi="Verdana"/>
                <w:sz w:val="20"/>
                <w:szCs w:val="20"/>
                <w:lang w:eastAsia="en-US"/>
              </w:rPr>
              <w:t>/2020</w:t>
            </w:r>
          </w:p>
        </w:tc>
      </w:tr>
      <w:tr w:rsidR="00EA1559" w:rsidRPr="00EA1559" w14:paraId="68A4040C"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18B73701"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C5E459"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DD61303" w14:textId="77777777" w:rsidR="00EA1559" w:rsidRPr="00EA1559" w:rsidRDefault="00DE2A12">
            <w:pPr>
              <w:pStyle w:val="NormalWeb"/>
              <w:spacing w:after="200" w:afterAutospacing="0" w:line="276" w:lineRule="auto"/>
              <w:rPr>
                <w:rFonts w:ascii="Verdana" w:hAnsi="Verdana"/>
                <w:sz w:val="20"/>
                <w:szCs w:val="20"/>
                <w:lang w:eastAsia="en-US"/>
              </w:rPr>
            </w:pPr>
            <w:r>
              <w:rPr>
                <w:rFonts w:ascii="Verdana" w:hAnsi="Verdana"/>
                <w:sz w:val="20"/>
                <w:szCs w:val="20"/>
                <w:lang w:eastAsia="en-US"/>
              </w:rPr>
              <w:t>8</w:t>
            </w:r>
            <w:r w:rsidR="0000155F">
              <w:rPr>
                <w:rFonts w:ascii="Verdana" w:hAnsi="Verdana"/>
                <w:sz w:val="20"/>
                <w:szCs w:val="20"/>
                <w:lang w:eastAsia="en-US"/>
              </w:rPr>
              <w:t>/</w:t>
            </w:r>
            <w:r w:rsidR="00A32301">
              <w:rPr>
                <w:rFonts w:ascii="Verdana" w:hAnsi="Verdana"/>
                <w:sz w:val="20"/>
                <w:szCs w:val="20"/>
                <w:lang w:eastAsia="en-US"/>
              </w:rPr>
              <w:t>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63A1FDD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773C35C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E7B89B" w14:textId="0C1A2285"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3E8078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5893A0F4" w14:textId="77777777" w:rsidR="00EA1559" w:rsidRPr="00EA1559" w:rsidRDefault="00EA1559">
            <w:pPr>
              <w:rPr>
                <w:rFonts w:ascii="Calibri" w:hAnsi="Calibri" w:cs="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BFFC99"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07959089" w14:textId="17E20173" w:rsidR="00CE2C4D" w:rsidRDefault="00CE2C4D">
            <w:pPr>
              <w:rPr>
                <w:rFonts w:ascii="Arial" w:hAnsi="Arial" w:cs="Arial"/>
                <w:szCs w:val="20"/>
              </w:rPr>
            </w:pPr>
            <w:r>
              <w:rPr>
                <w:rFonts w:ascii="Arial" w:hAnsi="Arial" w:cs="Arial"/>
                <w:szCs w:val="20"/>
              </w:rPr>
              <w:t xml:space="preserve">Thanks for pointing this out. We agree there is an error in how WWU adjusted external condition reports have been reported in the Cost Driver file (tab Cal_DriversAdj). </w:t>
            </w:r>
          </w:p>
          <w:p w14:paraId="7A5ECBD3" w14:textId="77777777" w:rsidR="004037CE" w:rsidRDefault="00903774">
            <w:pPr>
              <w:rPr>
                <w:rFonts w:ascii="Arial" w:hAnsi="Arial" w:cs="Arial"/>
                <w:szCs w:val="20"/>
              </w:rPr>
            </w:pPr>
            <w:r>
              <w:rPr>
                <w:rFonts w:ascii="Arial" w:hAnsi="Arial" w:cs="Arial"/>
                <w:szCs w:val="20"/>
              </w:rPr>
              <w:t>The correct values</w:t>
            </w:r>
            <w:r w:rsidR="00CE2C4D">
              <w:rPr>
                <w:rFonts w:ascii="Arial" w:hAnsi="Arial" w:cs="Arial"/>
                <w:szCs w:val="20"/>
              </w:rPr>
              <w:t xml:space="preserve"> are in the file here attached</w:t>
            </w:r>
            <w:r>
              <w:rPr>
                <w:rFonts w:ascii="Arial" w:hAnsi="Arial" w:cs="Arial"/>
                <w:szCs w:val="20"/>
              </w:rPr>
              <w:t xml:space="preserve">. Please note that for Final Determinations we have updated the calculation based on September BPDTs resubmissions, so the figures are still different from those used at Draft Determinations. </w:t>
            </w:r>
          </w:p>
          <w:p w14:paraId="3292A2E8" w14:textId="1EAAB1BD" w:rsidR="00A26A6F" w:rsidRPr="00EA1559" w:rsidRDefault="00A26A6F">
            <w:pPr>
              <w:rPr>
                <w:rFonts w:ascii="Arial" w:hAnsi="Arial" w:cs="Arial"/>
                <w:szCs w:val="20"/>
              </w:rPr>
            </w:pPr>
            <w:r>
              <w:rPr>
                <w:rFonts w:ascii="Arial" w:hAnsi="Arial" w:cs="Arial"/>
                <w:b/>
                <w:bCs/>
                <w:szCs w:val="20"/>
              </w:rPr>
              <w:object w:dxaOrig="1487" w:dyaOrig="992" w14:anchorId="21BE5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4.25pt;height:49.5pt" o:ole="">
                  <v:imagedata r:id="rId13" o:title=""/>
                </v:shape>
                <o:OLEObject Type="Embed" ProgID="Excel.Sheet.12" ShapeID="_x0000_i1035" DrawAspect="Icon" ObjectID="_1671457526" r:id="rId14"/>
              </w:object>
            </w:r>
          </w:p>
        </w:tc>
      </w:tr>
    </w:tbl>
    <w:p w14:paraId="618FEECD"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0C7D2" w14:textId="77777777" w:rsidR="002E5486" w:rsidRDefault="002E5486" w:rsidP="00526623">
      <w:pPr>
        <w:spacing w:after="0" w:line="240" w:lineRule="auto"/>
      </w:pPr>
      <w:r>
        <w:separator/>
      </w:r>
    </w:p>
  </w:endnote>
  <w:endnote w:type="continuationSeparator" w:id="0">
    <w:p w14:paraId="0D96F60C" w14:textId="77777777" w:rsidR="002E5486" w:rsidRDefault="002E5486"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B1090" w14:textId="77777777" w:rsidR="002E5486" w:rsidRDefault="002E5486" w:rsidP="00526623">
      <w:pPr>
        <w:spacing w:after="0" w:line="240" w:lineRule="auto"/>
      </w:pPr>
      <w:r>
        <w:separator/>
      </w:r>
    </w:p>
  </w:footnote>
  <w:footnote w:type="continuationSeparator" w:id="0">
    <w:p w14:paraId="0CF8C72E" w14:textId="77777777" w:rsidR="002E5486" w:rsidRDefault="002E5486"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F1EA7"/>
    <w:multiLevelType w:val="hybridMultilevel"/>
    <w:tmpl w:val="4F1E8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81C24"/>
    <w:rsid w:val="000914A6"/>
    <w:rsid w:val="000B0536"/>
    <w:rsid w:val="000E5B6D"/>
    <w:rsid w:val="000E5FE0"/>
    <w:rsid w:val="0010126C"/>
    <w:rsid w:val="00107296"/>
    <w:rsid w:val="00133BD9"/>
    <w:rsid w:val="00133CFC"/>
    <w:rsid w:val="00172809"/>
    <w:rsid w:val="0019338F"/>
    <w:rsid w:val="001D0151"/>
    <w:rsid w:val="00206CA9"/>
    <w:rsid w:val="00206D5F"/>
    <w:rsid w:val="002707B1"/>
    <w:rsid w:val="00281066"/>
    <w:rsid w:val="00291D51"/>
    <w:rsid w:val="00293724"/>
    <w:rsid w:val="002A4AD8"/>
    <w:rsid w:val="002B4955"/>
    <w:rsid w:val="002E3EFB"/>
    <w:rsid w:val="002E5486"/>
    <w:rsid w:val="00300FB4"/>
    <w:rsid w:val="003043A4"/>
    <w:rsid w:val="00342E6F"/>
    <w:rsid w:val="003452B0"/>
    <w:rsid w:val="00360385"/>
    <w:rsid w:val="00385085"/>
    <w:rsid w:val="003B3576"/>
    <w:rsid w:val="003F465C"/>
    <w:rsid w:val="00400822"/>
    <w:rsid w:val="004037CE"/>
    <w:rsid w:val="00470F80"/>
    <w:rsid w:val="0047108D"/>
    <w:rsid w:val="00473B9C"/>
    <w:rsid w:val="004C05AA"/>
    <w:rsid w:val="004C4D2B"/>
    <w:rsid w:val="004D0311"/>
    <w:rsid w:val="004D1F2F"/>
    <w:rsid w:val="004E2DF1"/>
    <w:rsid w:val="00503895"/>
    <w:rsid w:val="00526623"/>
    <w:rsid w:val="00526A8E"/>
    <w:rsid w:val="00534E92"/>
    <w:rsid w:val="00536220"/>
    <w:rsid w:val="00572DD8"/>
    <w:rsid w:val="00584F30"/>
    <w:rsid w:val="00586A8E"/>
    <w:rsid w:val="005927B6"/>
    <w:rsid w:val="005A506C"/>
    <w:rsid w:val="005A74DE"/>
    <w:rsid w:val="005E2894"/>
    <w:rsid w:val="0060723D"/>
    <w:rsid w:val="006224F4"/>
    <w:rsid w:val="006279ED"/>
    <w:rsid w:val="00660927"/>
    <w:rsid w:val="006847DA"/>
    <w:rsid w:val="0069487B"/>
    <w:rsid w:val="006B26DE"/>
    <w:rsid w:val="006C631E"/>
    <w:rsid w:val="006E4411"/>
    <w:rsid w:val="00716508"/>
    <w:rsid w:val="00721734"/>
    <w:rsid w:val="007400B7"/>
    <w:rsid w:val="00753976"/>
    <w:rsid w:val="007572D8"/>
    <w:rsid w:val="007649AC"/>
    <w:rsid w:val="00772D1E"/>
    <w:rsid w:val="00775083"/>
    <w:rsid w:val="007974DA"/>
    <w:rsid w:val="007B29A9"/>
    <w:rsid w:val="007C2E37"/>
    <w:rsid w:val="007D7648"/>
    <w:rsid w:val="007E30C4"/>
    <w:rsid w:val="008170C7"/>
    <w:rsid w:val="00845396"/>
    <w:rsid w:val="0085400C"/>
    <w:rsid w:val="00891C76"/>
    <w:rsid w:val="008A5062"/>
    <w:rsid w:val="008B27F3"/>
    <w:rsid w:val="008B3636"/>
    <w:rsid w:val="008B7043"/>
    <w:rsid w:val="008C5A35"/>
    <w:rsid w:val="00903774"/>
    <w:rsid w:val="009222C6"/>
    <w:rsid w:val="00924DEC"/>
    <w:rsid w:val="00935000"/>
    <w:rsid w:val="00936AF6"/>
    <w:rsid w:val="00937BF5"/>
    <w:rsid w:val="00941E89"/>
    <w:rsid w:val="00942721"/>
    <w:rsid w:val="00945C7C"/>
    <w:rsid w:val="00946125"/>
    <w:rsid w:val="009762C9"/>
    <w:rsid w:val="00976D69"/>
    <w:rsid w:val="009845A8"/>
    <w:rsid w:val="009B26A0"/>
    <w:rsid w:val="009B7577"/>
    <w:rsid w:val="009D4F56"/>
    <w:rsid w:val="00A054D1"/>
    <w:rsid w:val="00A0584E"/>
    <w:rsid w:val="00A06191"/>
    <w:rsid w:val="00A26A6F"/>
    <w:rsid w:val="00A32301"/>
    <w:rsid w:val="00A56CF3"/>
    <w:rsid w:val="00A77899"/>
    <w:rsid w:val="00A922CF"/>
    <w:rsid w:val="00A9603B"/>
    <w:rsid w:val="00AC6418"/>
    <w:rsid w:val="00AE2C71"/>
    <w:rsid w:val="00AF2854"/>
    <w:rsid w:val="00B33B74"/>
    <w:rsid w:val="00B33BDA"/>
    <w:rsid w:val="00B35E40"/>
    <w:rsid w:val="00B378CC"/>
    <w:rsid w:val="00B41AEB"/>
    <w:rsid w:val="00B463AB"/>
    <w:rsid w:val="00B54E67"/>
    <w:rsid w:val="00B73EA6"/>
    <w:rsid w:val="00B813AA"/>
    <w:rsid w:val="00B82400"/>
    <w:rsid w:val="00B86DDF"/>
    <w:rsid w:val="00BA0306"/>
    <w:rsid w:val="00BA4154"/>
    <w:rsid w:val="00BA5A79"/>
    <w:rsid w:val="00BB4793"/>
    <w:rsid w:val="00BB56A8"/>
    <w:rsid w:val="00BB682C"/>
    <w:rsid w:val="00BD48A8"/>
    <w:rsid w:val="00BF4EF8"/>
    <w:rsid w:val="00C10D99"/>
    <w:rsid w:val="00C57345"/>
    <w:rsid w:val="00C814D0"/>
    <w:rsid w:val="00C81B4C"/>
    <w:rsid w:val="00CA4297"/>
    <w:rsid w:val="00CC7214"/>
    <w:rsid w:val="00CE2C4D"/>
    <w:rsid w:val="00CF22EF"/>
    <w:rsid w:val="00D1736D"/>
    <w:rsid w:val="00D50036"/>
    <w:rsid w:val="00D53135"/>
    <w:rsid w:val="00D81399"/>
    <w:rsid w:val="00D815E6"/>
    <w:rsid w:val="00DA4D94"/>
    <w:rsid w:val="00DA67E5"/>
    <w:rsid w:val="00DB4D31"/>
    <w:rsid w:val="00DE2A12"/>
    <w:rsid w:val="00E01CCF"/>
    <w:rsid w:val="00E040EA"/>
    <w:rsid w:val="00E11C0E"/>
    <w:rsid w:val="00E346B6"/>
    <w:rsid w:val="00E525E0"/>
    <w:rsid w:val="00E55A7F"/>
    <w:rsid w:val="00E566F5"/>
    <w:rsid w:val="00EA1559"/>
    <w:rsid w:val="00EB123E"/>
    <w:rsid w:val="00EB179A"/>
    <w:rsid w:val="00EB2613"/>
    <w:rsid w:val="00EE1C79"/>
    <w:rsid w:val="00EE2493"/>
    <w:rsid w:val="00F129C1"/>
    <w:rsid w:val="00F16311"/>
    <w:rsid w:val="00F20F23"/>
    <w:rsid w:val="00F23B18"/>
    <w:rsid w:val="00F31270"/>
    <w:rsid w:val="00F5577B"/>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C76B38"/>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05480828">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2021-01-06T00:00:00+00:00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elements/1.1/"/>
    <ds:schemaRef ds:uri="http://purl.org/dc/terms/"/>
    <ds:schemaRef ds:uri="http://schemas.microsoft.com/office/infopath/2007/PartnerControls"/>
    <ds:schemaRef ds:uri="http://www.w3.org/XML/1998/namespace"/>
    <ds:schemaRef ds:uri="http://schemas.microsoft.com/sharepoint/v3/fields"/>
    <ds:schemaRef ds:uri="http://schemas.microsoft.com/office/2006/documentManagement/types"/>
    <ds:schemaRef ds:uri="http://schemas.microsoft.com/office/2006/metadata/properties"/>
    <ds:schemaRef ds:uri="http://schemas.openxmlformats.org/package/2006/metadata/core-properties"/>
    <ds:schemaRef ds:uri="631298fc-6a88-4548-b7d9-3b164918c4a3"/>
    <ds:schemaRef ds:uri="http://purl.org/dc/dcmitype/"/>
  </ds:schemaRefs>
</ds:datastoreItem>
</file>

<file path=customXml/itemProps3.xml><?xml version="1.0" encoding="utf-8"?>
<ds:datastoreItem xmlns:ds="http://schemas.openxmlformats.org/officeDocument/2006/customXml" ds:itemID="{E4E6A881-1422-46C7-9FE3-67FC3ECD0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BF9C71-7388-4FDF-B37F-B774A7C132A5}">
  <ds:schemaRefs>
    <ds:schemaRef ds:uri="Microsoft.SharePoint.Taxonomy.ContentTypeSync"/>
  </ds:schemaRefs>
</ds:datastoreItem>
</file>

<file path=customXml/itemProps5.xml><?xml version="1.0" encoding="utf-8"?>
<ds:datastoreItem xmlns:ds="http://schemas.openxmlformats.org/officeDocument/2006/customXml" ds:itemID="{D978B5D8-73F6-45F6-BC68-5D990933723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5</cp:revision>
  <dcterms:created xsi:type="dcterms:W3CDTF">2021-01-06T13:48:00Z</dcterms:created>
  <dcterms:modified xsi:type="dcterms:W3CDTF">2021-01-06T16:59:00Z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61b8bde9-45f2-44eb-98f8-07897cfbc883</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