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871"/>
        <w:gridCol w:w="7138"/>
        <w:gridCol w:w="229"/>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7475C513"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95343C"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67F39634"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r w:rsidR="00C3187A">
              <w:rPr>
                <w:rFonts w:ascii="Arial" w:hAnsi="Arial" w:cs="Arial"/>
                <w:sz w:val="20"/>
                <w:szCs w:val="20"/>
                <w:lang w:eastAsia="en-US"/>
              </w:rPr>
              <w:t>18</w:t>
            </w:r>
          </w:p>
        </w:tc>
      </w:tr>
      <w:tr w:rsidR="0095343C"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6451A904"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p>
        </w:tc>
      </w:tr>
      <w:tr w:rsidR="0095343C"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6393FAC2" w:rsidR="00EA1559" w:rsidRPr="00EA1559" w:rsidRDefault="00B43008">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 xml:space="preserve">FD modelling suite </w:t>
            </w:r>
          </w:p>
        </w:tc>
      </w:tr>
      <w:tr w:rsidR="0095343C"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40B9C22B" w:rsidR="00EA1559" w:rsidRPr="00EA1559" w:rsidRDefault="00B4300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Disaggregation errors</w:t>
            </w:r>
          </w:p>
        </w:tc>
      </w:tr>
      <w:tr w:rsidR="0095343C" w:rsidRPr="00EA1559" w14:paraId="2620A8F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66533D1C" w14:textId="77777777" w:rsidR="0095343C" w:rsidRPr="00EA1559" w:rsidRDefault="0095343C"/>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5C577B" w14:textId="2CCBF69B" w:rsidR="0095343C" w:rsidRPr="00EA1559" w:rsidRDefault="0095343C">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4B94CA45" w14:textId="77777777" w:rsidR="0095343C" w:rsidRDefault="0095343C">
            <w:pPr>
              <w:pStyle w:val="NormalWeb"/>
              <w:spacing w:before="0" w:beforeAutospacing="0" w:after="200" w:afterAutospacing="0" w:line="276" w:lineRule="auto"/>
              <w:rPr>
                <w:rFonts w:ascii="Verdana" w:hAnsi="Verdana"/>
                <w:sz w:val="20"/>
                <w:szCs w:val="20"/>
                <w:lang w:eastAsia="en-US"/>
              </w:rPr>
            </w:pPr>
          </w:p>
        </w:tc>
      </w:tr>
      <w:tr w:rsidR="0095343C" w:rsidRPr="00EA1559" w14:paraId="0F06F014" w14:textId="77777777" w:rsidTr="002E3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95343C" w:rsidRPr="00EA1559" w:rsidRDefault="0095343C">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6D3A56" w14:textId="4F389863" w:rsidR="0095343C" w:rsidRDefault="0095343C">
            <w:pPr>
              <w:pStyle w:val="NormalWeb"/>
              <w:spacing w:before="0" w:beforeAutospacing="0" w:after="200" w:afterAutospacing="0" w:line="276" w:lineRule="auto"/>
              <w:rPr>
                <w:rFonts w:ascii="Verdana" w:hAnsi="Verdana"/>
                <w:sz w:val="20"/>
                <w:szCs w:val="20"/>
                <w:lang w:eastAsia="en-US"/>
              </w:rPr>
            </w:pPr>
            <w:bookmarkStart w:id="0" w:name="_Hlk60833148"/>
            <w:r>
              <w:rPr>
                <w:rFonts w:ascii="Verdana" w:hAnsi="Verdana"/>
                <w:sz w:val="20"/>
                <w:szCs w:val="20"/>
                <w:lang w:eastAsia="en-US"/>
              </w:rPr>
              <w:t>As discussed in the two recent cost bilaterals we have noticed significant variation of unit costs across GDNs, within categories we would expect similar u/c’s (with some regional difference, e.g. Ln factor differential).  However, looking at them, there is far more variation than we would expect, a prime example is connections where Scotland unit cost is circa 10% of another network.</w:t>
            </w:r>
          </w:p>
          <w:p w14:paraId="493AF90A" w14:textId="000501FC"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noProof/>
                <w:sz w:val="20"/>
                <w:szCs w:val="20"/>
                <w:lang w:eastAsia="en-US"/>
              </w:rPr>
              <w:drawing>
                <wp:inline distT="0" distB="0" distL="0" distR="0" wp14:anchorId="24B5EDEC" wp14:editId="5DEB160F">
                  <wp:extent cx="6363970" cy="20605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4278" cy="2076836"/>
                          </a:xfrm>
                          <a:prstGeom prst="rect">
                            <a:avLst/>
                          </a:prstGeom>
                          <a:noFill/>
                        </pic:spPr>
                      </pic:pic>
                    </a:graphicData>
                  </a:graphic>
                </wp:inline>
              </w:drawing>
            </w:r>
          </w:p>
          <w:bookmarkEnd w:id="0"/>
          <w:p w14:paraId="51AF6F68" w14:textId="6D432C50"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Looking at the files we have subsequently identified 5 issues relating to the disaggregation of allowances in the Allowances files (i.e. Allowances_File_GD_noRPEs and Allowances_File_GD_incRPEs) and in the PCD files (Allowances_PCD_VD_noRPEs and Allowances_PCD_VD_incRPEs). </w:t>
            </w:r>
          </w:p>
          <w:p w14:paraId="3D6CB564" w14:textId="77777777"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are unsure if these corrections do resolve the range and request that you look at these urgently and consider the implications of the outcome based on latest corrected totex and these errors (assuming you confirm them).</w:t>
            </w:r>
          </w:p>
          <w:p w14:paraId="1C7663BA" w14:textId="77777777" w:rsidR="0095343C" w:rsidRDefault="0095343C">
            <w:pPr>
              <w:pStyle w:val="NormalWeb"/>
              <w:spacing w:before="0" w:beforeAutospacing="0" w:after="200" w:afterAutospacing="0" w:line="276" w:lineRule="auto"/>
              <w:rPr>
                <w:rFonts w:ascii="Verdana" w:hAnsi="Verdana"/>
                <w:sz w:val="20"/>
                <w:szCs w:val="20"/>
                <w:lang w:eastAsia="en-US"/>
              </w:rPr>
            </w:pPr>
          </w:p>
          <w:p w14:paraId="3F8F56A6" w14:textId="3A20E9F9" w:rsidR="0095343C" w:rsidRDefault="0095343C">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Error 1: Disaggregation weightings</w:t>
            </w:r>
          </w:p>
          <w:p w14:paraId="0175078F" w14:textId="63B2CA38"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There is an error in the calculation of weightings in the normalisation files (sheet “Cal_SubAdjCostShares”) which feeds the disaggregation of the totex allowance in the Allowances files.</w:t>
            </w:r>
          </w:p>
          <w:p w14:paraId="26AFA853" w14:textId="300921F1"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In rows 180 to 235, where the file intends to add Gross Exclusions to the Gross Company Submitted Totex (modelled component), the values for the connections add back (to uplift to a central case) in row 222 is already in net. This is then further reduced by the application of the net to gross ratio - effectively reducing the connections add back twice by the net to gross ratio. As a </w:t>
            </w:r>
            <w:r>
              <w:rPr>
                <w:rFonts w:ascii="Verdana" w:hAnsi="Verdana"/>
                <w:sz w:val="20"/>
                <w:szCs w:val="20"/>
                <w:lang w:eastAsia="en-US"/>
              </w:rPr>
              <w:lastRenderedPageBreak/>
              <w:t xml:space="preserve">result, the weighting for the connections lines is too low and this results in the allowances for connections being c. £9m too low. </w:t>
            </w:r>
          </w:p>
          <w:p w14:paraId="191A66BE" w14:textId="0693C484"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This error has arisen in the Out_Exclusion sheet in the normalisation files, where a unique formula has been applied to connections and reinforcements to convert the add back to the net number*. This correction was previously needed as at DD, the add back was added directly to the Allowances files which are on a net basis. As the add back is no longer being added directly to the Allowances files, the connections and reinforcement add backs in the Out_Exclusion sheet can remain in gross.</w:t>
            </w:r>
          </w:p>
          <w:p w14:paraId="450FE9D2" w14:textId="578AE89C" w:rsidR="0095343C" w:rsidRDefault="0095343C">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*Note, the net to gross ratio for reinforcements is 1 so is it largely unaffected by this error. </w:t>
            </w:r>
          </w:p>
          <w:p w14:paraId="76729B57" w14:textId="681B2CCD" w:rsidR="0095343C" w:rsidRDefault="0095343C" w:rsidP="00450E5B">
            <w:pPr>
              <w:pStyle w:val="NormalWeb"/>
              <w:spacing w:before="0" w:beforeAutospacing="0" w:after="200" w:afterAutospacing="0" w:line="276" w:lineRule="auto"/>
              <w:rPr>
                <w:rFonts w:ascii="Verdana" w:hAnsi="Verdana"/>
                <w:b/>
                <w:bCs/>
                <w:sz w:val="20"/>
                <w:szCs w:val="20"/>
                <w:lang w:eastAsia="en-US"/>
              </w:rPr>
            </w:pPr>
            <w:r>
              <w:rPr>
                <w:rFonts w:ascii="Verdana" w:hAnsi="Verdana"/>
                <w:b/>
                <w:bCs/>
                <w:sz w:val="20"/>
                <w:szCs w:val="20"/>
                <w:lang w:eastAsia="en-US"/>
              </w:rPr>
              <w:t>Error 2: Disaggregation – Transport &amp; Plant and Other Capex</w:t>
            </w:r>
          </w:p>
          <w:p w14:paraId="0FB6B5E9" w14:textId="6F9FEECA" w:rsidR="0095343C" w:rsidRDefault="0095343C" w:rsidP="00450E5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There is a transposition error in the “Out_SubAdjCostShares” sheet in the normalisation file, where the order of Transport &amp; Plant and Other Capex has changed from that in the “Cal_SubAdjCostShares” sheet. As a result, the weightings for Transport &amp; Plant and Other Capex have been switched. E.g. see rows 462 and 463 in sheet “Cal_SubAdjCostShares” and rows 65 and 66 in sheet “Out_SubAdjCostShares”.</w:t>
            </w:r>
          </w:p>
          <w:p w14:paraId="0CCDB4C9" w14:textId="36D57D6F" w:rsidR="0095343C" w:rsidRDefault="0095343C" w:rsidP="00450E5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table below shows the impact of errors 1 and 2.The numbers below are post efficiency and therefore please note the small impact on the overall totex allowance due to the balance of expenditure changing between opex, capex and repex.</w:t>
            </w:r>
          </w:p>
          <w:p w14:paraId="194999C5" w14:textId="77777777" w:rsidR="0095343C" w:rsidRDefault="0095343C" w:rsidP="00450E5B">
            <w:pPr>
              <w:pStyle w:val="NormalWeb"/>
              <w:spacing w:before="0" w:beforeAutospacing="0" w:after="200" w:afterAutospacing="0" w:line="276" w:lineRule="auto"/>
              <w:rPr>
                <w:rFonts w:ascii="Verdana" w:hAnsi="Verdana"/>
                <w:sz w:val="20"/>
                <w:szCs w:val="20"/>
                <w:lang w:eastAsia="en-US"/>
              </w:rPr>
            </w:pPr>
            <w:r w:rsidRPr="00450E5B">
              <w:rPr>
                <w:rFonts w:ascii="Verdana" w:hAnsi="Verdana"/>
                <w:noProof/>
                <w:sz w:val="20"/>
                <w:szCs w:val="20"/>
                <w:lang w:eastAsia="en-US"/>
              </w:rPr>
              <w:drawing>
                <wp:inline distT="0" distB="0" distL="0" distR="0" wp14:anchorId="28CEB167" wp14:editId="1C788E51">
                  <wp:extent cx="3566469" cy="36045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66469" cy="3604572"/>
                          </a:xfrm>
                          <a:prstGeom prst="rect">
                            <a:avLst/>
                          </a:prstGeom>
                        </pic:spPr>
                      </pic:pic>
                    </a:graphicData>
                  </a:graphic>
                </wp:inline>
              </w:drawing>
            </w:r>
          </w:p>
          <w:p w14:paraId="705C44E3" w14:textId="29382230" w:rsidR="0095343C" w:rsidRPr="00CE692A"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
                <w:sz w:val="20"/>
                <w:szCs w:val="20"/>
                <w:lang w:eastAsia="en-US"/>
              </w:rPr>
              <w:t>Error 3: Disaggregation of connection allowances</w:t>
            </w:r>
          </w:p>
          <w:p w14:paraId="47C3D7A6" w14:textId="13536337"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 xml:space="preserve">The calculation to disaggregate connections allowance in the PCD files </w:t>
            </w:r>
            <w:r>
              <w:rPr>
                <w:rFonts w:ascii="Verdana" w:hAnsi="Verdana"/>
                <w:sz w:val="20"/>
                <w:szCs w:val="20"/>
                <w:lang w:eastAsia="en-US"/>
              </w:rPr>
              <w:t xml:space="preserve">(Allowances_PCD_VD_noRPEs and Allowances_PCD_VD_incRPEs) </w:t>
            </w:r>
            <w:r>
              <w:rPr>
                <w:rFonts w:ascii="Verdana" w:hAnsi="Verdana"/>
                <w:bCs/>
                <w:sz w:val="20"/>
                <w:szCs w:val="20"/>
                <w:lang w:eastAsia="en-US"/>
              </w:rPr>
              <w:t>is incorrectly using percentage splits based on the base case in our business plan tables, rather than the central case we provided in May 2020. (E.g. for EoE see rows 27 to 30 in Cal_Disag_Capex – note this affects all of our networks and feeds sheets Cal_PCD, Cal_PCD_Ratchet and Cal_PCD_Final).</w:t>
            </w:r>
          </w:p>
          <w:p w14:paraId="197ED41C" w14:textId="27EC1866"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lastRenderedPageBreak/>
              <w:t>The uplifts for the central case only apply to new housing, existing and non-domestic connections and do not apply to FPNES. By using the base case splits, too much of the connections allowance is allocated to FPNES and too little to the other Connection PCDs.</w:t>
            </w:r>
          </w:p>
          <w:p w14:paraId="2770C3AB" w14:textId="04577E29"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 xml:space="preserve">To estimate the impact of correcting this issue, we calculated the appropriate uplifts to the base case by taking the gross add back in the Normalisation files (in the Cal_Connections sheets) and dividing by the gross base case for new, existing and non-domestic connections only. We then applied this uplift to the relevant base case lines (new, existing and non-domestic) before calculating the appropriate split to apply to the modelled allowance. </w:t>
            </w:r>
          </w:p>
          <w:p w14:paraId="2B8F9EAC" w14:textId="57A2D60D"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We estimate correcting this issue will reduce the amount to allocated to FPNES by £3.63m and increase the amount allocated to the other connection PCDs by £3.63m.</w:t>
            </w:r>
          </w:p>
          <w:p w14:paraId="3ABCA4C5" w14:textId="32A45743"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The tables below show the estimated impact on FPNES.</w:t>
            </w:r>
          </w:p>
          <w:p w14:paraId="0FC213CD" w14:textId="6A14C152" w:rsidR="0095343C" w:rsidRDefault="0095343C" w:rsidP="00450E5B">
            <w:pPr>
              <w:pStyle w:val="NormalWeb"/>
              <w:spacing w:before="0" w:beforeAutospacing="0" w:after="200" w:afterAutospacing="0" w:line="276" w:lineRule="auto"/>
              <w:rPr>
                <w:rFonts w:ascii="Verdana" w:hAnsi="Verdana"/>
                <w:bCs/>
                <w:sz w:val="20"/>
                <w:szCs w:val="20"/>
                <w:lang w:eastAsia="en-US"/>
              </w:rPr>
            </w:pPr>
            <w:r w:rsidRPr="00154768">
              <w:rPr>
                <w:rFonts w:ascii="Verdana" w:hAnsi="Verdana"/>
                <w:bCs/>
                <w:noProof/>
                <w:sz w:val="20"/>
                <w:szCs w:val="20"/>
                <w:lang w:eastAsia="en-US"/>
              </w:rPr>
              <w:drawing>
                <wp:inline distT="0" distB="0" distL="0" distR="0" wp14:anchorId="443EA7F5" wp14:editId="32BE492E">
                  <wp:extent cx="4092295" cy="800169"/>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92295" cy="800169"/>
                          </a:xfrm>
                          <a:prstGeom prst="rect">
                            <a:avLst/>
                          </a:prstGeom>
                        </pic:spPr>
                      </pic:pic>
                    </a:graphicData>
                  </a:graphic>
                </wp:inline>
              </w:drawing>
            </w:r>
          </w:p>
          <w:p w14:paraId="3949529D" w14:textId="79D9A3B0" w:rsidR="0095343C" w:rsidRPr="00CE692A" w:rsidRDefault="0095343C" w:rsidP="00450E5B">
            <w:pPr>
              <w:pStyle w:val="NormalWeb"/>
              <w:spacing w:before="0" w:beforeAutospacing="0" w:after="200" w:afterAutospacing="0" w:line="276" w:lineRule="auto"/>
              <w:rPr>
                <w:rFonts w:ascii="Verdana" w:hAnsi="Verdana"/>
                <w:b/>
                <w:sz w:val="20"/>
                <w:szCs w:val="20"/>
                <w:lang w:eastAsia="en-US"/>
              </w:rPr>
            </w:pPr>
            <w:r>
              <w:rPr>
                <w:rFonts w:ascii="Verdana" w:hAnsi="Verdana"/>
                <w:b/>
                <w:sz w:val="20"/>
                <w:szCs w:val="20"/>
                <w:lang w:eastAsia="en-US"/>
              </w:rPr>
              <w:t>Error 4: Connections unit costs</w:t>
            </w:r>
          </w:p>
          <w:p w14:paraId="5FEFBF99" w14:textId="49E4B974" w:rsidR="0095343C" w:rsidRPr="00CE692A"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The PCD unit cost models (“PCD_VD_UnitCostModel_noRPEs” and “PCD_VD_UnitCostModel_incRPEs”) are using the incorrect connections workloads to estimate the unit costs in sheet “Cal_SubWorkloadsAdj”. Currently, all of the connection workloads (including FPNES) in the file are uplifted for the central case, whereas only existing, new and non-domestic connection workloads should be uplifted.</w:t>
            </w:r>
          </w:p>
          <w:p w14:paraId="73C07FBA" w14:textId="5B13E21A" w:rsidR="0095343C" w:rsidRDefault="0095343C" w:rsidP="00450E5B">
            <w:pPr>
              <w:pStyle w:val="NormalWeb"/>
              <w:spacing w:before="0" w:beforeAutospacing="0" w:after="200" w:afterAutospacing="0" w:line="276" w:lineRule="auto"/>
              <w:rPr>
                <w:rFonts w:ascii="Verdana" w:hAnsi="Verdana"/>
                <w:bCs/>
                <w:sz w:val="20"/>
                <w:szCs w:val="20"/>
                <w:lang w:eastAsia="en-US"/>
              </w:rPr>
            </w:pPr>
            <w:r>
              <w:rPr>
                <w:rFonts w:ascii="Verdana" w:hAnsi="Verdana"/>
                <w:bCs/>
                <w:sz w:val="20"/>
                <w:szCs w:val="20"/>
                <w:lang w:eastAsia="en-US"/>
              </w:rPr>
              <w:t>In addition, there is a related issue in the synthetic cost file, where all of the connection workloads, including FPNES, have been uplifted by a similar amount to the uplift in the normalisation file. This is also incorrect, and a higher percentage uplift should have been applied to the new and existing housing, and non-domestic workloads and no uplift to FPNES. We have not yet estimated the impact of this error on the regression.</w:t>
            </w:r>
          </w:p>
          <w:p w14:paraId="5B03AC94" w14:textId="28EF478A" w:rsidR="0095343C" w:rsidRDefault="0095343C" w:rsidP="008D213D">
            <w:pPr>
              <w:pStyle w:val="NormalWeb"/>
              <w:spacing w:before="0" w:beforeAutospacing="0" w:after="200" w:afterAutospacing="0" w:line="276" w:lineRule="auto"/>
              <w:rPr>
                <w:rFonts w:ascii="Verdana" w:hAnsi="Verdana"/>
                <w:b/>
                <w:sz w:val="20"/>
                <w:szCs w:val="20"/>
                <w:lang w:eastAsia="en-US"/>
              </w:rPr>
            </w:pPr>
            <w:r>
              <w:rPr>
                <w:rFonts w:ascii="Verdana" w:hAnsi="Verdana"/>
                <w:b/>
                <w:sz w:val="20"/>
                <w:szCs w:val="20"/>
                <w:lang w:eastAsia="en-US"/>
              </w:rPr>
              <w:t>Error 5: Disaggregation of allowances in the PCD files</w:t>
            </w:r>
          </w:p>
          <w:p w14:paraId="403CFB58" w14:textId="4CE36828" w:rsidR="0095343C" w:rsidRDefault="0095343C" w:rsidP="00757E79">
            <w:pPr>
              <w:pStyle w:val="NormalWeb"/>
              <w:spacing w:before="0" w:beforeAutospacing="0" w:after="0" w:afterAutospacing="0"/>
              <w:rPr>
                <w:rFonts w:ascii="Verdana" w:hAnsi="Verdana"/>
                <w:bCs/>
                <w:sz w:val="20"/>
                <w:szCs w:val="20"/>
                <w:lang w:eastAsia="en-US"/>
              </w:rPr>
            </w:pPr>
          </w:p>
          <w:p w14:paraId="4B1FB427" w14:textId="5BEAEAFD" w:rsidR="0095343C" w:rsidRDefault="0095343C" w:rsidP="00757E79">
            <w:pPr>
              <w:pStyle w:val="NormalWeb"/>
              <w:spacing w:before="0" w:beforeAutospacing="0" w:after="0" w:afterAutospacing="0"/>
              <w:rPr>
                <w:rFonts w:ascii="Verdana" w:hAnsi="Verdana"/>
                <w:sz w:val="20"/>
                <w:szCs w:val="20"/>
                <w:lang w:eastAsia="en-US"/>
              </w:rPr>
            </w:pPr>
            <w:r>
              <w:rPr>
                <w:rFonts w:ascii="Verdana" w:hAnsi="Verdana"/>
                <w:bCs/>
                <w:sz w:val="20"/>
                <w:szCs w:val="20"/>
                <w:lang w:eastAsia="en-US"/>
              </w:rPr>
              <w:t xml:space="preserve">The disaggregation calculations in the PCD files </w:t>
            </w:r>
            <w:r>
              <w:rPr>
                <w:rFonts w:ascii="Verdana" w:hAnsi="Verdana"/>
                <w:sz w:val="20"/>
                <w:szCs w:val="20"/>
                <w:lang w:eastAsia="en-US"/>
              </w:rPr>
              <w:t xml:space="preserve">(Allowances_PCD_VD_noRPEs and Allowances_PCD_VD_incRPEs) are incorrectly mixing post-efficiency numbers with pre-efficiency numbers. This error occurs in the “Cal_PCD” and “Cal_PCD_Ratchet” sheets and arises due to the PCD model introducing outputs directly from other models which are pre-frontier challenge e.g. it is using data from the Technical Assessment and Non-Regression models (see sheets Inp_TechAssessCostsAdj and Inp_NonRegressAdj). </w:t>
            </w:r>
          </w:p>
          <w:p w14:paraId="7122DD32" w14:textId="618CC80A" w:rsidR="0095343C" w:rsidRDefault="0095343C" w:rsidP="00757E79">
            <w:pPr>
              <w:pStyle w:val="NormalWeb"/>
              <w:spacing w:before="0" w:beforeAutospacing="0" w:after="0" w:afterAutospacing="0"/>
              <w:rPr>
                <w:rFonts w:ascii="Verdana" w:hAnsi="Verdana"/>
                <w:bCs/>
                <w:sz w:val="20"/>
                <w:szCs w:val="20"/>
                <w:lang w:eastAsia="en-US"/>
              </w:rPr>
            </w:pPr>
          </w:p>
          <w:p w14:paraId="569939A1" w14:textId="77777777" w:rsidR="0095343C" w:rsidRDefault="0095343C" w:rsidP="00757E79">
            <w:pPr>
              <w:pStyle w:val="NormalWeb"/>
              <w:spacing w:before="0" w:beforeAutospacing="0" w:after="0" w:afterAutospacing="0"/>
              <w:rPr>
                <w:rFonts w:ascii="Verdana" w:hAnsi="Verdana"/>
                <w:bCs/>
                <w:sz w:val="20"/>
                <w:szCs w:val="20"/>
                <w:lang w:eastAsia="en-US"/>
              </w:rPr>
            </w:pPr>
            <w:r>
              <w:rPr>
                <w:rFonts w:ascii="Verdana" w:hAnsi="Verdana"/>
                <w:bCs/>
                <w:sz w:val="20"/>
                <w:szCs w:val="20"/>
                <w:lang w:eastAsia="en-US"/>
              </w:rPr>
              <w:t>This issue is spread across the opex, capex and repex PCDs and we have listed the lines that we consider affected.</w:t>
            </w:r>
          </w:p>
          <w:p w14:paraId="774ED053" w14:textId="0A1E1D99"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“Specific line items” in rows 11-42</w:t>
            </w:r>
          </w:p>
          <w:p w14:paraId="70E311A7" w14:textId="528945FD"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Gas Holder Demolition</w:t>
            </w:r>
          </w:p>
          <w:p w14:paraId="5F7042A0" w14:textId="27301624"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Work Management Other</w:t>
            </w:r>
          </w:p>
          <w:p w14:paraId="13C2F2CB" w14:textId="5CF6FDD6"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SIU</w:t>
            </w:r>
          </w:p>
          <w:p w14:paraId="0A74D2C9" w14:textId="1F8E55B8"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Opex: Total Business Support</w:t>
            </w:r>
          </w:p>
          <w:p w14:paraId="327B4571" w14:textId="7800D377"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“TA-Separately assessed projects”</w:t>
            </w:r>
          </w:p>
          <w:p w14:paraId="52BD662E" w14:textId="61DB72A1"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Capital Projects</w:t>
            </w:r>
          </w:p>
          <w:p w14:paraId="3AC972A4" w14:textId="3A5FA8FB"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PSUP</w:t>
            </w:r>
          </w:p>
          <w:p w14:paraId="02E27DC1" w14:textId="05096B78"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lastRenderedPageBreak/>
              <w:t>Capex: Electric Vehicles</w:t>
            </w:r>
          </w:p>
          <w:p w14:paraId="556C951A" w14:textId="78EDF908"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SIU</w:t>
            </w:r>
          </w:p>
          <w:p w14:paraId="5C7791C7" w14:textId="41EF5E24" w:rsidR="0095343C" w:rsidRDefault="0095343C" w:rsidP="007D00EC">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Other Capex – NARM</w:t>
            </w:r>
          </w:p>
          <w:p w14:paraId="22342345" w14:textId="6EEFE4FF" w:rsidR="0095343C" w:rsidRDefault="0095343C" w:rsidP="0064205F">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Other Capex – Non-NARM</w:t>
            </w:r>
          </w:p>
          <w:p w14:paraId="702C7CE1" w14:textId="153B0E60" w:rsidR="0095343C" w:rsidRDefault="0095343C" w:rsidP="0064205F">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Capex: TA – Non-NARM</w:t>
            </w:r>
          </w:p>
          <w:p w14:paraId="15A32F33" w14:textId="17A9A99B" w:rsidR="0095343C" w:rsidRDefault="0095343C" w:rsidP="0064205F">
            <w:pPr>
              <w:pStyle w:val="NormalWeb"/>
              <w:numPr>
                <w:ilvl w:val="0"/>
                <w:numId w:val="7"/>
              </w:numPr>
              <w:spacing w:before="0" w:beforeAutospacing="0" w:after="0" w:afterAutospacing="0"/>
              <w:rPr>
                <w:rFonts w:ascii="Verdana" w:hAnsi="Verdana"/>
                <w:bCs/>
                <w:sz w:val="20"/>
                <w:szCs w:val="20"/>
                <w:lang w:eastAsia="en-US"/>
              </w:rPr>
            </w:pPr>
            <w:r>
              <w:rPr>
                <w:rFonts w:ascii="Verdana" w:hAnsi="Verdana"/>
                <w:bCs/>
                <w:sz w:val="20"/>
                <w:szCs w:val="20"/>
                <w:lang w:eastAsia="en-US"/>
              </w:rPr>
              <w:t>Repex: Other Repex-NARM</w:t>
            </w:r>
          </w:p>
          <w:p w14:paraId="62DC5A0D" w14:textId="3A778E26" w:rsidR="0095343C" w:rsidRDefault="0095343C" w:rsidP="0064205F">
            <w:pPr>
              <w:pStyle w:val="NormalWeb"/>
              <w:spacing w:before="0" w:beforeAutospacing="0" w:after="0" w:afterAutospacing="0"/>
              <w:rPr>
                <w:rFonts w:ascii="Verdana" w:hAnsi="Verdana"/>
                <w:bCs/>
                <w:sz w:val="20"/>
                <w:szCs w:val="20"/>
                <w:lang w:eastAsia="en-US"/>
              </w:rPr>
            </w:pPr>
          </w:p>
          <w:p w14:paraId="17951116" w14:textId="172A785F" w:rsidR="0095343C" w:rsidRPr="0064205F" w:rsidRDefault="0095343C" w:rsidP="0064205F">
            <w:pPr>
              <w:pStyle w:val="NormalWeb"/>
              <w:spacing w:before="0" w:beforeAutospacing="0" w:after="0" w:afterAutospacing="0"/>
              <w:rPr>
                <w:rFonts w:ascii="Verdana" w:hAnsi="Verdana"/>
                <w:bCs/>
                <w:sz w:val="20"/>
                <w:szCs w:val="20"/>
                <w:lang w:eastAsia="en-US"/>
              </w:rPr>
            </w:pPr>
            <w:r>
              <w:rPr>
                <w:rFonts w:ascii="Verdana" w:hAnsi="Verdana"/>
                <w:bCs/>
                <w:sz w:val="20"/>
                <w:szCs w:val="20"/>
                <w:lang w:eastAsia="en-US"/>
              </w:rPr>
              <w:t>We also note that the calculation for Capex: TA-Non-NARM should exclude Electric Vehicles, but it is currently including it.</w:t>
            </w:r>
          </w:p>
          <w:p w14:paraId="5B5C246B" w14:textId="77777777" w:rsidR="0095343C" w:rsidRDefault="0095343C" w:rsidP="0064205F">
            <w:pPr>
              <w:pStyle w:val="NormalWeb"/>
              <w:spacing w:before="0" w:beforeAutospacing="0" w:after="0" w:afterAutospacing="0"/>
              <w:rPr>
                <w:rFonts w:ascii="Verdana" w:hAnsi="Verdana"/>
                <w:bCs/>
                <w:sz w:val="20"/>
                <w:szCs w:val="20"/>
                <w:lang w:eastAsia="en-US"/>
              </w:rPr>
            </w:pPr>
          </w:p>
          <w:p w14:paraId="54C8E756" w14:textId="77777777" w:rsidR="0095343C" w:rsidRPr="006A2AE2" w:rsidRDefault="0095343C" w:rsidP="0064205F">
            <w:pPr>
              <w:pStyle w:val="NormalWeb"/>
              <w:spacing w:before="0" w:beforeAutospacing="0" w:after="0" w:afterAutospacing="0"/>
              <w:rPr>
                <w:rFonts w:ascii="Verdana" w:hAnsi="Verdana"/>
                <w:bCs/>
                <w:sz w:val="20"/>
                <w:szCs w:val="20"/>
                <w:lang w:eastAsia="en-US"/>
              </w:rPr>
            </w:pPr>
          </w:p>
          <w:p w14:paraId="4E32D44A" w14:textId="61C1987C" w:rsidR="0095343C" w:rsidRPr="008D1E80" w:rsidRDefault="0095343C" w:rsidP="00757E79">
            <w:pPr>
              <w:pStyle w:val="NormalWeb"/>
              <w:spacing w:before="0" w:beforeAutospacing="0" w:after="0" w:afterAutospacing="0"/>
              <w:rPr>
                <w:rFonts w:ascii="Verdana" w:hAnsi="Verdana"/>
                <w:b/>
                <w:bCs/>
                <w:sz w:val="20"/>
                <w:szCs w:val="20"/>
                <w:lang w:eastAsia="en-US"/>
              </w:rPr>
            </w:pPr>
          </w:p>
        </w:tc>
      </w:tr>
      <w:tr w:rsidR="0095343C"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78BF73E2" w:rsidR="00EA1559" w:rsidRPr="00EA1559" w:rsidRDefault="00B43008">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95343C"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6F9A98A0" w:rsidR="00EA1559" w:rsidRPr="00EA1559" w:rsidRDefault="00B4300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Kate Haycock</w:t>
            </w:r>
          </w:p>
        </w:tc>
      </w:tr>
      <w:tr w:rsidR="0095343C"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2FFBE1C6" w:rsidR="00EA1559" w:rsidRPr="00EA1559" w:rsidRDefault="008D21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6 January</w:t>
            </w:r>
            <w:r w:rsidR="00B43008">
              <w:rPr>
                <w:rFonts w:ascii="Verdana" w:hAnsi="Verdana"/>
                <w:sz w:val="20"/>
                <w:szCs w:val="20"/>
                <w:lang w:eastAsia="en-US"/>
              </w:rPr>
              <w:t xml:space="preserve"> 202</w:t>
            </w:r>
            <w:r>
              <w:rPr>
                <w:rFonts w:ascii="Verdana" w:hAnsi="Verdana"/>
                <w:sz w:val="20"/>
                <w:szCs w:val="20"/>
                <w:lang w:eastAsia="en-US"/>
              </w:rPr>
              <w:t>1</w:t>
            </w:r>
          </w:p>
        </w:tc>
      </w:tr>
      <w:tr w:rsidR="0095343C"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1B7F0A17" w:rsidR="00EA1559" w:rsidRPr="00EA1559" w:rsidRDefault="008D213D">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11January 2021</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D3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nil"/>
              <w:right w:val="single" w:sz="8" w:space="0" w:color="auto"/>
            </w:tcBorders>
            <w:tcMar>
              <w:top w:w="0" w:type="dxa"/>
              <w:left w:w="108" w:type="dxa"/>
              <w:bottom w:w="0" w:type="dxa"/>
              <w:right w:w="108" w:type="dxa"/>
            </w:tcMar>
            <w:vAlign w:val="center"/>
            <w:hideMark/>
          </w:tcPr>
          <w:p w14:paraId="7E759EA3"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6A67FFB5" w14:textId="77777777" w:rsidR="00E6754E" w:rsidRDefault="00E6754E">
            <w:pPr>
              <w:rPr>
                <w:rFonts w:ascii="Arial" w:hAnsi="Arial" w:cs="Arial"/>
                <w:szCs w:val="20"/>
              </w:rPr>
            </w:pPr>
            <w:r>
              <w:rPr>
                <w:rFonts w:ascii="Arial" w:hAnsi="Arial" w:cs="Arial"/>
                <w:szCs w:val="20"/>
              </w:rPr>
              <w:t xml:space="preserve">Error 1: We agree that there appears to be an inconsistency in the application of the net:gross calculation for connections (and reinforcement). We will amend the formulas for connections and reinforcement in the Out_Exclusions sheets in the Normalisation files to correct this error. </w:t>
            </w:r>
          </w:p>
          <w:p w14:paraId="7F913676" w14:textId="77777777" w:rsidR="00E6754E" w:rsidRDefault="00E6754E">
            <w:pPr>
              <w:rPr>
                <w:rFonts w:ascii="Arial" w:hAnsi="Arial" w:cs="Arial"/>
                <w:szCs w:val="20"/>
              </w:rPr>
            </w:pPr>
          </w:p>
          <w:p w14:paraId="4A003E29" w14:textId="77777777" w:rsidR="00E6754E" w:rsidRDefault="00E6754E">
            <w:pPr>
              <w:rPr>
                <w:rFonts w:ascii="Arial" w:hAnsi="Arial" w:cs="Arial"/>
                <w:szCs w:val="20"/>
              </w:rPr>
            </w:pPr>
            <w:r>
              <w:rPr>
                <w:rFonts w:ascii="Arial" w:hAnsi="Arial" w:cs="Arial"/>
                <w:szCs w:val="20"/>
              </w:rPr>
              <w:t xml:space="preserve">Error 2: We agree that this is an error. We will update the Cal_SubAdjCostShares sheet in each of the Normalisation files to wtich the order of Transport &amp; Plant and Other Capex, so that they are consistent with the Out_SubAdjCostShares sheet. </w:t>
            </w:r>
          </w:p>
          <w:p w14:paraId="4AF3C667" w14:textId="77777777" w:rsidR="00E6754E" w:rsidRDefault="00E6754E">
            <w:pPr>
              <w:rPr>
                <w:rFonts w:ascii="Arial" w:hAnsi="Arial" w:cs="Arial"/>
                <w:szCs w:val="20"/>
              </w:rPr>
            </w:pPr>
          </w:p>
          <w:p w14:paraId="63A179D3" w14:textId="77777777" w:rsidR="00E6754E" w:rsidRDefault="00E6754E">
            <w:pPr>
              <w:rPr>
                <w:rFonts w:ascii="Arial" w:hAnsi="Arial" w:cs="Arial"/>
                <w:szCs w:val="20"/>
              </w:rPr>
            </w:pPr>
            <w:r>
              <w:rPr>
                <w:rFonts w:ascii="Arial" w:hAnsi="Arial" w:cs="Arial"/>
                <w:szCs w:val="20"/>
              </w:rPr>
              <w:t>Error 3: We agree that this is an error. We will amend the Allowances_PCD_VD files to pull in the connections and reinforcement addbacks and update the formulas in the Cal</w:t>
            </w:r>
            <w:r w:rsidR="00FF561C">
              <w:rPr>
                <w:rFonts w:ascii="Arial" w:hAnsi="Arial" w:cs="Arial"/>
                <w:szCs w:val="20"/>
              </w:rPr>
              <w:t xml:space="preserve">_PCD and Cal_PCD_Ratchet sheets accordingly. </w:t>
            </w:r>
          </w:p>
          <w:p w14:paraId="4C67DE9B" w14:textId="77777777" w:rsidR="00FF561C" w:rsidRDefault="00FF561C">
            <w:pPr>
              <w:rPr>
                <w:rFonts w:ascii="Arial" w:hAnsi="Arial" w:cs="Arial"/>
                <w:szCs w:val="20"/>
              </w:rPr>
            </w:pPr>
          </w:p>
          <w:p w14:paraId="0A70A284" w14:textId="19A018C8" w:rsidR="00FF561C" w:rsidRDefault="00FF561C">
            <w:pPr>
              <w:rPr>
                <w:rFonts w:ascii="Arial" w:hAnsi="Arial" w:cs="Arial"/>
                <w:szCs w:val="20"/>
              </w:rPr>
            </w:pPr>
            <w:r>
              <w:rPr>
                <w:rFonts w:ascii="Arial" w:hAnsi="Arial" w:cs="Arial"/>
                <w:szCs w:val="20"/>
              </w:rPr>
              <w:t xml:space="preserve">Error 4: We agree that this is an error. We will amend the PCD_VD_UC file update the formulas in the Cal_SubWorkloadsAdj sheet to remove the uplift from the FPNES workloads. Likewise, we will also ensure the uplift is applied consistently in the Capex_SUC file. </w:t>
            </w:r>
          </w:p>
          <w:p w14:paraId="7E4F647C" w14:textId="77777777" w:rsidR="00FF561C" w:rsidRDefault="00FF561C">
            <w:pPr>
              <w:rPr>
                <w:rFonts w:ascii="Arial" w:hAnsi="Arial" w:cs="Arial"/>
                <w:szCs w:val="20"/>
              </w:rPr>
            </w:pPr>
          </w:p>
          <w:p w14:paraId="7E80A00E" w14:textId="73CE334F" w:rsidR="00FF561C" w:rsidRPr="00E6754E" w:rsidRDefault="00FF561C">
            <w:pPr>
              <w:rPr>
                <w:rFonts w:ascii="Arial" w:hAnsi="Arial" w:cs="Arial"/>
                <w:szCs w:val="20"/>
              </w:rPr>
            </w:pPr>
            <w:r>
              <w:rPr>
                <w:rFonts w:ascii="Arial" w:hAnsi="Arial" w:cs="Arial"/>
                <w:szCs w:val="20"/>
              </w:rPr>
              <w:t xml:space="preserve">Error 5: We agree that there is an inconsistency in the data used in the Cal_PCD and Cal_PCD_Ratchet sheets. We will add in an additional Inp_FrontierShift sheet, which will pull in the indices from the Allowances_File. We </w:t>
            </w:r>
            <w:r>
              <w:rPr>
                <w:rFonts w:ascii="Arial" w:hAnsi="Arial" w:cs="Arial"/>
                <w:szCs w:val="20"/>
              </w:rPr>
              <w:lastRenderedPageBreak/>
              <w:t xml:space="preserve">will then multiply these through for the line items which are currently pulling through on a pre-frontier shift challenge basis. </w:t>
            </w:r>
            <w:r w:rsidR="00055C06">
              <w:rPr>
                <w:rFonts w:ascii="Arial" w:hAnsi="Arial" w:cs="Arial"/>
                <w:szCs w:val="20"/>
              </w:rPr>
              <w:t xml:space="preserve">We will amend the formula for formula for Capital Projects PCD to exclude electric vehicles. </w:t>
            </w:r>
          </w:p>
        </w:tc>
      </w:tr>
      <w:tr w:rsidR="00ED3654" w:rsidRPr="00EA1559" w14:paraId="0E4E484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tcPr>
          <w:p w14:paraId="01228027" w14:textId="77777777" w:rsidR="00ED3654" w:rsidRPr="00EA1559" w:rsidRDefault="00ED3654"/>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CB52A6" w14:textId="77777777" w:rsidR="00ED3654" w:rsidRDefault="00ED3654">
            <w:pPr>
              <w:rPr>
                <w:rFonts w:ascii="Arial" w:hAnsi="Arial" w:cs="Arial"/>
                <w:b/>
                <w:bCs/>
                <w:szCs w:val="20"/>
              </w:rPr>
            </w:pPr>
            <w:r>
              <w:rPr>
                <w:rFonts w:ascii="Arial" w:hAnsi="Arial" w:cs="Arial"/>
                <w:b/>
                <w:bCs/>
                <w:szCs w:val="20"/>
              </w:rPr>
              <w:t>Further response</w:t>
            </w:r>
          </w:p>
          <w:p w14:paraId="0CCE2009" w14:textId="050F2E27" w:rsidR="00ED3654" w:rsidRDefault="00ED3654">
            <w:pPr>
              <w:rPr>
                <w:rFonts w:ascii="Arial" w:hAnsi="Arial" w:cs="Arial"/>
                <w:szCs w:val="20"/>
              </w:rPr>
            </w:pPr>
            <w:r>
              <w:rPr>
                <w:rFonts w:ascii="Arial" w:hAnsi="Arial" w:cs="Arial"/>
                <w:szCs w:val="20"/>
              </w:rPr>
              <w:t>Thank you for your response and confirmation that the above errors will be corrected. With regard to error 4, could you</w:t>
            </w:r>
            <w:r w:rsidR="005C1056">
              <w:rPr>
                <w:rFonts w:ascii="Arial" w:hAnsi="Arial" w:cs="Arial"/>
                <w:szCs w:val="20"/>
              </w:rPr>
              <w:t xml:space="preserve"> please</w:t>
            </w:r>
            <w:r>
              <w:rPr>
                <w:rFonts w:ascii="Arial" w:hAnsi="Arial" w:cs="Arial"/>
                <w:szCs w:val="20"/>
              </w:rPr>
              <w:t xml:space="preserve"> confirm that you will correct the new housing, existing housing and non-domestic connection workloads as well as the FPNES workloads in the PCD files and GD2 Synthetic Cost file, as they are currently too low by virtue of calculating the P50 volume adjustment with reference to FPNES.</w:t>
            </w:r>
          </w:p>
          <w:p w14:paraId="2160431A" w14:textId="3DA95460" w:rsidR="00ED3654" w:rsidRDefault="00ED3654">
            <w:pPr>
              <w:rPr>
                <w:rFonts w:ascii="Arial" w:hAnsi="Arial" w:cs="Arial"/>
                <w:szCs w:val="20"/>
              </w:rPr>
            </w:pPr>
            <w:r>
              <w:rPr>
                <w:rFonts w:ascii="Arial" w:hAnsi="Arial" w:cs="Arial"/>
                <w:szCs w:val="20"/>
              </w:rPr>
              <w:t>For example, currently the P50 adjustment factor in the GD2_Synthetic Cost file (sheet Inp_WorkloadUpdates) is:</w:t>
            </w:r>
          </w:p>
          <w:tbl>
            <w:tblPr>
              <w:tblW w:w="6960" w:type="dxa"/>
              <w:tblLook w:val="04A0" w:firstRow="1" w:lastRow="0" w:firstColumn="1" w:lastColumn="0" w:noHBand="0" w:noVBand="1"/>
            </w:tblPr>
            <w:tblGrid>
              <w:gridCol w:w="1160"/>
              <w:gridCol w:w="1160"/>
              <w:gridCol w:w="1160"/>
              <w:gridCol w:w="1160"/>
              <w:gridCol w:w="1160"/>
              <w:gridCol w:w="1160"/>
            </w:tblGrid>
            <w:tr w:rsidR="00ED3654" w:rsidRPr="00ED3654" w14:paraId="60DCD17F" w14:textId="77777777" w:rsidTr="00ED3654">
              <w:trPr>
                <w:trHeight w:val="240"/>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A2C84" w14:textId="77777777" w:rsidR="00ED3654" w:rsidRPr="00ED3654" w:rsidRDefault="00ED3654" w:rsidP="00ED3654">
                  <w:pPr>
                    <w:spacing w:after="0" w:line="240" w:lineRule="auto"/>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Current P50 adjustment factor</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59EAB744"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2021/22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C859A86"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2022/23</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4C85D2F5"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2023/24</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44FAD765"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2024/25</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66262816"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2025/26</w:t>
                  </w:r>
                </w:p>
              </w:tc>
            </w:tr>
            <w:tr w:rsidR="00ED3654" w:rsidRPr="00ED3654" w14:paraId="7E5A7217"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125DD87F"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EoE</w:t>
                  </w:r>
                </w:p>
              </w:tc>
              <w:tc>
                <w:tcPr>
                  <w:tcW w:w="1160" w:type="dxa"/>
                  <w:tcBorders>
                    <w:top w:val="nil"/>
                    <w:left w:val="nil"/>
                    <w:bottom w:val="single" w:sz="4" w:space="0" w:color="auto"/>
                    <w:right w:val="single" w:sz="4" w:space="0" w:color="auto"/>
                  </w:tcBorders>
                  <w:shd w:val="clear" w:color="auto" w:fill="auto"/>
                  <w:noWrap/>
                  <w:vAlign w:val="bottom"/>
                  <w:hideMark/>
                </w:tcPr>
                <w:p w14:paraId="35472E12"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1.334</w:t>
                  </w:r>
                </w:p>
              </w:tc>
              <w:tc>
                <w:tcPr>
                  <w:tcW w:w="1160" w:type="dxa"/>
                  <w:tcBorders>
                    <w:top w:val="nil"/>
                    <w:left w:val="nil"/>
                    <w:bottom w:val="single" w:sz="4" w:space="0" w:color="auto"/>
                    <w:right w:val="single" w:sz="4" w:space="0" w:color="auto"/>
                  </w:tcBorders>
                  <w:shd w:val="clear" w:color="auto" w:fill="auto"/>
                  <w:noWrap/>
                  <w:vAlign w:val="bottom"/>
                  <w:hideMark/>
                </w:tcPr>
                <w:p w14:paraId="06BF2948"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1.335</w:t>
                  </w:r>
                </w:p>
              </w:tc>
              <w:tc>
                <w:tcPr>
                  <w:tcW w:w="1160" w:type="dxa"/>
                  <w:tcBorders>
                    <w:top w:val="nil"/>
                    <w:left w:val="nil"/>
                    <w:bottom w:val="single" w:sz="4" w:space="0" w:color="auto"/>
                    <w:right w:val="single" w:sz="4" w:space="0" w:color="auto"/>
                  </w:tcBorders>
                  <w:shd w:val="clear" w:color="auto" w:fill="auto"/>
                  <w:noWrap/>
                  <w:vAlign w:val="bottom"/>
                  <w:hideMark/>
                </w:tcPr>
                <w:p w14:paraId="6E9F603B"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1.336</w:t>
                  </w:r>
                </w:p>
              </w:tc>
              <w:tc>
                <w:tcPr>
                  <w:tcW w:w="1160" w:type="dxa"/>
                  <w:tcBorders>
                    <w:top w:val="nil"/>
                    <w:left w:val="nil"/>
                    <w:bottom w:val="single" w:sz="4" w:space="0" w:color="auto"/>
                    <w:right w:val="single" w:sz="4" w:space="0" w:color="auto"/>
                  </w:tcBorders>
                  <w:shd w:val="clear" w:color="auto" w:fill="auto"/>
                  <w:noWrap/>
                  <w:vAlign w:val="bottom"/>
                  <w:hideMark/>
                </w:tcPr>
                <w:p w14:paraId="733BB6A9"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1.337</w:t>
                  </w:r>
                </w:p>
              </w:tc>
              <w:tc>
                <w:tcPr>
                  <w:tcW w:w="1160" w:type="dxa"/>
                  <w:tcBorders>
                    <w:top w:val="nil"/>
                    <w:left w:val="nil"/>
                    <w:bottom w:val="single" w:sz="4" w:space="0" w:color="auto"/>
                    <w:right w:val="single" w:sz="4" w:space="0" w:color="auto"/>
                  </w:tcBorders>
                  <w:shd w:val="clear" w:color="auto" w:fill="auto"/>
                  <w:noWrap/>
                  <w:vAlign w:val="bottom"/>
                  <w:hideMark/>
                </w:tcPr>
                <w:p w14:paraId="54DB5BB8"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1.338</w:t>
                  </w:r>
                </w:p>
              </w:tc>
            </w:tr>
            <w:tr w:rsidR="00ED3654" w:rsidRPr="00ED3654" w14:paraId="6E2DEE6F"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ED7CACC"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Lon</w:t>
                  </w:r>
                </w:p>
              </w:tc>
              <w:tc>
                <w:tcPr>
                  <w:tcW w:w="1160" w:type="dxa"/>
                  <w:tcBorders>
                    <w:top w:val="nil"/>
                    <w:left w:val="nil"/>
                    <w:bottom w:val="single" w:sz="4" w:space="0" w:color="auto"/>
                    <w:right w:val="single" w:sz="4" w:space="0" w:color="auto"/>
                  </w:tcBorders>
                  <w:shd w:val="clear" w:color="auto" w:fill="auto"/>
                  <w:noWrap/>
                  <w:vAlign w:val="bottom"/>
                  <w:hideMark/>
                </w:tcPr>
                <w:p w14:paraId="678BEA6B"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1.388</w:t>
                  </w:r>
                </w:p>
              </w:tc>
              <w:tc>
                <w:tcPr>
                  <w:tcW w:w="1160" w:type="dxa"/>
                  <w:tcBorders>
                    <w:top w:val="nil"/>
                    <w:left w:val="nil"/>
                    <w:bottom w:val="single" w:sz="4" w:space="0" w:color="auto"/>
                    <w:right w:val="single" w:sz="4" w:space="0" w:color="auto"/>
                  </w:tcBorders>
                  <w:shd w:val="clear" w:color="auto" w:fill="auto"/>
                  <w:noWrap/>
                  <w:vAlign w:val="bottom"/>
                  <w:hideMark/>
                </w:tcPr>
                <w:p w14:paraId="7DAD03E0"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1.389</w:t>
                  </w:r>
                </w:p>
              </w:tc>
              <w:tc>
                <w:tcPr>
                  <w:tcW w:w="1160" w:type="dxa"/>
                  <w:tcBorders>
                    <w:top w:val="nil"/>
                    <w:left w:val="nil"/>
                    <w:bottom w:val="single" w:sz="4" w:space="0" w:color="auto"/>
                    <w:right w:val="single" w:sz="4" w:space="0" w:color="auto"/>
                  </w:tcBorders>
                  <w:shd w:val="clear" w:color="auto" w:fill="auto"/>
                  <w:noWrap/>
                  <w:vAlign w:val="bottom"/>
                  <w:hideMark/>
                </w:tcPr>
                <w:p w14:paraId="717AB5F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1.390</w:t>
                  </w:r>
                </w:p>
              </w:tc>
              <w:tc>
                <w:tcPr>
                  <w:tcW w:w="1160" w:type="dxa"/>
                  <w:tcBorders>
                    <w:top w:val="nil"/>
                    <w:left w:val="nil"/>
                    <w:bottom w:val="single" w:sz="4" w:space="0" w:color="auto"/>
                    <w:right w:val="single" w:sz="4" w:space="0" w:color="auto"/>
                  </w:tcBorders>
                  <w:shd w:val="clear" w:color="auto" w:fill="auto"/>
                  <w:noWrap/>
                  <w:vAlign w:val="bottom"/>
                  <w:hideMark/>
                </w:tcPr>
                <w:p w14:paraId="0BA49071"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1.392</w:t>
                  </w:r>
                </w:p>
              </w:tc>
              <w:tc>
                <w:tcPr>
                  <w:tcW w:w="1160" w:type="dxa"/>
                  <w:tcBorders>
                    <w:top w:val="nil"/>
                    <w:left w:val="nil"/>
                    <w:bottom w:val="single" w:sz="4" w:space="0" w:color="auto"/>
                    <w:right w:val="single" w:sz="4" w:space="0" w:color="auto"/>
                  </w:tcBorders>
                  <w:shd w:val="clear" w:color="auto" w:fill="auto"/>
                  <w:noWrap/>
                  <w:vAlign w:val="bottom"/>
                  <w:hideMark/>
                </w:tcPr>
                <w:p w14:paraId="4345F752"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1.393</w:t>
                  </w:r>
                </w:p>
              </w:tc>
            </w:tr>
            <w:tr w:rsidR="00ED3654" w:rsidRPr="00ED3654" w14:paraId="51D9C0AA"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3211CDF"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NW</w:t>
                  </w:r>
                </w:p>
              </w:tc>
              <w:tc>
                <w:tcPr>
                  <w:tcW w:w="1160" w:type="dxa"/>
                  <w:tcBorders>
                    <w:top w:val="nil"/>
                    <w:left w:val="nil"/>
                    <w:bottom w:val="single" w:sz="4" w:space="0" w:color="auto"/>
                    <w:right w:val="single" w:sz="4" w:space="0" w:color="auto"/>
                  </w:tcBorders>
                  <w:shd w:val="clear" w:color="auto" w:fill="auto"/>
                  <w:noWrap/>
                  <w:vAlign w:val="bottom"/>
                  <w:hideMark/>
                </w:tcPr>
                <w:p w14:paraId="585D7D4A"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1.260</w:t>
                  </w:r>
                </w:p>
              </w:tc>
              <w:tc>
                <w:tcPr>
                  <w:tcW w:w="1160" w:type="dxa"/>
                  <w:tcBorders>
                    <w:top w:val="nil"/>
                    <w:left w:val="nil"/>
                    <w:bottom w:val="single" w:sz="4" w:space="0" w:color="auto"/>
                    <w:right w:val="single" w:sz="4" w:space="0" w:color="auto"/>
                  </w:tcBorders>
                  <w:shd w:val="clear" w:color="auto" w:fill="auto"/>
                  <w:noWrap/>
                  <w:vAlign w:val="bottom"/>
                  <w:hideMark/>
                </w:tcPr>
                <w:p w14:paraId="159C577A"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1.261</w:t>
                  </w:r>
                </w:p>
              </w:tc>
              <w:tc>
                <w:tcPr>
                  <w:tcW w:w="1160" w:type="dxa"/>
                  <w:tcBorders>
                    <w:top w:val="nil"/>
                    <w:left w:val="nil"/>
                    <w:bottom w:val="single" w:sz="4" w:space="0" w:color="auto"/>
                    <w:right w:val="single" w:sz="4" w:space="0" w:color="auto"/>
                  </w:tcBorders>
                  <w:shd w:val="clear" w:color="auto" w:fill="auto"/>
                  <w:noWrap/>
                  <w:vAlign w:val="bottom"/>
                  <w:hideMark/>
                </w:tcPr>
                <w:p w14:paraId="29D4A3C3"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1.261</w:t>
                  </w:r>
                </w:p>
              </w:tc>
              <w:tc>
                <w:tcPr>
                  <w:tcW w:w="1160" w:type="dxa"/>
                  <w:tcBorders>
                    <w:top w:val="nil"/>
                    <w:left w:val="nil"/>
                    <w:bottom w:val="single" w:sz="4" w:space="0" w:color="auto"/>
                    <w:right w:val="single" w:sz="4" w:space="0" w:color="auto"/>
                  </w:tcBorders>
                  <w:shd w:val="clear" w:color="auto" w:fill="auto"/>
                  <w:noWrap/>
                  <w:vAlign w:val="bottom"/>
                  <w:hideMark/>
                </w:tcPr>
                <w:p w14:paraId="5D9B2B68"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1.262</w:t>
                  </w:r>
                </w:p>
              </w:tc>
              <w:tc>
                <w:tcPr>
                  <w:tcW w:w="1160" w:type="dxa"/>
                  <w:tcBorders>
                    <w:top w:val="nil"/>
                    <w:left w:val="nil"/>
                    <w:bottom w:val="single" w:sz="4" w:space="0" w:color="auto"/>
                    <w:right w:val="single" w:sz="4" w:space="0" w:color="auto"/>
                  </w:tcBorders>
                  <w:shd w:val="clear" w:color="auto" w:fill="auto"/>
                  <w:noWrap/>
                  <w:vAlign w:val="bottom"/>
                  <w:hideMark/>
                </w:tcPr>
                <w:p w14:paraId="24DD1E22"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1.263</w:t>
                  </w:r>
                </w:p>
              </w:tc>
            </w:tr>
            <w:tr w:rsidR="00ED3654" w:rsidRPr="00ED3654" w14:paraId="31648EFA"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29C10A15"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WM</w:t>
                  </w:r>
                </w:p>
              </w:tc>
              <w:tc>
                <w:tcPr>
                  <w:tcW w:w="1160" w:type="dxa"/>
                  <w:tcBorders>
                    <w:top w:val="nil"/>
                    <w:left w:val="nil"/>
                    <w:bottom w:val="single" w:sz="4" w:space="0" w:color="auto"/>
                    <w:right w:val="single" w:sz="4" w:space="0" w:color="auto"/>
                  </w:tcBorders>
                  <w:shd w:val="clear" w:color="auto" w:fill="auto"/>
                  <w:noWrap/>
                  <w:vAlign w:val="bottom"/>
                  <w:hideMark/>
                </w:tcPr>
                <w:p w14:paraId="6DAC96A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1.150</w:t>
                  </w:r>
                </w:p>
              </w:tc>
              <w:tc>
                <w:tcPr>
                  <w:tcW w:w="1160" w:type="dxa"/>
                  <w:tcBorders>
                    <w:top w:val="nil"/>
                    <w:left w:val="nil"/>
                    <w:bottom w:val="single" w:sz="4" w:space="0" w:color="auto"/>
                    <w:right w:val="single" w:sz="4" w:space="0" w:color="auto"/>
                  </w:tcBorders>
                  <w:shd w:val="clear" w:color="auto" w:fill="auto"/>
                  <w:noWrap/>
                  <w:vAlign w:val="bottom"/>
                  <w:hideMark/>
                </w:tcPr>
                <w:p w14:paraId="111D5CE4"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1.151</w:t>
                  </w:r>
                </w:p>
              </w:tc>
              <w:tc>
                <w:tcPr>
                  <w:tcW w:w="1160" w:type="dxa"/>
                  <w:tcBorders>
                    <w:top w:val="nil"/>
                    <w:left w:val="nil"/>
                    <w:bottom w:val="single" w:sz="4" w:space="0" w:color="auto"/>
                    <w:right w:val="single" w:sz="4" w:space="0" w:color="auto"/>
                  </w:tcBorders>
                  <w:shd w:val="clear" w:color="auto" w:fill="auto"/>
                  <w:noWrap/>
                  <w:vAlign w:val="bottom"/>
                  <w:hideMark/>
                </w:tcPr>
                <w:p w14:paraId="2E815BF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1.151</w:t>
                  </w:r>
                </w:p>
              </w:tc>
              <w:tc>
                <w:tcPr>
                  <w:tcW w:w="1160" w:type="dxa"/>
                  <w:tcBorders>
                    <w:top w:val="nil"/>
                    <w:left w:val="nil"/>
                    <w:bottom w:val="single" w:sz="4" w:space="0" w:color="auto"/>
                    <w:right w:val="single" w:sz="4" w:space="0" w:color="auto"/>
                  </w:tcBorders>
                  <w:shd w:val="clear" w:color="auto" w:fill="auto"/>
                  <w:noWrap/>
                  <w:vAlign w:val="bottom"/>
                  <w:hideMark/>
                </w:tcPr>
                <w:p w14:paraId="33B2C57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1.152</w:t>
                  </w:r>
                </w:p>
              </w:tc>
              <w:tc>
                <w:tcPr>
                  <w:tcW w:w="1160" w:type="dxa"/>
                  <w:tcBorders>
                    <w:top w:val="nil"/>
                    <w:left w:val="nil"/>
                    <w:bottom w:val="single" w:sz="4" w:space="0" w:color="auto"/>
                    <w:right w:val="single" w:sz="4" w:space="0" w:color="auto"/>
                  </w:tcBorders>
                  <w:shd w:val="clear" w:color="auto" w:fill="auto"/>
                  <w:noWrap/>
                  <w:vAlign w:val="bottom"/>
                  <w:hideMark/>
                </w:tcPr>
                <w:p w14:paraId="6C4F184F"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1.152</w:t>
                  </w:r>
                </w:p>
              </w:tc>
            </w:tr>
          </w:tbl>
          <w:p w14:paraId="2416BBD9" w14:textId="7C79CE76" w:rsidR="00ED3654" w:rsidRDefault="00ED3654">
            <w:pPr>
              <w:rPr>
                <w:rFonts w:ascii="Arial" w:hAnsi="Arial" w:cs="Arial"/>
                <w:szCs w:val="20"/>
              </w:rPr>
            </w:pPr>
          </w:p>
          <w:p w14:paraId="67F28179" w14:textId="5317D54E" w:rsidR="00ED3654" w:rsidRDefault="00ED3654">
            <w:pPr>
              <w:rPr>
                <w:rFonts w:ascii="Arial" w:hAnsi="Arial" w:cs="Arial"/>
                <w:szCs w:val="20"/>
              </w:rPr>
            </w:pPr>
            <w:r>
              <w:rPr>
                <w:rFonts w:ascii="Arial" w:hAnsi="Arial" w:cs="Arial"/>
                <w:szCs w:val="20"/>
              </w:rPr>
              <w:t xml:space="preserve">However, this has been calculated with reference to all connection costs including FPNES. We estimate that removing FPNES from this calculation increases the workload adjustments for new-, existing housing and non-domestic connections to: </w:t>
            </w:r>
          </w:p>
          <w:tbl>
            <w:tblPr>
              <w:tblW w:w="6960" w:type="dxa"/>
              <w:tblLook w:val="04A0" w:firstRow="1" w:lastRow="0" w:firstColumn="1" w:lastColumn="0" w:noHBand="0" w:noVBand="1"/>
            </w:tblPr>
            <w:tblGrid>
              <w:gridCol w:w="1160"/>
              <w:gridCol w:w="1160"/>
              <w:gridCol w:w="1160"/>
              <w:gridCol w:w="1160"/>
              <w:gridCol w:w="1160"/>
              <w:gridCol w:w="1160"/>
            </w:tblGrid>
            <w:tr w:rsidR="00ED3654" w:rsidRPr="00ED3654" w14:paraId="0CD1A8FD" w14:textId="77777777" w:rsidTr="00ED3654">
              <w:trPr>
                <w:trHeight w:val="240"/>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952CA" w14:textId="77777777" w:rsidR="00ED3654" w:rsidRPr="00ED3654" w:rsidRDefault="00ED3654" w:rsidP="00ED3654">
                  <w:pPr>
                    <w:spacing w:after="0" w:line="240" w:lineRule="auto"/>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Corected P50 adjustment factor</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4CB9F2AA"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2021/22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49F3116"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2022/23</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3A2ADDDA"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2023/24</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98DCB44"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2024/25</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6FBBA5B9" w14:textId="77777777" w:rsidR="00ED3654" w:rsidRPr="00ED3654" w:rsidRDefault="00ED3654" w:rsidP="00ED3654">
                  <w:pPr>
                    <w:spacing w:after="0" w:line="240" w:lineRule="auto"/>
                    <w:jc w:val="right"/>
                    <w:rPr>
                      <w:rFonts w:ascii="Calibri" w:eastAsia="Times New Roman" w:hAnsi="Calibri" w:cs="Calibri"/>
                      <w:b/>
                      <w:bCs/>
                      <w:color w:val="000000"/>
                      <w:sz w:val="18"/>
                      <w:szCs w:val="18"/>
                      <w:lang w:eastAsia="en-GB"/>
                    </w:rPr>
                  </w:pPr>
                  <w:r w:rsidRPr="00ED3654">
                    <w:rPr>
                      <w:rFonts w:ascii="Calibri" w:eastAsia="Times New Roman" w:hAnsi="Calibri" w:cs="Calibri"/>
                      <w:b/>
                      <w:bCs/>
                      <w:color w:val="000000"/>
                      <w:sz w:val="18"/>
                      <w:szCs w:val="18"/>
                      <w:lang w:eastAsia="en-GB"/>
                    </w:rPr>
                    <w:t>2025/26</w:t>
                  </w:r>
                </w:p>
              </w:tc>
            </w:tr>
            <w:tr w:rsidR="00ED3654" w:rsidRPr="00ED3654" w14:paraId="0E0FB97C"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24CB246"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EoE</w:t>
                  </w:r>
                </w:p>
              </w:tc>
              <w:tc>
                <w:tcPr>
                  <w:tcW w:w="1160" w:type="dxa"/>
                  <w:tcBorders>
                    <w:top w:val="nil"/>
                    <w:left w:val="nil"/>
                    <w:bottom w:val="single" w:sz="4" w:space="0" w:color="auto"/>
                    <w:right w:val="single" w:sz="4" w:space="0" w:color="auto"/>
                  </w:tcBorders>
                  <w:shd w:val="clear" w:color="auto" w:fill="auto"/>
                  <w:noWrap/>
                  <w:vAlign w:val="bottom"/>
                  <w:hideMark/>
                </w:tcPr>
                <w:p w14:paraId="33600265"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1.369</w:t>
                  </w:r>
                </w:p>
              </w:tc>
              <w:tc>
                <w:tcPr>
                  <w:tcW w:w="1160" w:type="dxa"/>
                  <w:tcBorders>
                    <w:top w:val="nil"/>
                    <w:left w:val="nil"/>
                    <w:bottom w:val="single" w:sz="4" w:space="0" w:color="auto"/>
                    <w:right w:val="single" w:sz="4" w:space="0" w:color="auto"/>
                  </w:tcBorders>
                  <w:shd w:val="clear" w:color="auto" w:fill="auto"/>
                  <w:noWrap/>
                  <w:vAlign w:val="bottom"/>
                  <w:hideMark/>
                </w:tcPr>
                <w:p w14:paraId="0548A3C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1.369</w:t>
                  </w:r>
                </w:p>
              </w:tc>
              <w:tc>
                <w:tcPr>
                  <w:tcW w:w="1160" w:type="dxa"/>
                  <w:tcBorders>
                    <w:top w:val="nil"/>
                    <w:left w:val="nil"/>
                    <w:bottom w:val="single" w:sz="4" w:space="0" w:color="auto"/>
                    <w:right w:val="single" w:sz="4" w:space="0" w:color="auto"/>
                  </w:tcBorders>
                  <w:shd w:val="clear" w:color="auto" w:fill="auto"/>
                  <w:noWrap/>
                  <w:vAlign w:val="bottom"/>
                  <w:hideMark/>
                </w:tcPr>
                <w:p w14:paraId="4EC0B169"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1.369</w:t>
                  </w:r>
                </w:p>
              </w:tc>
              <w:tc>
                <w:tcPr>
                  <w:tcW w:w="1160" w:type="dxa"/>
                  <w:tcBorders>
                    <w:top w:val="nil"/>
                    <w:left w:val="nil"/>
                    <w:bottom w:val="single" w:sz="4" w:space="0" w:color="auto"/>
                    <w:right w:val="single" w:sz="4" w:space="0" w:color="auto"/>
                  </w:tcBorders>
                  <w:shd w:val="clear" w:color="auto" w:fill="auto"/>
                  <w:noWrap/>
                  <w:vAlign w:val="bottom"/>
                  <w:hideMark/>
                </w:tcPr>
                <w:p w14:paraId="5162DCF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1.369</w:t>
                  </w:r>
                </w:p>
              </w:tc>
              <w:tc>
                <w:tcPr>
                  <w:tcW w:w="1160" w:type="dxa"/>
                  <w:tcBorders>
                    <w:top w:val="nil"/>
                    <w:left w:val="nil"/>
                    <w:bottom w:val="single" w:sz="4" w:space="0" w:color="auto"/>
                    <w:right w:val="single" w:sz="4" w:space="0" w:color="auto"/>
                  </w:tcBorders>
                  <w:shd w:val="clear" w:color="auto" w:fill="auto"/>
                  <w:noWrap/>
                  <w:vAlign w:val="bottom"/>
                  <w:hideMark/>
                </w:tcPr>
                <w:p w14:paraId="58C4B990"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1.369</w:t>
                  </w:r>
                </w:p>
              </w:tc>
            </w:tr>
            <w:tr w:rsidR="00ED3654" w:rsidRPr="00ED3654" w14:paraId="75974D94"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0C4B7A4E"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Lon</w:t>
                  </w:r>
                </w:p>
              </w:tc>
              <w:tc>
                <w:tcPr>
                  <w:tcW w:w="1160" w:type="dxa"/>
                  <w:tcBorders>
                    <w:top w:val="nil"/>
                    <w:left w:val="nil"/>
                    <w:bottom w:val="single" w:sz="4" w:space="0" w:color="auto"/>
                    <w:right w:val="single" w:sz="4" w:space="0" w:color="auto"/>
                  </w:tcBorders>
                  <w:shd w:val="clear" w:color="auto" w:fill="auto"/>
                  <w:noWrap/>
                  <w:vAlign w:val="bottom"/>
                  <w:hideMark/>
                </w:tcPr>
                <w:p w14:paraId="469FB4EA"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1.408</w:t>
                  </w:r>
                </w:p>
              </w:tc>
              <w:tc>
                <w:tcPr>
                  <w:tcW w:w="1160" w:type="dxa"/>
                  <w:tcBorders>
                    <w:top w:val="nil"/>
                    <w:left w:val="nil"/>
                    <w:bottom w:val="single" w:sz="4" w:space="0" w:color="auto"/>
                    <w:right w:val="single" w:sz="4" w:space="0" w:color="auto"/>
                  </w:tcBorders>
                  <w:shd w:val="clear" w:color="auto" w:fill="auto"/>
                  <w:noWrap/>
                  <w:vAlign w:val="bottom"/>
                  <w:hideMark/>
                </w:tcPr>
                <w:p w14:paraId="77EC3FC8"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1.408</w:t>
                  </w:r>
                </w:p>
              </w:tc>
              <w:tc>
                <w:tcPr>
                  <w:tcW w:w="1160" w:type="dxa"/>
                  <w:tcBorders>
                    <w:top w:val="nil"/>
                    <w:left w:val="nil"/>
                    <w:bottom w:val="single" w:sz="4" w:space="0" w:color="auto"/>
                    <w:right w:val="single" w:sz="4" w:space="0" w:color="auto"/>
                  </w:tcBorders>
                  <w:shd w:val="clear" w:color="auto" w:fill="auto"/>
                  <w:noWrap/>
                  <w:vAlign w:val="bottom"/>
                  <w:hideMark/>
                </w:tcPr>
                <w:p w14:paraId="3D57E680"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1.408</w:t>
                  </w:r>
                </w:p>
              </w:tc>
              <w:tc>
                <w:tcPr>
                  <w:tcW w:w="1160" w:type="dxa"/>
                  <w:tcBorders>
                    <w:top w:val="nil"/>
                    <w:left w:val="nil"/>
                    <w:bottom w:val="single" w:sz="4" w:space="0" w:color="auto"/>
                    <w:right w:val="single" w:sz="4" w:space="0" w:color="auto"/>
                  </w:tcBorders>
                  <w:shd w:val="clear" w:color="auto" w:fill="auto"/>
                  <w:noWrap/>
                  <w:vAlign w:val="bottom"/>
                  <w:hideMark/>
                </w:tcPr>
                <w:p w14:paraId="7032864D"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1.408</w:t>
                  </w:r>
                </w:p>
              </w:tc>
              <w:tc>
                <w:tcPr>
                  <w:tcW w:w="1160" w:type="dxa"/>
                  <w:tcBorders>
                    <w:top w:val="nil"/>
                    <w:left w:val="nil"/>
                    <w:bottom w:val="single" w:sz="4" w:space="0" w:color="auto"/>
                    <w:right w:val="single" w:sz="4" w:space="0" w:color="auto"/>
                  </w:tcBorders>
                  <w:shd w:val="clear" w:color="auto" w:fill="auto"/>
                  <w:noWrap/>
                  <w:vAlign w:val="bottom"/>
                  <w:hideMark/>
                </w:tcPr>
                <w:p w14:paraId="5D5734F4"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1.408</w:t>
                  </w:r>
                </w:p>
              </w:tc>
            </w:tr>
            <w:tr w:rsidR="00ED3654" w:rsidRPr="00ED3654" w14:paraId="2D21FD3C"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488817E8"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NW</w:t>
                  </w:r>
                </w:p>
              </w:tc>
              <w:tc>
                <w:tcPr>
                  <w:tcW w:w="1160" w:type="dxa"/>
                  <w:tcBorders>
                    <w:top w:val="nil"/>
                    <w:left w:val="nil"/>
                    <w:bottom w:val="single" w:sz="4" w:space="0" w:color="auto"/>
                    <w:right w:val="single" w:sz="4" w:space="0" w:color="auto"/>
                  </w:tcBorders>
                  <w:shd w:val="clear" w:color="auto" w:fill="auto"/>
                  <w:noWrap/>
                  <w:vAlign w:val="bottom"/>
                  <w:hideMark/>
                </w:tcPr>
                <w:p w14:paraId="280A03E9"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1.330</w:t>
                  </w:r>
                </w:p>
              </w:tc>
              <w:tc>
                <w:tcPr>
                  <w:tcW w:w="1160" w:type="dxa"/>
                  <w:tcBorders>
                    <w:top w:val="nil"/>
                    <w:left w:val="nil"/>
                    <w:bottom w:val="single" w:sz="4" w:space="0" w:color="auto"/>
                    <w:right w:val="single" w:sz="4" w:space="0" w:color="auto"/>
                  </w:tcBorders>
                  <w:shd w:val="clear" w:color="auto" w:fill="auto"/>
                  <w:noWrap/>
                  <w:vAlign w:val="bottom"/>
                  <w:hideMark/>
                </w:tcPr>
                <w:p w14:paraId="2344D950"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1.330</w:t>
                  </w:r>
                </w:p>
              </w:tc>
              <w:tc>
                <w:tcPr>
                  <w:tcW w:w="1160" w:type="dxa"/>
                  <w:tcBorders>
                    <w:top w:val="nil"/>
                    <w:left w:val="nil"/>
                    <w:bottom w:val="single" w:sz="4" w:space="0" w:color="auto"/>
                    <w:right w:val="single" w:sz="4" w:space="0" w:color="auto"/>
                  </w:tcBorders>
                  <w:shd w:val="clear" w:color="auto" w:fill="auto"/>
                  <w:noWrap/>
                  <w:vAlign w:val="bottom"/>
                  <w:hideMark/>
                </w:tcPr>
                <w:p w14:paraId="23519979"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1.330</w:t>
                  </w:r>
                </w:p>
              </w:tc>
              <w:tc>
                <w:tcPr>
                  <w:tcW w:w="1160" w:type="dxa"/>
                  <w:tcBorders>
                    <w:top w:val="nil"/>
                    <w:left w:val="nil"/>
                    <w:bottom w:val="single" w:sz="4" w:space="0" w:color="auto"/>
                    <w:right w:val="single" w:sz="4" w:space="0" w:color="auto"/>
                  </w:tcBorders>
                  <w:shd w:val="clear" w:color="auto" w:fill="auto"/>
                  <w:noWrap/>
                  <w:vAlign w:val="bottom"/>
                  <w:hideMark/>
                </w:tcPr>
                <w:p w14:paraId="0C796E68"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1.330</w:t>
                  </w:r>
                </w:p>
              </w:tc>
              <w:tc>
                <w:tcPr>
                  <w:tcW w:w="1160" w:type="dxa"/>
                  <w:tcBorders>
                    <w:top w:val="nil"/>
                    <w:left w:val="nil"/>
                    <w:bottom w:val="single" w:sz="4" w:space="0" w:color="auto"/>
                    <w:right w:val="single" w:sz="4" w:space="0" w:color="auto"/>
                  </w:tcBorders>
                  <w:shd w:val="clear" w:color="auto" w:fill="auto"/>
                  <w:noWrap/>
                  <w:vAlign w:val="bottom"/>
                  <w:hideMark/>
                </w:tcPr>
                <w:p w14:paraId="298D4F25"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1.330</w:t>
                  </w:r>
                </w:p>
              </w:tc>
            </w:tr>
            <w:tr w:rsidR="00ED3654" w:rsidRPr="00ED3654" w14:paraId="696BDA46" w14:textId="77777777" w:rsidTr="00ED3654">
              <w:trPr>
                <w:trHeight w:val="24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0BFCA285" w14:textId="77777777" w:rsidR="00ED3654" w:rsidRPr="00ED3654" w:rsidRDefault="00ED3654" w:rsidP="00ED3654">
                  <w:pPr>
                    <w:spacing w:after="0" w:line="240" w:lineRule="auto"/>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WM</w:t>
                  </w:r>
                </w:p>
              </w:tc>
              <w:tc>
                <w:tcPr>
                  <w:tcW w:w="1160" w:type="dxa"/>
                  <w:tcBorders>
                    <w:top w:val="nil"/>
                    <w:left w:val="nil"/>
                    <w:bottom w:val="single" w:sz="4" w:space="0" w:color="auto"/>
                    <w:right w:val="single" w:sz="4" w:space="0" w:color="auto"/>
                  </w:tcBorders>
                  <w:shd w:val="clear" w:color="auto" w:fill="auto"/>
                  <w:noWrap/>
                  <w:vAlign w:val="bottom"/>
                  <w:hideMark/>
                </w:tcPr>
                <w:p w14:paraId="75F372DF"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1.174</w:t>
                  </w:r>
                </w:p>
              </w:tc>
              <w:tc>
                <w:tcPr>
                  <w:tcW w:w="1160" w:type="dxa"/>
                  <w:tcBorders>
                    <w:top w:val="nil"/>
                    <w:left w:val="nil"/>
                    <w:bottom w:val="single" w:sz="4" w:space="0" w:color="auto"/>
                    <w:right w:val="single" w:sz="4" w:space="0" w:color="auto"/>
                  </w:tcBorders>
                  <w:shd w:val="clear" w:color="auto" w:fill="auto"/>
                  <w:noWrap/>
                  <w:vAlign w:val="bottom"/>
                  <w:hideMark/>
                </w:tcPr>
                <w:p w14:paraId="178ADBCF"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1.174</w:t>
                  </w:r>
                </w:p>
              </w:tc>
              <w:tc>
                <w:tcPr>
                  <w:tcW w:w="1160" w:type="dxa"/>
                  <w:tcBorders>
                    <w:top w:val="nil"/>
                    <w:left w:val="nil"/>
                    <w:bottom w:val="single" w:sz="4" w:space="0" w:color="auto"/>
                    <w:right w:val="single" w:sz="4" w:space="0" w:color="auto"/>
                  </w:tcBorders>
                  <w:shd w:val="clear" w:color="auto" w:fill="auto"/>
                  <w:noWrap/>
                  <w:vAlign w:val="bottom"/>
                  <w:hideMark/>
                </w:tcPr>
                <w:p w14:paraId="451F6559"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1.174</w:t>
                  </w:r>
                </w:p>
              </w:tc>
              <w:tc>
                <w:tcPr>
                  <w:tcW w:w="1160" w:type="dxa"/>
                  <w:tcBorders>
                    <w:top w:val="nil"/>
                    <w:left w:val="nil"/>
                    <w:bottom w:val="single" w:sz="4" w:space="0" w:color="auto"/>
                    <w:right w:val="single" w:sz="4" w:space="0" w:color="auto"/>
                  </w:tcBorders>
                  <w:shd w:val="clear" w:color="auto" w:fill="auto"/>
                  <w:noWrap/>
                  <w:vAlign w:val="bottom"/>
                  <w:hideMark/>
                </w:tcPr>
                <w:p w14:paraId="607FD64E"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1.174</w:t>
                  </w:r>
                </w:p>
              </w:tc>
              <w:tc>
                <w:tcPr>
                  <w:tcW w:w="1160" w:type="dxa"/>
                  <w:tcBorders>
                    <w:top w:val="nil"/>
                    <w:left w:val="nil"/>
                    <w:bottom w:val="single" w:sz="4" w:space="0" w:color="auto"/>
                    <w:right w:val="single" w:sz="4" w:space="0" w:color="auto"/>
                  </w:tcBorders>
                  <w:shd w:val="clear" w:color="auto" w:fill="auto"/>
                  <w:noWrap/>
                  <w:vAlign w:val="bottom"/>
                  <w:hideMark/>
                </w:tcPr>
                <w:p w14:paraId="234D5969" w14:textId="77777777" w:rsidR="00ED3654" w:rsidRPr="00ED3654" w:rsidRDefault="00ED3654" w:rsidP="00ED3654">
                  <w:pPr>
                    <w:spacing w:after="0" w:line="240" w:lineRule="auto"/>
                    <w:jc w:val="right"/>
                    <w:rPr>
                      <w:rFonts w:ascii="Calibri" w:eastAsia="Times New Roman" w:hAnsi="Calibri" w:cs="Calibri"/>
                      <w:color w:val="000000"/>
                      <w:sz w:val="18"/>
                      <w:szCs w:val="18"/>
                      <w:lang w:eastAsia="en-GB"/>
                    </w:rPr>
                  </w:pPr>
                  <w:r w:rsidRPr="00ED3654">
                    <w:rPr>
                      <w:rFonts w:ascii="Calibri" w:eastAsia="Times New Roman" w:hAnsi="Calibri" w:cs="Calibri"/>
                      <w:color w:val="000000"/>
                      <w:sz w:val="18"/>
                      <w:szCs w:val="18"/>
                      <w:lang w:eastAsia="en-GB"/>
                    </w:rPr>
                    <w:t>1.174</w:t>
                  </w:r>
                </w:p>
              </w:tc>
            </w:tr>
          </w:tbl>
          <w:p w14:paraId="1D09D431" w14:textId="14DBA027" w:rsidR="00ED3654" w:rsidRDefault="00ED3654">
            <w:pPr>
              <w:rPr>
                <w:rFonts w:ascii="Arial" w:hAnsi="Arial" w:cs="Arial"/>
                <w:szCs w:val="20"/>
              </w:rPr>
            </w:pPr>
          </w:p>
          <w:p w14:paraId="489BA221" w14:textId="2223FC12" w:rsidR="001B0392" w:rsidRPr="001B0392" w:rsidRDefault="001B0392">
            <w:pPr>
              <w:rPr>
                <w:rFonts w:ascii="Arial" w:hAnsi="Arial" w:cs="Arial"/>
                <w:b/>
                <w:bCs/>
                <w:szCs w:val="20"/>
              </w:rPr>
            </w:pPr>
            <w:r w:rsidRPr="001B0392">
              <w:rPr>
                <w:rFonts w:ascii="Arial" w:hAnsi="Arial" w:cs="Arial"/>
                <w:b/>
                <w:bCs/>
                <w:szCs w:val="20"/>
              </w:rPr>
              <w:t>Response</w:t>
            </w:r>
          </w:p>
          <w:p w14:paraId="598A001A" w14:textId="1E32BCD0" w:rsidR="001B0392" w:rsidRDefault="001B0392">
            <w:pPr>
              <w:rPr>
                <w:rFonts w:ascii="Arial" w:hAnsi="Arial" w:cs="Arial"/>
                <w:szCs w:val="20"/>
              </w:rPr>
            </w:pPr>
          </w:p>
          <w:p w14:paraId="481906A4" w14:textId="77777777" w:rsidR="001B0392" w:rsidRDefault="001B0392">
            <w:pPr>
              <w:rPr>
                <w:rFonts w:ascii="Arial" w:hAnsi="Arial" w:cs="Arial"/>
                <w:szCs w:val="20"/>
              </w:rPr>
            </w:pPr>
            <w:r>
              <w:rPr>
                <w:rFonts w:ascii="Arial" w:hAnsi="Arial" w:cs="Arial"/>
                <w:szCs w:val="20"/>
              </w:rPr>
              <w:t>We confirm the following corrections will be made:</w:t>
            </w:r>
          </w:p>
          <w:p w14:paraId="61D8E220" w14:textId="22D69EF1" w:rsidR="001B0392" w:rsidRDefault="001B0392" w:rsidP="001B0392">
            <w:pPr>
              <w:pStyle w:val="ListParagraph"/>
              <w:numPr>
                <w:ilvl w:val="0"/>
                <w:numId w:val="8"/>
              </w:numPr>
              <w:rPr>
                <w:rFonts w:ascii="Arial" w:hAnsi="Arial" w:cs="Arial"/>
                <w:szCs w:val="20"/>
              </w:rPr>
            </w:pPr>
            <w:r>
              <w:rPr>
                <w:rFonts w:ascii="Arial" w:hAnsi="Arial" w:cs="Arial"/>
                <w:szCs w:val="20"/>
              </w:rPr>
              <w:t xml:space="preserve">in </w:t>
            </w:r>
            <w:r w:rsidRPr="001B0392">
              <w:rPr>
                <w:rFonts w:ascii="Arial" w:hAnsi="Arial" w:cs="Arial"/>
                <w:szCs w:val="20"/>
              </w:rPr>
              <w:t>the GD2 Synthetic cost file</w:t>
            </w:r>
            <w:r>
              <w:rPr>
                <w:rFonts w:ascii="Arial" w:hAnsi="Arial" w:cs="Arial"/>
                <w:szCs w:val="20"/>
              </w:rPr>
              <w:t>, we will replace the adjustment factors with the proposed ones (which we could replicate) and remove the adjustment for FPNES;</w:t>
            </w:r>
          </w:p>
          <w:p w14:paraId="002BC6CA" w14:textId="1E9C58E5" w:rsidR="001B0392" w:rsidRDefault="001B0392" w:rsidP="001B0392">
            <w:pPr>
              <w:pStyle w:val="ListParagraph"/>
              <w:numPr>
                <w:ilvl w:val="0"/>
                <w:numId w:val="8"/>
              </w:numPr>
              <w:rPr>
                <w:rFonts w:ascii="Arial" w:hAnsi="Arial" w:cs="Arial"/>
                <w:szCs w:val="20"/>
              </w:rPr>
            </w:pPr>
            <w:r>
              <w:rPr>
                <w:rFonts w:ascii="Arial" w:hAnsi="Arial" w:cs="Arial"/>
                <w:szCs w:val="20"/>
              </w:rPr>
              <w:t xml:space="preserve">in the </w:t>
            </w:r>
            <w:r w:rsidRPr="001B0392">
              <w:rPr>
                <w:rFonts w:ascii="Arial" w:hAnsi="Arial" w:cs="Arial"/>
                <w:szCs w:val="20"/>
              </w:rPr>
              <w:t>PCD_VD_UnitCostModel</w:t>
            </w:r>
            <w:r w:rsidRPr="001B0392">
              <w:rPr>
                <w:rFonts w:ascii="Arial" w:hAnsi="Arial" w:cs="Arial"/>
                <w:szCs w:val="20"/>
              </w:rPr>
              <w:t xml:space="preserve"> files, we will update connections workloads in line with the correction above</w:t>
            </w:r>
            <w:r>
              <w:rPr>
                <w:rFonts w:ascii="Arial" w:hAnsi="Arial" w:cs="Arial"/>
                <w:szCs w:val="20"/>
              </w:rPr>
              <w:t>;</w:t>
            </w:r>
          </w:p>
          <w:p w14:paraId="239B0CFF" w14:textId="39835CF0" w:rsidR="00ED3654" w:rsidRPr="001B0392" w:rsidRDefault="001B0392" w:rsidP="001B0392">
            <w:pPr>
              <w:pStyle w:val="ListParagraph"/>
              <w:numPr>
                <w:ilvl w:val="0"/>
                <w:numId w:val="8"/>
              </w:numPr>
              <w:rPr>
                <w:rFonts w:ascii="Arial" w:hAnsi="Arial" w:cs="Arial"/>
                <w:szCs w:val="20"/>
              </w:rPr>
            </w:pPr>
            <w:r>
              <w:rPr>
                <w:rFonts w:ascii="Arial" w:hAnsi="Arial" w:cs="Arial"/>
                <w:szCs w:val="20"/>
              </w:rPr>
              <w:t>in the Allowances_PCD_VD files</w:t>
            </w:r>
            <w:r>
              <w:rPr>
                <w:rFonts w:ascii="Arial" w:hAnsi="Arial" w:cs="Arial"/>
                <w:szCs w:val="20"/>
              </w:rPr>
              <w:t>, we will update the calculation of the shared in Cal_Disag_Capex using the suggested adjustment factors to reflect the central case (error 3)</w:t>
            </w:r>
            <w:r w:rsidRPr="001B0392">
              <w:rPr>
                <w:rFonts w:ascii="Arial" w:hAnsi="Arial" w:cs="Arial"/>
                <w:szCs w:val="20"/>
              </w:rPr>
              <w:t xml:space="preserve">. </w:t>
            </w: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4DC86" w14:textId="77777777" w:rsidR="00750CC5" w:rsidRDefault="00750CC5" w:rsidP="00526623">
      <w:pPr>
        <w:spacing w:after="0" w:line="240" w:lineRule="auto"/>
      </w:pPr>
      <w:r>
        <w:separator/>
      </w:r>
    </w:p>
  </w:endnote>
  <w:endnote w:type="continuationSeparator" w:id="0">
    <w:p w14:paraId="396EF0F4" w14:textId="77777777" w:rsidR="00750CC5" w:rsidRDefault="00750CC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5A87E" w14:textId="77777777" w:rsidR="00750CC5" w:rsidRDefault="00750CC5" w:rsidP="00526623">
      <w:pPr>
        <w:spacing w:after="0" w:line="240" w:lineRule="auto"/>
      </w:pPr>
      <w:r>
        <w:separator/>
      </w:r>
    </w:p>
  </w:footnote>
  <w:footnote w:type="continuationSeparator" w:id="0">
    <w:p w14:paraId="4531BFBE" w14:textId="77777777" w:rsidR="00750CC5" w:rsidRDefault="00750CC5"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AE0617"/>
    <w:multiLevelType w:val="hybridMultilevel"/>
    <w:tmpl w:val="A61E4D48"/>
    <w:lvl w:ilvl="0" w:tplc="FF90CF56">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441D67"/>
    <w:multiLevelType w:val="hybridMultilevel"/>
    <w:tmpl w:val="764807F8"/>
    <w:lvl w:ilvl="0" w:tplc="FF90CF56">
      <w:numFmt w:val="bullet"/>
      <w:lvlText w:val=""/>
      <w:lvlJc w:val="left"/>
      <w:pPr>
        <w:ind w:left="785" w:hanging="360"/>
      </w:pPr>
      <w:rPr>
        <w:rFonts w:ascii="Symbol" w:eastAsiaTheme="minorHAnsi" w:hAnsi="Symbol" w:cs="Calibri"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E924508"/>
    <w:multiLevelType w:val="hybridMultilevel"/>
    <w:tmpl w:val="4BC669F0"/>
    <w:lvl w:ilvl="0" w:tplc="6A90A74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5"/>
  </w:num>
  <w:num w:numId="5">
    <w:abstractNumId w:val="3"/>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24FB6"/>
    <w:rsid w:val="00041711"/>
    <w:rsid w:val="000436C2"/>
    <w:rsid w:val="000473D3"/>
    <w:rsid w:val="00050C54"/>
    <w:rsid w:val="00055C06"/>
    <w:rsid w:val="000616BB"/>
    <w:rsid w:val="000B0536"/>
    <w:rsid w:val="000E0957"/>
    <w:rsid w:val="000E5B6D"/>
    <w:rsid w:val="0010126C"/>
    <w:rsid w:val="00107296"/>
    <w:rsid w:val="00133BD9"/>
    <w:rsid w:val="00133CFC"/>
    <w:rsid w:val="00146397"/>
    <w:rsid w:val="00147099"/>
    <w:rsid w:val="00154768"/>
    <w:rsid w:val="00172809"/>
    <w:rsid w:val="0018674D"/>
    <w:rsid w:val="001B0392"/>
    <w:rsid w:val="001D0151"/>
    <w:rsid w:val="00206D5F"/>
    <w:rsid w:val="00215D5D"/>
    <w:rsid w:val="002206E2"/>
    <w:rsid w:val="002707B1"/>
    <w:rsid w:val="00281066"/>
    <w:rsid w:val="002903E9"/>
    <w:rsid w:val="00290C15"/>
    <w:rsid w:val="00291D51"/>
    <w:rsid w:val="00293724"/>
    <w:rsid w:val="002A4AD8"/>
    <w:rsid w:val="002B4955"/>
    <w:rsid w:val="002E3EFB"/>
    <w:rsid w:val="00300FB4"/>
    <w:rsid w:val="003043A4"/>
    <w:rsid w:val="00342E6F"/>
    <w:rsid w:val="003452B0"/>
    <w:rsid w:val="00360385"/>
    <w:rsid w:val="00385085"/>
    <w:rsid w:val="003B3576"/>
    <w:rsid w:val="003E4EB4"/>
    <w:rsid w:val="003F465C"/>
    <w:rsid w:val="00400822"/>
    <w:rsid w:val="00450E5B"/>
    <w:rsid w:val="0047108D"/>
    <w:rsid w:val="004C4D2B"/>
    <w:rsid w:val="004D0311"/>
    <w:rsid w:val="004D1F2F"/>
    <w:rsid w:val="004F6A79"/>
    <w:rsid w:val="00503895"/>
    <w:rsid w:val="00526623"/>
    <w:rsid w:val="00526A8E"/>
    <w:rsid w:val="00526AD3"/>
    <w:rsid w:val="00534E92"/>
    <w:rsid w:val="00536220"/>
    <w:rsid w:val="00570235"/>
    <w:rsid w:val="00584F30"/>
    <w:rsid w:val="00586A8E"/>
    <w:rsid w:val="005927B6"/>
    <w:rsid w:val="005A506C"/>
    <w:rsid w:val="005A74DE"/>
    <w:rsid w:val="005B3E09"/>
    <w:rsid w:val="005C1056"/>
    <w:rsid w:val="005E2894"/>
    <w:rsid w:val="0060723D"/>
    <w:rsid w:val="006224F4"/>
    <w:rsid w:val="006279ED"/>
    <w:rsid w:val="0064205F"/>
    <w:rsid w:val="006847DA"/>
    <w:rsid w:val="006A2AE2"/>
    <w:rsid w:val="006B26DE"/>
    <w:rsid w:val="006C7F7E"/>
    <w:rsid w:val="006E4411"/>
    <w:rsid w:val="00716508"/>
    <w:rsid w:val="00721734"/>
    <w:rsid w:val="007400B7"/>
    <w:rsid w:val="007472FD"/>
    <w:rsid w:val="00750CC5"/>
    <w:rsid w:val="00753976"/>
    <w:rsid w:val="007572D8"/>
    <w:rsid w:val="00757E79"/>
    <w:rsid w:val="007649AC"/>
    <w:rsid w:val="00772D1E"/>
    <w:rsid w:val="007974DA"/>
    <w:rsid w:val="007B29A9"/>
    <w:rsid w:val="007C2E37"/>
    <w:rsid w:val="007D00EC"/>
    <w:rsid w:val="007D7648"/>
    <w:rsid w:val="007E30C4"/>
    <w:rsid w:val="007F3B29"/>
    <w:rsid w:val="008170C7"/>
    <w:rsid w:val="00845396"/>
    <w:rsid w:val="0085400C"/>
    <w:rsid w:val="00885C42"/>
    <w:rsid w:val="008A5062"/>
    <w:rsid w:val="008B3636"/>
    <w:rsid w:val="008B7043"/>
    <w:rsid w:val="008C5A35"/>
    <w:rsid w:val="008D1E80"/>
    <w:rsid w:val="008D213D"/>
    <w:rsid w:val="008F6B11"/>
    <w:rsid w:val="00924DEC"/>
    <w:rsid w:val="00935000"/>
    <w:rsid w:val="00937BF5"/>
    <w:rsid w:val="00942721"/>
    <w:rsid w:val="00945C7C"/>
    <w:rsid w:val="00946125"/>
    <w:rsid w:val="0095343C"/>
    <w:rsid w:val="009762C9"/>
    <w:rsid w:val="009845A8"/>
    <w:rsid w:val="00985747"/>
    <w:rsid w:val="009B26A0"/>
    <w:rsid w:val="009B7577"/>
    <w:rsid w:val="009D4F56"/>
    <w:rsid w:val="00A01174"/>
    <w:rsid w:val="00A054D1"/>
    <w:rsid w:val="00A0584E"/>
    <w:rsid w:val="00A06191"/>
    <w:rsid w:val="00A4653F"/>
    <w:rsid w:val="00A56CF3"/>
    <w:rsid w:val="00A77899"/>
    <w:rsid w:val="00A922CF"/>
    <w:rsid w:val="00A93BD4"/>
    <w:rsid w:val="00AC6418"/>
    <w:rsid w:val="00AE2C71"/>
    <w:rsid w:val="00AF2854"/>
    <w:rsid w:val="00B33B74"/>
    <w:rsid w:val="00B33BDA"/>
    <w:rsid w:val="00B35E40"/>
    <w:rsid w:val="00B378CC"/>
    <w:rsid w:val="00B41AEB"/>
    <w:rsid w:val="00B43008"/>
    <w:rsid w:val="00B7216B"/>
    <w:rsid w:val="00B72859"/>
    <w:rsid w:val="00B82400"/>
    <w:rsid w:val="00B86DDF"/>
    <w:rsid w:val="00BA4154"/>
    <w:rsid w:val="00BA5A79"/>
    <w:rsid w:val="00BB4793"/>
    <w:rsid w:val="00BB56A8"/>
    <w:rsid w:val="00BB682C"/>
    <w:rsid w:val="00BD48A8"/>
    <w:rsid w:val="00C04D82"/>
    <w:rsid w:val="00C10D99"/>
    <w:rsid w:val="00C3187A"/>
    <w:rsid w:val="00C3404D"/>
    <w:rsid w:val="00C57345"/>
    <w:rsid w:val="00C814D0"/>
    <w:rsid w:val="00C81B4C"/>
    <w:rsid w:val="00CA4297"/>
    <w:rsid w:val="00CC7214"/>
    <w:rsid w:val="00CE692A"/>
    <w:rsid w:val="00CE7C5B"/>
    <w:rsid w:val="00CF22EF"/>
    <w:rsid w:val="00D1736D"/>
    <w:rsid w:val="00D50036"/>
    <w:rsid w:val="00D53135"/>
    <w:rsid w:val="00D65EAE"/>
    <w:rsid w:val="00D81399"/>
    <w:rsid w:val="00D815E6"/>
    <w:rsid w:val="00DA2304"/>
    <w:rsid w:val="00DA4D94"/>
    <w:rsid w:val="00DA67E5"/>
    <w:rsid w:val="00E040EA"/>
    <w:rsid w:val="00E11C0E"/>
    <w:rsid w:val="00E346B6"/>
    <w:rsid w:val="00E525E0"/>
    <w:rsid w:val="00E55A7F"/>
    <w:rsid w:val="00E566F5"/>
    <w:rsid w:val="00E605A7"/>
    <w:rsid w:val="00E62E8E"/>
    <w:rsid w:val="00E6754E"/>
    <w:rsid w:val="00E717A7"/>
    <w:rsid w:val="00EA011F"/>
    <w:rsid w:val="00EA1559"/>
    <w:rsid w:val="00EB123E"/>
    <w:rsid w:val="00EB179A"/>
    <w:rsid w:val="00EB2613"/>
    <w:rsid w:val="00ED3654"/>
    <w:rsid w:val="00EE1C79"/>
    <w:rsid w:val="00EE2493"/>
    <w:rsid w:val="00F0558F"/>
    <w:rsid w:val="00F129C1"/>
    <w:rsid w:val="00F20F23"/>
    <w:rsid w:val="00F22BA7"/>
    <w:rsid w:val="00F23B18"/>
    <w:rsid w:val="00F31270"/>
    <w:rsid w:val="00F42B3A"/>
    <w:rsid w:val="00F678C1"/>
    <w:rsid w:val="00F82AB4"/>
    <w:rsid w:val="00FB0EC9"/>
    <w:rsid w:val="00FF5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character" w:styleId="Hyperlink">
    <w:name w:val="Hyperlink"/>
    <w:basedOn w:val="DefaultParagraphFont"/>
    <w:uiPriority w:val="99"/>
    <w:semiHidden/>
    <w:unhideWhenUsed/>
    <w:rsid w:val="00757E79"/>
    <w:rPr>
      <w:color w:val="0000FF"/>
      <w:u w:val="single"/>
    </w:rPr>
  </w:style>
  <w:style w:type="paragraph" w:styleId="BalloonText">
    <w:name w:val="Balloon Text"/>
    <w:basedOn w:val="Normal"/>
    <w:link w:val="BalloonTextChar"/>
    <w:uiPriority w:val="99"/>
    <w:semiHidden/>
    <w:unhideWhenUsed/>
    <w:rsid w:val="00A93B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B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210381968">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69969935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2021-01-21T15:09:24+00:00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dcmitype/"/>
    <ds:schemaRef ds:uri="http://purl.org/dc/terms/"/>
    <ds:schemaRef ds:uri="http://schemas.microsoft.com/office/2006/documentManagement/types"/>
    <ds:schemaRef ds:uri="http://schemas.microsoft.com/office/infopath/2007/PartnerControls"/>
    <ds:schemaRef ds:uri="http://schemas.microsoft.com/sharepoint/v3/fields"/>
    <ds:schemaRef ds:uri="http://purl.org/dc/elements/1.1/"/>
    <ds:schemaRef ds:uri="631298fc-6a88-4548-b7d9-3b164918c4a3"/>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C163784C-4B5F-4637-8D9A-A289DBBCD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E23271-DF6A-4019-9D89-C4F8020BBBDD}">
  <ds:schemaRefs>
    <ds:schemaRef ds:uri="Microsoft.SharePoint.Taxonomy.ContentTypeSync"/>
  </ds:schemaRefs>
</ds:datastoreItem>
</file>

<file path=customXml/itemProps5.xml><?xml version="1.0" encoding="utf-8"?>
<ds:datastoreItem xmlns:ds="http://schemas.openxmlformats.org/officeDocument/2006/customXml" ds:itemID="{462A7A68-F359-4D0F-96FF-4B1E9D5F855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2021-01-21T15:09:00Z</dcterms:created>
  <dcterms:modified xsi:type="dcterms:W3CDTF">2021-01-21T15:19:00Z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2021-01-14T11:09:06Z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ies>
</file>