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2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668"/>
        <w:gridCol w:w="8315"/>
        <w:gridCol w:w="48"/>
      </w:tblGrid>
      <w:tr w:rsidR="00133BD9" w:rsidRPr="00876240" w14:paraId="373E21CB" w14:textId="77777777" w:rsidTr="009B1A44">
        <w:trPr>
          <w:gridBefore w:val="1"/>
          <w:gridAfter w:val="1"/>
          <w:wBefore w:w="601" w:type="dxa"/>
          <w:wAfter w:w="48" w:type="dxa"/>
          <w:trHeight w:val="315"/>
        </w:trPr>
        <w:tc>
          <w:tcPr>
            <w:tcW w:w="9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43B75D1" w:rsidR="00133BD9" w:rsidRPr="002E3EFB" w:rsidRDefault="000F371F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SGN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9B1A44">
        <w:trPr>
          <w:trHeight w:val="315"/>
        </w:trPr>
        <w:tc>
          <w:tcPr>
            <w:tcW w:w="1063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9B1A44">
        <w:trPr>
          <w:trHeight w:val="614"/>
        </w:trPr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373E21CF" w14:textId="542A26EC" w:rsidR="00F266D1" w:rsidRPr="00F266D1" w:rsidRDefault="00F266D1" w:rsidP="00A0584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SGN_FDQ_0</w:t>
            </w:r>
            <w:r w:rsidR="006224A0">
              <w:rPr>
                <w:rFonts w:ascii="Arial" w:hAnsi="Arial" w:cs="Arial"/>
                <w:color w:val="FF0000"/>
                <w:sz w:val="24"/>
                <w:szCs w:val="24"/>
              </w:rPr>
              <w:t>18</w:t>
            </w:r>
          </w:p>
        </w:tc>
      </w:tr>
      <w:tr w:rsidR="00A06191" w:rsidRPr="00876240" w14:paraId="373E21D3" w14:textId="77777777" w:rsidTr="009B1A44">
        <w:trPr>
          <w:trHeight w:val="12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373E21D2" w14:textId="2A4A9575" w:rsidR="00A06191" w:rsidRPr="00004B8C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004B8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4B8C" w:rsidRPr="00004B8C">
              <w:t xml:space="preserve">RIIO-2 Final Determinations </w:t>
            </w:r>
            <w:r w:rsidR="007046C3">
              <w:t xml:space="preserve"> </w:t>
            </w:r>
            <w:r w:rsidR="006224A0">
              <w:t xml:space="preserve">GDN Annex </w:t>
            </w:r>
          </w:p>
        </w:tc>
      </w:tr>
      <w:tr w:rsidR="00A06191" w:rsidRPr="00876240" w14:paraId="373E21D6" w14:textId="77777777" w:rsidTr="009B1A44">
        <w:trPr>
          <w:trHeight w:val="12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373E21D5" w14:textId="5AE049CF" w:rsidR="00A06191" w:rsidRPr="00876240" w:rsidRDefault="00866F8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Error in FPNES allowances</w:t>
            </w:r>
          </w:p>
        </w:tc>
      </w:tr>
      <w:tr w:rsidR="00A06191" w:rsidRPr="00876240" w14:paraId="373E21D9" w14:textId="77777777" w:rsidTr="009B1A44">
        <w:trPr>
          <w:trHeight w:val="12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7BC8CE59" w14:textId="77777777" w:rsidR="003A6BEB" w:rsidRDefault="003A6BEB" w:rsidP="00004B8C">
            <w:pPr>
              <w:pStyle w:val="xmsonormal"/>
              <w:rPr>
                <w:color w:val="000000"/>
              </w:rPr>
            </w:pPr>
          </w:p>
          <w:p w14:paraId="4F912D23" w14:textId="1B2FAE58" w:rsidR="00471B46" w:rsidRDefault="003A6BEB" w:rsidP="00457A5F">
            <w:pPr>
              <w:pStyle w:val="xmsonormal"/>
              <w:spacing w:after="120"/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="0075726F">
              <w:rPr>
                <w:color w:val="000000"/>
              </w:rPr>
              <w:t>n</w:t>
            </w:r>
            <w:r>
              <w:rPr>
                <w:color w:val="000000"/>
              </w:rPr>
              <w:t xml:space="preserve"> GD1 there was a consistent allowance rate across GDNs for all networks to support the development of Fuel Poor Network Extension. </w:t>
            </w:r>
            <w:r w:rsidR="00335FE7">
              <w:rPr>
                <w:color w:val="000000"/>
              </w:rPr>
              <w:t>Th</w:t>
            </w:r>
            <w:r w:rsidR="0002042B">
              <w:rPr>
                <w:color w:val="000000"/>
              </w:rPr>
              <w:t>e table below shows a wide variation in allowances and this</w:t>
            </w:r>
            <w:r w:rsidR="00335FE7">
              <w:rPr>
                <w:color w:val="000000"/>
              </w:rPr>
              <w:t xml:space="preserve"> change </w:t>
            </w:r>
            <w:r w:rsidR="0002042B">
              <w:rPr>
                <w:color w:val="000000"/>
              </w:rPr>
              <w:t>of</w:t>
            </w:r>
            <w:r w:rsidR="00335FE7">
              <w:rPr>
                <w:color w:val="000000"/>
              </w:rPr>
              <w:t xml:space="preserve"> policy was not discussed and has produced </w:t>
            </w:r>
            <w:r w:rsidR="006456A4">
              <w:rPr>
                <w:color w:val="000000"/>
              </w:rPr>
              <w:t xml:space="preserve">inconsistent allowances. </w:t>
            </w:r>
          </w:p>
          <w:p w14:paraId="3EADAC7C" w14:textId="03A2094D" w:rsidR="00B437A9" w:rsidRDefault="00D3739C" w:rsidP="00457A5F">
            <w:pPr>
              <w:pStyle w:val="xmsonormal"/>
              <w:spacing w:after="120"/>
              <w:rPr>
                <w:color w:val="000000"/>
              </w:rPr>
            </w:pPr>
            <w:r>
              <w:rPr>
                <w:color w:val="000000"/>
              </w:rPr>
              <w:t>This is clearly set out in the table below w</w:t>
            </w:r>
            <w:r w:rsidR="00A163D9">
              <w:rPr>
                <w:color w:val="000000"/>
              </w:rPr>
              <w:t xml:space="preserve">here network companies that have taken on the highest level of ambition </w:t>
            </w:r>
            <w:r w:rsidR="004F26CB">
              <w:rPr>
                <w:color w:val="000000"/>
              </w:rPr>
              <w:t xml:space="preserve">also </w:t>
            </w:r>
            <w:r>
              <w:rPr>
                <w:color w:val="000000"/>
              </w:rPr>
              <w:t>have the</w:t>
            </w:r>
            <w:r w:rsidR="002400F7">
              <w:rPr>
                <w:color w:val="000000"/>
              </w:rPr>
              <w:t xml:space="preserve"> lowest unit costs for delivery</w:t>
            </w:r>
            <w:r w:rsidR="00B437A9">
              <w:rPr>
                <w:color w:val="000000"/>
              </w:rPr>
              <w:t>. This is illogical as a more challeng</w:t>
            </w:r>
            <w:r w:rsidR="0002042B">
              <w:rPr>
                <w:color w:val="000000"/>
              </w:rPr>
              <w:t>ing</w:t>
            </w:r>
            <w:r w:rsidR="00B437A9">
              <w:rPr>
                <w:color w:val="000000"/>
              </w:rPr>
              <w:t xml:space="preserve"> target will incur higher costs associated with securing more challenging sites in order to deliver that target. </w:t>
            </w:r>
            <w:r w:rsidR="002400F7">
              <w:rPr>
                <w:color w:val="000000"/>
              </w:rPr>
              <w:t xml:space="preserve"> </w:t>
            </w:r>
          </w:p>
          <w:p w14:paraId="3DE70BF2" w14:textId="320B7268" w:rsidR="00DC4F39" w:rsidRDefault="00B437A9" w:rsidP="00457A5F">
            <w:pPr>
              <w:pStyle w:val="xmsonormal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Secondly </w:t>
            </w:r>
            <w:r w:rsidR="002400F7">
              <w:rPr>
                <w:color w:val="000000"/>
              </w:rPr>
              <w:t>network companies that have been most inefficient in</w:t>
            </w:r>
            <w:r>
              <w:rPr>
                <w:color w:val="000000"/>
              </w:rPr>
              <w:t xml:space="preserve"> delivering their FPNES connections in</w:t>
            </w:r>
            <w:r w:rsidR="002400F7">
              <w:rPr>
                <w:color w:val="000000"/>
              </w:rPr>
              <w:t xml:space="preserve"> GD1 have been rewarded </w:t>
            </w:r>
            <w:r>
              <w:rPr>
                <w:color w:val="000000"/>
              </w:rPr>
              <w:t xml:space="preserve">for this inefficiency with </w:t>
            </w:r>
            <w:r w:rsidR="002400F7">
              <w:rPr>
                <w:color w:val="000000"/>
              </w:rPr>
              <w:t xml:space="preserve">both higher unit costs and lower </w:t>
            </w:r>
            <w:r w:rsidR="0002042B">
              <w:rPr>
                <w:color w:val="000000"/>
              </w:rPr>
              <w:t>overall</w:t>
            </w:r>
            <w:r w:rsidR="002400F7">
              <w:rPr>
                <w:color w:val="000000"/>
              </w:rPr>
              <w:t xml:space="preserve"> reductions. </w:t>
            </w:r>
          </w:p>
          <w:p w14:paraId="29FC9B05" w14:textId="470C8EDD" w:rsidR="00B437A9" w:rsidRDefault="000D609A" w:rsidP="00457A5F">
            <w:pPr>
              <w:pStyle w:val="xmsonormal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On the basis that this must be an error, </w:t>
            </w:r>
            <w:r w:rsidR="0002042B">
              <w:rPr>
                <w:color w:val="000000"/>
              </w:rPr>
              <w:t>c</w:t>
            </w:r>
            <w:r w:rsidR="00B437A9">
              <w:rPr>
                <w:color w:val="000000"/>
              </w:rPr>
              <w:t xml:space="preserve">an Ofgem either correct this so that all networks have an </w:t>
            </w:r>
            <w:r>
              <w:rPr>
                <w:color w:val="000000"/>
              </w:rPr>
              <w:t xml:space="preserve">equivalent </w:t>
            </w:r>
            <w:r w:rsidR="00B437A9">
              <w:rPr>
                <w:color w:val="000000"/>
              </w:rPr>
              <w:t xml:space="preserve">allowance </w:t>
            </w:r>
            <w:r w:rsidR="0002042B">
              <w:rPr>
                <w:color w:val="000000"/>
              </w:rPr>
              <w:t xml:space="preserve">consistent with the policy approach seen in GD1 </w:t>
            </w:r>
            <w:r>
              <w:rPr>
                <w:color w:val="000000"/>
              </w:rPr>
              <w:t>and</w:t>
            </w:r>
            <w:r w:rsidR="00B437A9">
              <w:rPr>
                <w:color w:val="000000"/>
              </w:rPr>
              <w:t xml:space="preserve"> </w:t>
            </w:r>
            <w:r w:rsidR="0002042B">
              <w:rPr>
                <w:color w:val="000000"/>
              </w:rPr>
              <w:t xml:space="preserve">ensure </w:t>
            </w:r>
            <w:r w:rsidR="00B437A9">
              <w:rPr>
                <w:color w:val="000000"/>
              </w:rPr>
              <w:t>any differences are clearly attributable to regional factors?</w:t>
            </w:r>
          </w:p>
          <w:p w14:paraId="0C244FA8" w14:textId="37EAF6DC" w:rsidR="00F114E9" w:rsidRDefault="00F114E9" w:rsidP="00457A5F">
            <w:pPr>
              <w:pStyle w:val="xmsonormal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If </w:t>
            </w:r>
            <w:r w:rsidR="009D6D19">
              <w:rPr>
                <w:color w:val="000000"/>
              </w:rPr>
              <w:t xml:space="preserve">not, then can </w:t>
            </w:r>
            <w:r>
              <w:rPr>
                <w:color w:val="000000"/>
              </w:rPr>
              <w:t xml:space="preserve">Ofgem </w:t>
            </w:r>
            <w:r w:rsidR="009D6D19">
              <w:rPr>
                <w:color w:val="000000"/>
              </w:rPr>
              <w:t>set out why they do not c</w:t>
            </w:r>
            <w:r>
              <w:rPr>
                <w:color w:val="000000"/>
              </w:rPr>
              <w:t>onsider this to be an error</w:t>
            </w:r>
            <w:r w:rsidR="009D6D19">
              <w:rPr>
                <w:color w:val="000000"/>
              </w:rPr>
              <w:t xml:space="preserve"> and the basis on which they have made their assessment</w:t>
            </w:r>
            <w:r w:rsidR="0002042B">
              <w:rPr>
                <w:color w:val="000000"/>
              </w:rPr>
              <w:t xml:space="preserve"> and changed policy</w:t>
            </w:r>
            <w:r w:rsidR="009D6D19">
              <w:rPr>
                <w:color w:val="000000"/>
              </w:rPr>
              <w:t>?</w:t>
            </w:r>
          </w:p>
          <w:p w14:paraId="64D2277F" w14:textId="6D421BCF" w:rsidR="009D6D19" w:rsidRDefault="009D6D19" w:rsidP="00457A5F">
            <w:pPr>
              <w:pStyle w:val="xmsonormal"/>
              <w:spacing w:after="120"/>
              <w:rPr>
                <w:color w:val="000000"/>
              </w:rPr>
            </w:pPr>
          </w:p>
          <w:tbl>
            <w:tblPr>
              <w:tblW w:w="7134" w:type="dxa"/>
              <w:tblLook w:val="04A0" w:firstRow="1" w:lastRow="0" w:firstColumn="1" w:lastColumn="0" w:noHBand="0" w:noVBand="1"/>
            </w:tblPr>
            <w:tblGrid>
              <w:gridCol w:w="2031"/>
              <w:gridCol w:w="830"/>
              <w:gridCol w:w="830"/>
              <w:gridCol w:w="993"/>
              <w:gridCol w:w="822"/>
              <w:gridCol w:w="1034"/>
              <w:gridCol w:w="953"/>
            </w:tblGrid>
            <w:tr w:rsidR="00CD2458" w:rsidRPr="00CD2458" w14:paraId="0D73BB53" w14:textId="77777777" w:rsidTr="00CD2458">
              <w:trPr>
                <w:trHeight w:val="885"/>
              </w:trPr>
              <w:tc>
                <w:tcPr>
                  <w:tcW w:w="20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1F4E78"/>
                  <w:noWrap/>
                  <w:vAlign w:val="center"/>
                  <w:hideMark/>
                </w:tcPr>
                <w:p w14:paraId="4CF2A010" w14:textId="77777777" w:rsidR="00CD2458" w:rsidRPr="00CD2458" w:rsidRDefault="00CD2458" w:rsidP="00CD245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8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1F4E78"/>
                  <w:vAlign w:val="center"/>
                  <w:hideMark/>
                </w:tcPr>
                <w:p w14:paraId="12F355D7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en-GB"/>
                    </w:rPr>
                    <w:t>GD1 Average BPDT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1F4E78"/>
                  <w:vAlign w:val="center"/>
                  <w:hideMark/>
                </w:tcPr>
                <w:p w14:paraId="1C30CC49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en-GB"/>
                    </w:rPr>
                    <w:t>GD2 Average BPDT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1F4E78"/>
                  <w:vAlign w:val="center"/>
                  <w:hideMark/>
                </w:tcPr>
                <w:p w14:paraId="1719C252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en-GB"/>
                    </w:rPr>
                    <w:t>FPNES Volume Driver Unit Cost</w:t>
                  </w:r>
                </w:p>
              </w:tc>
              <w:tc>
                <w:tcPr>
                  <w:tcW w:w="8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1F4E78"/>
                  <w:vAlign w:val="center"/>
                  <w:hideMark/>
                </w:tcPr>
                <w:p w14:paraId="5240874C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en-GB"/>
                    </w:rPr>
                    <w:t>% changes BPDT to FD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1F4E78"/>
                  <w:vAlign w:val="center"/>
                  <w:hideMark/>
                </w:tcPr>
                <w:p w14:paraId="109361B4" w14:textId="5D84F344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en-GB"/>
                    </w:rPr>
                    <w:t>% difference to most efficient  unit  cost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1F4E78"/>
                  <w:vAlign w:val="center"/>
                  <w:hideMark/>
                </w:tcPr>
                <w:p w14:paraId="0117E9DF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en-GB"/>
                    </w:rPr>
                    <w:t>GD2 Target Workload</w:t>
                  </w:r>
                </w:p>
              </w:tc>
            </w:tr>
            <w:tr w:rsidR="00CD2458" w:rsidRPr="00CD2458" w14:paraId="4EC5C2BA" w14:textId="77777777" w:rsidTr="00CD2458">
              <w:trPr>
                <w:trHeight w:val="315"/>
              </w:trPr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E6122E" w14:textId="77777777" w:rsidR="00CD2458" w:rsidRPr="00CD2458" w:rsidRDefault="00CD2458" w:rsidP="00CD245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SGN - Scotland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544870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£1,403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6BCB17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£1,768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5AFDBE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£1,440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C5560C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-19%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8301CB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0%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E8B71D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13,000</w:t>
                  </w:r>
                </w:p>
              </w:tc>
            </w:tr>
            <w:tr w:rsidR="00CD2458" w:rsidRPr="00CD2458" w14:paraId="4871A22E" w14:textId="77777777" w:rsidTr="00CD2458">
              <w:trPr>
                <w:trHeight w:val="315"/>
              </w:trPr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CC48B1" w14:textId="77777777" w:rsidR="00CD2458" w:rsidRPr="00CD2458" w:rsidRDefault="00CD2458" w:rsidP="00CD245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SGN - Southern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0D7017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£1,471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91E843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£2,168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883E3D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£1,507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C87337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-30%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F8E2A5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5%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1B895D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5,000</w:t>
                  </w:r>
                </w:p>
              </w:tc>
            </w:tr>
            <w:tr w:rsidR="00CD2458" w:rsidRPr="00CD2458" w14:paraId="1A22C049" w14:textId="77777777" w:rsidTr="00CD2458">
              <w:trPr>
                <w:trHeight w:val="315"/>
              </w:trPr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67A00B" w14:textId="77777777" w:rsidR="00CD2458" w:rsidRPr="00CD2458" w:rsidRDefault="00CD2458" w:rsidP="00CD245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NGN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739DF7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£1,963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7FC9A5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£2,526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67B2A1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£1,946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3CB5B6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-23%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center"/>
                  <w:hideMark/>
                </w:tcPr>
                <w:p w14:paraId="1813DE30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  <w:t>35%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3F8D76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5,000</w:t>
                  </w:r>
                </w:p>
              </w:tc>
            </w:tr>
            <w:tr w:rsidR="00CD2458" w:rsidRPr="00CD2458" w14:paraId="13A5AAFE" w14:textId="77777777" w:rsidTr="00CD2458">
              <w:trPr>
                <w:trHeight w:val="315"/>
              </w:trPr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3770E2" w14:textId="77777777" w:rsidR="00CD2458" w:rsidRPr="00CD2458" w:rsidRDefault="00CD2458" w:rsidP="00CD245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WWU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F26910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£2,397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B57848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£3,561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D44A74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£2,107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393E59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-41%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0000"/>
                  <w:noWrap/>
                  <w:vAlign w:val="center"/>
                  <w:hideMark/>
                </w:tcPr>
                <w:p w14:paraId="3319C010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  <w:t>46%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E9F695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2,500</w:t>
                  </w:r>
                </w:p>
              </w:tc>
            </w:tr>
            <w:tr w:rsidR="00CD2458" w:rsidRPr="00CD2458" w14:paraId="59C4589E" w14:textId="77777777" w:rsidTr="00CD2458">
              <w:trPr>
                <w:trHeight w:val="315"/>
              </w:trPr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9D854C" w14:textId="77777777" w:rsidR="00CD2458" w:rsidRPr="00CD2458" w:rsidRDefault="00CD2458" w:rsidP="00CD245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Cadent - East of England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0FA933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£2,181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DAD547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£2,634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34F722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£2,046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F9B43C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-22%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center"/>
                  <w:hideMark/>
                </w:tcPr>
                <w:p w14:paraId="44843651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  <w:t>42%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249712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2,050</w:t>
                  </w:r>
                </w:p>
              </w:tc>
            </w:tr>
            <w:tr w:rsidR="00CD2458" w:rsidRPr="00CD2458" w14:paraId="10A6A1A1" w14:textId="77777777" w:rsidTr="00CD2458">
              <w:trPr>
                <w:trHeight w:val="315"/>
              </w:trPr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887F63" w14:textId="77777777" w:rsidR="00CD2458" w:rsidRPr="00CD2458" w:rsidRDefault="00CD2458" w:rsidP="00CD245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Cadent - London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8BD892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£2,490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00508D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£2,634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1F0047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£2,037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5A491B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-23%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center"/>
                  <w:hideMark/>
                </w:tcPr>
                <w:p w14:paraId="3CB37C2E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  <w:t>41%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AFD5B7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500</w:t>
                  </w:r>
                </w:p>
              </w:tc>
            </w:tr>
            <w:tr w:rsidR="00CD2458" w:rsidRPr="00CD2458" w14:paraId="61F4F65C" w14:textId="77777777" w:rsidTr="00CD2458">
              <w:trPr>
                <w:trHeight w:val="315"/>
              </w:trPr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93504A" w14:textId="77777777" w:rsidR="00CD2458" w:rsidRPr="00CD2458" w:rsidRDefault="00CD2458" w:rsidP="00CD245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Cadent - North West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7C0691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£2,165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14C0CB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£2,299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34F69A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£2,317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center"/>
                  <w:hideMark/>
                </w:tcPr>
                <w:p w14:paraId="37E53708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  <w:t>1%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0000"/>
                  <w:noWrap/>
                  <w:vAlign w:val="center"/>
                  <w:hideMark/>
                </w:tcPr>
                <w:p w14:paraId="6F7CF383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  <w:t>61%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96DEFA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2,250</w:t>
                  </w:r>
                </w:p>
              </w:tc>
            </w:tr>
            <w:tr w:rsidR="00CD2458" w:rsidRPr="00CD2458" w14:paraId="0F85E585" w14:textId="77777777" w:rsidTr="00CD2458">
              <w:trPr>
                <w:trHeight w:val="315"/>
              </w:trPr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9C0396" w14:textId="77777777" w:rsidR="00CD2458" w:rsidRPr="00CD2458" w:rsidRDefault="00CD2458" w:rsidP="00CD245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Cadent - West Midlands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425501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£2,598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C3D417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£2,634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AC5033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£2,438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0000"/>
                  <w:noWrap/>
                  <w:vAlign w:val="center"/>
                  <w:hideMark/>
                </w:tcPr>
                <w:p w14:paraId="608D5FD6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  <w:t>-7%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0000"/>
                  <w:noWrap/>
                  <w:vAlign w:val="center"/>
                  <w:hideMark/>
                </w:tcPr>
                <w:p w14:paraId="2AA26E22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FFFFFF"/>
                      <w:sz w:val="18"/>
                      <w:szCs w:val="18"/>
                      <w:lang w:eastAsia="en-GB"/>
                    </w:rPr>
                    <w:t>69%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67DC94" w14:textId="77777777" w:rsidR="00CD2458" w:rsidRPr="00CD2458" w:rsidRDefault="00CD2458" w:rsidP="00CD245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D245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n-GB"/>
                    </w:rPr>
                    <w:t>1,450</w:t>
                  </w:r>
                </w:p>
              </w:tc>
            </w:tr>
          </w:tbl>
          <w:p w14:paraId="373E21D8" w14:textId="7D04D833" w:rsidR="00DC4F39" w:rsidRPr="00004B8C" w:rsidRDefault="00DC4F39" w:rsidP="00004B8C">
            <w:pPr>
              <w:pStyle w:val="xmso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7B6" w:rsidRPr="00876240" w14:paraId="5689E132" w14:textId="77777777" w:rsidTr="009B1A44">
        <w:trPr>
          <w:trHeight w:val="12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2CF1E278" w14:textId="7EDF3E27" w:rsidR="005927B6" w:rsidRPr="005927B6" w:rsidRDefault="005927B6" w:rsidP="005927B6">
            <w:pPr>
              <w:rPr>
                <w:rFonts w:ascii="Arial" w:hAnsi="Arial" w:cs="Arial"/>
                <w:sz w:val="24"/>
                <w:szCs w:val="24"/>
              </w:rPr>
            </w:pPr>
            <w:r w:rsidRPr="005927B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06191" w:rsidRPr="00876240" w14:paraId="373E21DC" w14:textId="77777777" w:rsidTr="009B1A44">
        <w:trPr>
          <w:trHeight w:val="12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373E21DB" w14:textId="042AC2C6" w:rsidR="00A06191" w:rsidRPr="00876240" w:rsidRDefault="000E5B6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042B">
              <w:rPr>
                <w:rFonts w:ascii="Arial" w:hAnsi="Arial" w:cs="Arial"/>
                <w:sz w:val="24"/>
                <w:szCs w:val="24"/>
              </w:rPr>
              <w:t>SGN</w:t>
            </w:r>
          </w:p>
        </w:tc>
      </w:tr>
      <w:tr w:rsidR="00A06191" w:rsidRPr="00876240" w14:paraId="373E21DF" w14:textId="77777777" w:rsidTr="009B1A44">
        <w:trPr>
          <w:trHeight w:val="12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373E21DE" w14:textId="64E4D787" w:rsidR="00F82AB4" w:rsidRPr="00876240" w:rsidRDefault="0002042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17/12/2020</w:t>
            </w:r>
          </w:p>
        </w:tc>
      </w:tr>
      <w:tr w:rsidR="000E5B6D" w:rsidRPr="00876240" w14:paraId="237714F0" w14:textId="77777777" w:rsidTr="009B1A44">
        <w:trPr>
          <w:trHeight w:val="127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6A0EE2AF" w14:textId="77777777" w:rsidR="00F30FCD" w:rsidRDefault="00C6320E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Our approaches </w:t>
            </w:r>
            <w:r>
              <w:rPr>
                <w:rFonts w:ascii="Arial" w:hAnsi="Arial" w:cs="Arial"/>
                <w:sz w:val="24"/>
                <w:szCs w:val="24"/>
              </w:rPr>
              <w:t>to FPNES policy</w:t>
            </w:r>
            <w:r>
              <w:rPr>
                <w:rFonts w:ascii="Arial" w:hAnsi="Arial" w:cs="Arial"/>
                <w:sz w:val="24"/>
                <w:szCs w:val="24"/>
              </w:rPr>
              <w:t xml:space="preserve">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to setting unit costs are set out in the GD Annex.</w:t>
            </w:r>
            <w:r w:rsidR="00F30FCD">
              <w:rPr>
                <w:rFonts w:ascii="Arial" w:hAnsi="Arial" w:cs="Arial"/>
                <w:sz w:val="24"/>
                <w:szCs w:val="24"/>
              </w:rPr>
              <w:t xml:space="preserve"> Our decision on the approach to setting unit costs reflects our choice of methodology from the options consulted on through the Repex Working Group.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E190A5" w14:textId="42C065D1" w:rsidR="000E5B6D" w:rsidRPr="00876240" w:rsidRDefault="00C6320E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will update unit costs to reflect any errors that impact totex</w:t>
            </w:r>
            <w:r w:rsidR="001A43EE">
              <w:rPr>
                <w:rFonts w:ascii="Arial" w:hAnsi="Arial" w:cs="Arial"/>
                <w:sz w:val="24"/>
                <w:szCs w:val="24"/>
              </w:rPr>
              <w:t xml:space="preserve"> or the calculation of unit costs. However, we </w:t>
            </w:r>
            <w:r>
              <w:rPr>
                <w:rFonts w:ascii="Arial" w:hAnsi="Arial" w:cs="Arial"/>
                <w:sz w:val="24"/>
                <w:szCs w:val="24"/>
              </w:rPr>
              <w:t>will not chang</w:t>
            </w:r>
            <w:r w:rsidR="00DC7D5B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7D5B">
              <w:rPr>
                <w:rFonts w:ascii="Arial" w:hAnsi="Arial" w:cs="Arial"/>
                <w:sz w:val="24"/>
                <w:szCs w:val="24"/>
              </w:rPr>
              <w:t xml:space="preserve">any of our </w:t>
            </w:r>
            <w:r>
              <w:rPr>
                <w:rFonts w:ascii="Arial" w:hAnsi="Arial" w:cs="Arial"/>
                <w:sz w:val="24"/>
                <w:szCs w:val="24"/>
              </w:rPr>
              <w:t>decision</w:t>
            </w:r>
            <w:r w:rsidR="00DC7D5B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with respect to the methodology used to calculate unit costs for FD. </w:t>
            </w:r>
          </w:p>
        </w:tc>
      </w:tr>
    </w:tbl>
    <w:p w14:paraId="373E21F4" w14:textId="77777777" w:rsidR="00945C7C" w:rsidRDefault="00945C7C" w:rsidP="008A5062"/>
    <w:sectPr w:rsidR="00945C7C" w:rsidSect="008A5062">
      <w:footerReference w:type="default" r:id="rId12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B95EE" w14:textId="77777777" w:rsidR="006A714D" w:rsidRDefault="006A714D" w:rsidP="00526623">
      <w:pPr>
        <w:spacing w:after="0" w:line="240" w:lineRule="auto"/>
      </w:pPr>
      <w:r>
        <w:separator/>
      </w:r>
    </w:p>
  </w:endnote>
  <w:endnote w:type="continuationSeparator" w:id="0">
    <w:p w14:paraId="0E94D248" w14:textId="77777777" w:rsidR="006A714D" w:rsidRDefault="006A714D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B98F0" w14:textId="21CB667B" w:rsidR="00004B8C" w:rsidRDefault="00004B8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273AA7" wp14:editId="5841BB0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51b48348c2230498fe1e680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948E6D5" w14:textId="5562BCB1" w:rsidR="00004B8C" w:rsidRPr="00004B8C" w:rsidRDefault="00004B8C" w:rsidP="00004B8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004B8C">
                            <w:rPr>
                              <w:rFonts w:ascii="Calibri" w:hAnsi="Calibri" w:cs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273AA7" id="_x0000_t202" coordsize="21600,21600" o:spt="202" path="m,l,21600r21600,l21600,xe">
              <v:stroke joinstyle="miter"/>
              <v:path gradientshapeok="t" o:connecttype="rect"/>
            </v:shapetype>
            <v:shape id="MSIPCMf51b48348c2230498fe1e680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" o:allowincell="f" filled="f" stroked="f" strokeweight=".5pt">
              <v:textbox inset="20pt,0,,0">
                <w:txbxContent>
                  <w:p w14:paraId="1948E6D5" w14:textId="5562BCB1" w:rsidR="00004B8C" w:rsidRPr="00004B8C" w:rsidRDefault="00004B8C" w:rsidP="00004B8C">
                    <w:pPr>
                      <w:spacing w:after="0"/>
                      <w:rPr>
                        <w:rFonts w:ascii="Calibri" w:hAnsi="Calibri" w:cs="Calibri"/>
                        <w:color w:val="000000"/>
                      </w:rPr>
                    </w:pPr>
                    <w:r w:rsidRPr="00004B8C">
                      <w:rPr>
                        <w:rFonts w:ascii="Calibri" w:hAnsi="Calibri" w:cs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FAC8C" w14:textId="77777777" w:rsidR="006A714D" w:rsidRDefault="006A714D" w:rsidP="00526623">
      <w:pPr>
        <w:spacing w:after="0" w:line="240" w:lineRule="auto"/>
      </w:pPr>
      <w:r>
        <w:separator/>
      </w:r>
    </w:p>
  </w:footnote>
  <w:footnote w:type="continuationSeparator" w:id="0">
    <w:p w14:paraId="5F5508CD" w14:textId="77777777" w:rsidR="006A714D" w:rsidRDefault="006A714D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4486C"/>
    <w:multiLevelType w:val="multilevel"/>
    <w:tmpl w:val="3BD6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850EFB"/>
    <w:multiLevelType w:val="hybridMultilevel"/>
    <w:tmpl w:val="80720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B3427F"/>
    <w:multiLevelType w:val="hybridMultilevel"/>
    <w:tmpl w:val="85766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4B8C"/>
    <w:rsid w:val="00007AB6"/>
    <w:rsid w:val="0001551F"/>
    <w:rsid w:val="0002042B"/>
    <w:rsid w:val="00041711"/>
    <w:rsid w:val="000436C2"/>
    <w:rsid w:val="000473D3"/>
    <w:rsid w:val="00050C54"/>
    <w:rsid w:val="000B0536"/>
    <w:rsid w:val="000D609A"/>
    <w:rsid w:val="000E5B6D"/>
    <w:rsid w:val="000F371F"/>
    <w:rsid w:val="0010126C"/>
    <w:rsid w:val="00107296"/>
    <w:rsid w:val="00133BD9"/>
    <w:rsid w:val="00133CFC"/>
    <w:rsid w:val="00172809"/>
    <w:rsid w:val="001A43EE"/>
    <w:rsid w:val="001B3112"/>
    <w:rsid w:val="001D0151"/>
    <w:rsid w:val="00206D5F"/>
    <w:rsid w:val="0022587E"/>
    <w:rsid w:val="002400F7"/>
    <w:rsid w:val="002707B1"/>
    <w:rsid w:val="002874F3"/>
    <w:rsid w:val="00291D51"/>
    <w:rsid w:val="00293724"/>
    <w:rsid w:val="002A4AD8"/>
    <w:rsid w:val="002B4955"/>
    <w:rsid w:val="002E3EFB"/>
    <w:rsid w:val="00300FB4"/>
    <w:rsid w:val="003043A4"/>
    <w:rsid w:val="00321B49"/>
    <w:rsid w:val="00335FE7"/>
    <w:rsid w:val="00342E6F"/>
    <w:rsid w:val="003452B0"/>
    <w:rsid w:val="00360385"/>
    <w:rsid w:val="00385085"/>
    <w:rsid w:val="003A6BEB"/>
    <w:rsid w:val="003B3576"/>
    <w:rsid w:val="003F465C"/>
    <w:rsid w:val="00400822"/>
    <w:rsid w:val="00457A5F"/>
    <w:rsid w:val="00471B46"/>
    <w:rsid w:val="004C4D2B"/>
    <w:rsid w:val="004D0311"/>
    <w:rsid w:val="004D1F2F"/>
    <w:rsid w:val="004F26CB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A0"/>
    <w:rsid w:val="006224F4"/>
    <w:rsid w:val="006279ED"/>
    <w:rsid w:val="006456A4"/>
    <w:rsid w:val="006847DA"/>
    <w:rsid w:val="006A714D"/>
    <w:rsid w:val="006B26DE"/>
    <w:rsid w:val="006B653F"/>
    <w:rsid w:val="006D4614"/>
    <w:rsid w:val="007046C3"/>
    <w:rsid w:val="00716508"/>
    <w:rsid w:val="00721734"/>
    <w:rsid w:val="007400B7"/>
    <w:rsid w:val="00753976"/>
    <w:rsid w:val="0075726F"/>
    <w:rsid w:val="007572D8"/>
    <w:rsid w:val="007649AC"/>
    <w:rsid w:val="00772D1E"/>
    <w:rsid w:val="007869B0"/>
    <w:rsid w:val="007974DA"/>
    <w:rsid w:val="007B29A9"/>
    <w:rsid w:val="007C2E37"/>
    <w:rsid w:val="007D7648"/>
    <w:rsid w:val="007E30C4"/>
    <w:rsid w:val="008170C7"/>
    <w:rsid w:val="00845396"/>
    <w:rsid w:val="0085400C"/>
    <w:rsid w:val="00866F86"/>
    <w:rsid w:val="008A5062"/>
    <w:rsid w:val="008B3636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A7A81"/>
    <w:rsid w:val="009B1A44"/>
    <w:rsid w:val="009B26A0"/>
    <w:rsid w:val="009B7577"/>
    <w:rsid w:val="009D4F56"/>
    <w:rsid w:val="009D6D19"/>
    <w:rsid w:val="00A054D1"/>
    <w:rsid w:val="00A0584E"/>
    <w:rsid w:val="00A06191"/>
    <w:rsid w:val="00A163D9"/>
    <w:rsid w:val="00A56CF3"/>
    <w:rsid w:val="00A77899"/>
    <w:rsid w:val="00A922CF"/>
    <w:rsid w:val="00AA2DCE"/>
    <w:rsid w:val="00AC6418"/>
    <w:rsid w:val="00AE2C71"/>
    <w:rsid w:val="00AF2854"/>
    <w:rsid w:val="00B33B74"/>
    <w:rsid w:val="00B33BDA"/>
    <w:rsid w:val="00B35E40"/>
    <w:rsid w:val="00B378CC"/>
    <w:rsid w:val="00B37A61"/>
    <w:rsid w:val="00B41AEB"/>
    <w:rsid w:val="00B437A9"/>
    <w:rsid w:val="00B82400"/>
    <w:rsid w:val="00B86DDF"/>
    <w:rsid w:val="00BA4154"/>
    <w:rsid w:val="00BA5A79"/>
    <w:rsid w:val="00BB4793"/>
    <w:rsid w:val="00BB56A8"/>
    <w:rsid w:val="00BB682C"/>
    <w:rsid w:val="00BD48A8"/>
    <w:rsid w:val="00BE209A"/>
    <w:rsid w:val="00C10D99"/>
    <w:rsid w:val="00C57345"/>
    <w:rsid w:val="00C6320E"/>
    <w:rsid w:val="00C814D0"/>
    <w:rsid w:val="00C81B4C"/>
    <w:rsid w:val="00CA4297"/>
    <w:rsid w:val="00CC7214"/>
    <w:rsid w:val="00CD1785"/>
    <w:rsid w:val="00CD2458"/>
    <w:rsid w:val="00CF22EF"/>
    <w:rsid w:val="00D1736D"/>
    <w:rsid w:val="00D3739C"/>
    <w:rsid w:val="00D50036"/>
    <w:rsid w:val="00D53135"/>
    <w:rsid w:val="00D81399"/>
    <w:rsid w:val="00D815E6"/>
    <w:rsid w:val="00DA4D94"/>
    <w:rsid w:val="00DA67E5"/>
    <w:rsid w:val="00DC4F39"/>
    <w:rsid w:val="00DC7D5B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B3EBB"/>
    <w:rsid w:val="00EE1C79"/>
    <w:rsid w:val="00EE2493"/>
    <w:rsid w:val="00F114E9"/>
    <w:rsid w:val="00F129C1"/>
    <w:rsid w:val="00F20F23"/>
    <w:rsid w:val="00F23B18"/>
    <w:rsid w:val="00F266D1"/>
    <w:rsid w:val="00F30FCD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xmsonormal">
    <w:name w:val="x_msonormal"/>
    <w:basedOn w:val="Normal"/>
    <w:rsid w:val="00004B8C"/>
    <w:pPr>
      <w:spacing w:after="0" w:line="240" w:lineRule="auto"/>
    </w:pPr>
    <w:rPr>
      <w:rFonts w:ascii="Calibri" w:hAnsi="Calibri" w:cs="Calibri"/>
      <w:sz w:val="22"/>
      <w:lang w:eastAsia="en-GB"/>
    </w:rPr>
  </w:style>
  <w:style w:type="paragraph" w:customStyle="1" w:styleId="xmsolistparagraph">
    <w:name w:val="x_msolistparagraph"/>
    <w:basedOn w:val="Normal"/>
    <w:rsid w:val="00004B8C"/>
    <w:pPr>
      <w:spacing w:after="0" w:line="240" w:lineRule="auto"/>
      <w:ind w:left="720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Ref_x0020_No xmlns="631298fc-6a88-4548-b7d9-3b164918c4a3" xsi:nil="true"/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Recipient xmlns="631298fc-6a88-4548-b7d9-3b164918c4a3" xsi:nil="true"/>
    <Publication_x0020_Date_x003a_ xmlns="631298fc-6a88-4548-b7d9-3b164918c4a3">2015-07-28T10:49:18+00:00</Publication_x0020_Date_x003a_>
  </documentManagement>
</p:properties>
</file>

<file path=customXml/item2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631298fc-6a88-4548-b7d9-3b164918c4a3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08E5AB-2816-4C87-94C5-3A996C2DF664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DE515CB-D6CD-4028-BC8F-C45DB0579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B0A69F9-1B54-4903-BAB3-19455343A3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Callum Mayfield</cp:lastModifiedBy>
  <cp:revision>6</cp:revision>
  <dcterms:created xsi:type="dcterms:W3CDTF">2021-01-05T15:43:00Z</dcterms:created>
  <dcterms:modified xsi:type="dcterms:W3CDTF">2021-01-05T16:11:00Z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ce270e5e-fce8-46b2-9aae-f04c57910594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  <property fmtid="{D5CDD505-2E9C-101B-9397-08002B2CF9AE}" pid="45" name="MSIP_Label_2b73dd0b-afe1-4a46-943f-1bdb914b8a49_Enabled">
    <vt:lpwstr>true</vt:lpwstr>
  </property>
  <property fmtid="{D5CDD505-2E9C-101B-9397-08002B2CF9AE}" pid="46" name="MSIP_Label_2b73dd0b-afe1-4a46-943f-1bdb914b8a49_SetDate">
    <vt:lpwstr>2020-12-10T21:00:04Z</vt:lpwstr>
  </property>
  <property fmtid="{D5CDD505-2E9C-101B-9397-08002B2CF9AE}" pid="47" name="MSIP_Label_2b73dd0b-afe1-4a46-943f-1bdb914b8a49_Method">
    <vt:lpwstr>Standard</vt:lpwstr>
  </property>
  <property fmtid="{D5CDD505-2E9C-101B-9397-08002B2CF9AE}" pid="48" name="MSIP_Label_2b73dd0b-afe1-4a46-943f-1bdb914b8a49_Name">
    <vt:lpwstr>Internal</vt:lpwstr>
  </property>
  <property fmtid="{D5CDD505-2E9C-101B-9397-08002B2CF9AE}" pid="49" name="MSIP_Label_2b73dd0b-afe1-4a46-943f-1bdb914b8a49_SiteId">
    <vt:lpwstr>b9563cbc-9874-41ab-b448-7e0f61aff3eb</vt:lpwstr>
  </property>
  <property fmtid="{D5CDD505-2E9C-101B-9397-08002B2CF9AE}" pid="50" name="MSIP_Label_2b73dd0b-afe1-4a46-943f-1bdb914b8a49_ActionId">
    <vt:lpwstr>744a0660-0faf-4336-b578-00004c4bec3f</vt:lpwstr>
  </property>
  <property fmtid="{D5CDD505-2E9C-101B-9397-08002B2CF9AE}" pid="51" name="MSIP_Label_2b73dd0b-afe1-4a46-943f-1bdb914b8a49_ContentBits">
    <vt:lpwstr>2</vt:lpwstr>
  </property>
</Properties>
</file>