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1ACD5BDF"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 </w:t>
            </w:r>
            <w:r w:rsidR="0091273B">
              <w:rPr>
                <w:rFonts w:ascii="Arial" w:hAnsi="Arial" w:cs="Arial"/>
                <w:sz w:val="20"/>
                <w:szCs w:val="20"/>
                <w:lang w:eastAsia="en-US"/>
              </w:rPr>
              <w:t>5</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4A71A04D"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Standard </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47E4B663"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  </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38D25336" w:rsidR="00EA1559" w:rsidRPr="00EA1559" w:rsidRDefault="0084535B">
            <w:pPr>
              <w:pStyle w:val="NormalWeb"/>
              <w:spacing w:after="200" w:afterAutospacing="0" w:line="276" w:lineRule="auto"/>
              <w:rPr>
                <w:rFonts w:ascii="Verdana" w:hAnsi="Verdana"/>
                <w:sz w:val="20"/>
                <w:szCs w:val="20"/>
                <w:lang w:eastAsia="en-US"/>
              </w:rPr>
            </w:pPr>
            <w:r>
              <w:rPr>
                <w:rFonts w:ascii="Verdana" w:hAnsi="Verdana"/>
                <w:sz w:val="20"/>
                <w:szCs w:val="20"/>
                <w:lang w:eastAsia="en-US"/>
              </w:rPr>
              <w:t>NARM Annex</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84465D" w14:textId="44F7C6E9" w:rsidR="0084535B" w:rsidRDefault="0084535B">
            <w:pPr>
              <w:pStyle w:val="NormalWeb"/>
              <w:spacing w:before="0" w:beforeAutospacing="0" w:after="200" w:afterAutospacing="0" w:line="276" w:lineRule="auto"/>
              <w:rPr>
                <w:rFonts w:eastAsia="Times New Roman"/>
              </w:rPr>
            </w:pPr>
            <w:r>
              <w:rPr>
                <w:rFonts w:eastAsia="Times New Roman"/>
              </w:rPr>
              <w:t xml:space="preserve">Please could the Ofgem confirm the intentions for asset deterioration as there are two contradictory statements in the NARM Annex? </w:t>
            </w:r>
          </w:p>
          <w:p w14:paraId="2913A04F" w14:textId="712EE8F4" w:rsidR="0084535B" w:rsidRDefault="0084535B">
            <w:pPr>
              <w:pStyle w:val="NormalWeb"/>
              <w:spacing w:before="0" w:beforeAutospacing="0" w:after="200" w:afterAutospacing="0" w:line="276" w:lineRule="auto"/>
              <w:rPr>
                <w:rFonts w:eastAsia="Times New Roman"/>
              </w:rPr>
            </w:pPr>
            <w:r>
              <w:rPr>
                <w:rFonts w:eastAsia="Times New Roman"/>
              </w:rPr>
              <w:t xml:space="preserve">In the main document section 4.25 </w:t>
            </w:r>
            <w:r w:rsidR="003F468B">
              <w:rPr>
                <w:rFonts w:eastAsia="Times New Roman"/>
              </w:rPr>
              <w:t xml:space="preserve">(p27) </w:t>
            </w:r>
            <w:r>
              <w:rPr>
                <w:rFonts w:eastAsia="Times New Roman"/>
              </w:rPr>
              <w:t xml:space="preserve">it is stated that deterioration will now be normalised and no longer feed into a revised unit cost per risk benefit. </w:t>
            </w:r>
          </w:p>
          <w:p w14:paraId="32D4EFB3" w14:textId="77777777" w:rsidR="0084535B" w:rsidRPr="0084535B" w:rsidRDefault="0084535B" w:rsidP="0084535B">
            <w:pPr>
              <w:autoSpaceDE w:val="0"/>
              <w:autoSpaceDN w:val="0"/>
              <w:adjustRightInd w:val="0"/>
              <w:spacing w:after="0" w:line="240" w:lineRule="auto"/>
              <w:rPr>
                <w:rFonts w:cs="Verdana"/>
                <w:color w:val="000000"/>
                <w:sz w:val="24"/>
                <w:szCs w:val="24"/>
              </w:rPr>
            </w:pPr>
          </w:p>
          <w:p w14:paraId="488912ED" w14:textId="5FE7B432" w:rsidR="0084535B" w:rsidRPr="0084535B" w:rsidRDefault="0084535B" w:rsidP="0084535B">
            <w:pPr>
              <w:pStyle w:val="ListParagraph"/>
              <w:numPr>
                <w:ilvl w:val="1"/>
                <w:numId w:val="8"/>
              </w:numPr>
              <w:autoSpaceDE w:val="0"/>
              <w:autoSpaceDN w:val="0"/>
              <w:adjustRightInd w:val="0"/>
              <w:spacing w:after="0" w:line="240" w:lineRule="auto"/>
              <w:rPr>
                <w:rFonts w:cs="Verdana"/>
                <w:color w:val="000000"/>
                <w:szCs w:val="20"/>
              </w:rPr>
            </w:pPr>
            <w:r>
              <w:rPr>
                <w:rFonts w:cs="Verdana"/>
                <w:color w:val="000000"/>
                <w:szCs w:val="20"/>
              </w:rPr>
              <w:t xml:space="preserve">“ </w:t>
            </w:r>
            <w:r w:rsidRPr="0084535B">
              <w:rPr>
                <w:rFonts w:cs="Verdana"/>
                <w:color w:val="000000"/>
                <w:szCs w:val="20"/>
              </w:rPr>
              <w:t>As we will be applying a 0% DAF for all of the sectors, we have decided to revised the approach to dealing with changes in deterioration from forecast from that proposed in Draft Determinations, i.e. that they would be normalised prior to the application of the NARM Funding Adjustment and Penalty Mechanism.</w:t>
            </w:r>
            <w:r>
              <w:rPr>
                <w:rFonts w:cs="Verdana"/>
                <w:color w:val="000000"/>
                <w:szCs w:val="20"/>
              </w:rPr>
              <w:t>”</w:t>
            </w:r>
            <w:r w:rsidRPr="0084535B">
              <w:rPr>
                <w:rFonts w:cs="Verdana"/>
                <w:color w:val="000000"/>
                <w:szCs w:val="20"/>
              </w:rPr>
              <w:t xml:space="preserve"> </w:t>
            </w:r>
          </w:p>
          <w:p w14:paraId="2096156C" w14:textId="77777777" w:rsidR="0084535B" w:rsidRDefault="0084535B">
            <w:pPr>
              <w:pStyle w:val="NormalWeb"/>
              <w:spacing w:before="0" w:beforeAutospacing="0" w:after="200" w:afterAutospacing="0" w:line="276" w:lineRule="auto"/>
              <w:rPr>
                <w:rFonts w:eastAsia="Times New Roman"/>
              </w:rPr>
            </w:pPr>
          </w:p>
          <w:p w14:paraId="0CB88F0A" w14:textId="631312B3" w:rsidR="00EA1559" w:rsidRDefault="0084535B">
            <w:pPr>
              <w:pStyle w:val="NormalWeb"/>
              <w:spacing w:before="0" w:beforeAutospacing="0" w:after="200" w:afterAutospacing="0" w:line="276" w:lineRule="auto"/>
              <w:rPr>
                <w:rFonts w:eastAsia="Times New Roman"/>
              </w:rPr>
            </w:pPr>
            <w:r>
              <w:rPr>
                <w:rFonts w:eastAsia="Times New Roman"/>
              </w:rPr>
              <w:t xml:space="preserve">However, in the Appendix the </w:t>
            </w:r>
            <w:r w:rsidR="003F468B">
              <w:rPr>
                <w:rFonts w:eastAsia="Times New Roman"/>
              </w:rPr>
              <w:t xml:space="preserve">position appears to be reversed, </w:t>
            </w:r>
            <w:r>
              <w:rPr>
                <w:rFonts w:eastAsia="Times New Roman"/>
              </w:rPr>
              <w:t>in para 1.7</w:t>
            </w:r>
            <w:r w:rsidR="003F468B">
              <w:rPr>
                <w:rFonts w:eastAsia="Times New Roman"/>
              </w:rPr>
              <w:t xml:space="preserve"> (p43)</w:t>
            </w:r>
            <w:r>
              <w:rPr>
                <w:rFonts w:eastAsia="Times New Roman"/>
              </w:rPr>
              <w:t>:</w:t>
            </w:r>
          </w:p>
          <w:p w14:paraId="1EB5DDDE" w14:textId="3D1A4230" w:rsidR="0084535B" w:rsidRDefault="0084535B" w:rsidP="0084535B">
            <w:pPr>
              <w:pStyle w:val="Default"/>
              <w:rPr>
                <w:sz w:val="20"/>
                <w:szCs w:val="20"/>
              </w:rPr>
            </w:pPr>
            <w:r>
              <w:t>“</w:t>
            </w:r>
            <w:r>
              <w:rPr>
                <w:sz w:val="20"/>
                <w:szCs w:val="20"/>
              </w:rPr>
              <w:t>1.7. Faster or slower deterioration than forecast will be treated in the same way as asset/work substitutions through using a revised Unit Cost of Risk (UCR) Benefit to determine the final NARM allowance. Lower deterioration than forecast should be allowed to feed through to a higher UCR where there is a justified over- or under-delivery in line with removing the UCR cap in these cases.”</w:t>
            </w:r>
          </w:p>
          <w:p w14:paraId="4E32D44A" w14:textId="2431272C" w:rsidR="0084535B" w:rsidRPr="00EA1559" w:rsidRDefault="0084535B">
            <w:pPr>
              <w:pStyle w:val="NormalWeb"/>
              <w:spacing w:before="0" w:beforeAutospacing="0" w:after="200" w:afterAutospacing="0" w:line="276" w:lineRule="auto"/>
              <w:rPr>
                <w:rFonts w:ascii="Verdana" w:hAnsi="Verdana"/>
                <w:sz w:val="20"/>
                <w:szCs w:val="20"/>
                <w:lang w:eastAsia="en-US"/>
              </w:rPr>
            </w:pP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[Yes/</w:t>
            </w:r>
            <w:r w:rsidRPr="0084535B">
              <w:rPr>
                <w:rFonts w:ascii="Arial" w:hAnsi="Arial" w:cs="Arial"/>
                <w:sz w:val="20"/>
                <w:szCs w:val="20"/>
                <w:highlight w:val="yellow"/>
                <w:lang w:eastAsia="en-US"/>
              </w:rPr>
              <w:t>No</w:t>
            </w:r>
            <w:r w:rsidRPr="00EA1559">
              <w:rPr>
                <w:rFonts w:ascii="Arial" w:hAnsi="Arial" w:cs="Arial"/>
                <w:sz w:val="20"/>
                <w:szCs w:val="20"/>
                <w:lang w:eastAsia="en-US"/>
              </w:rPr>
              <w:t>]</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7B93AE8A" w:rsidR="00EA1559" w:rsidRPr="00EA1559" w:rsidRDefault="0084535B">
            <w:pPr>
              <w:pStyle w:val="NormalWeb"/>
              <w:spacing w:after="200" w:afterAutospacing="0" w:line="276" w:lineRule="auto"/>
              <w:rPr>
                <w:rFonts w:ascii="Verdana" w:hAnsi="Verdana"/>
                <w:sz w:val="20"/>
                <w:szCs w:val="20"/>
                <w:lang w:eastAsia="en-US"/>
              </w:rPr>
            </w:pPr>
            <w:bookmarkStart w:id="0" w:name="OLE_LINK1"/>
            <w:r>
              <w:rPr>
                <w:rFonts w:ascii="Verdana" w:hAnsi="Verdana"/>
                <w:sz w:val="20"/>
                <w:szCs w:val="20"/>
                <w:lang w:eastAsia="en-US"/>
              </w:rPr>
              <w:t xml:space="preserve">Josh Bagdatlioglu </w:t>
            </w:r>
            <w:bookmarkEnd w:id="0"/>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3361F7F8" w:rsidR="00EA1559" w:rsidRPr="00EA1559" w:rsidRDefault="0091273B">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10/12/20</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3E4DA456" w:rsidR="0091273B" w:rsidRPr="00EA1559" w:rsidRDefault="0091273B">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15/12/20</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lastRenderedPageBreak/>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2A557A"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7AFBD214" w14:textId="77777777" w:rsidR="00DF7FF2" w:rsidRDefault="00DF7FF2">
            <w:pPr>
              <w:rPr>
                <w:rFonts w:ascii="Arial" w:hAnsi="Arial" w:cs="Arial"/>
                <w:szCs w:val="20"/>
              </w:rPr>
            </w:pPr>
            <w:r>
              <w:rPr>
                <w:rFonts w:ascii="Arial" w:hAnsi="Arial" w:cs="Arial"/>
                <w:szCs w:val="20"/>
              </w:rPr>
              <w:t xml:space="preserve">The statement in paragraph 4.25 is the correct one.  </w:t>
            </w:r>
          </w:p>
          <w:p w14:paraId="77CBA921" w14:textId="77777777" w:rsidR="00DF7FF2" w:rsidRDefault="00DF7FF2">
            <w:pPr>
              <w:rPr>
                <w:rFonts w:ascii="Arial" w:hAnsi="Arial" w:cs="Arial"/>
                <w:szCs w:val="20"/>
              </w:rPr>
            </w:pPr>
            <w:r>
              <w:rPr>
                <w:rFonts w:ascii="Arial" w:hAnsi="Arial" w:cs="Arial"/>
                <w:szCs w:val="20"/>
              </w:rPr>
              <w:t xml:space="preserve">Paragraph 1.7 of Appendix 3 should not have been included.  It was a legacy from an earlier version, prior to zero DAF being set for all sectors.  </w:t>
            </w:r>
          </w:p>
          <w:p w14:paraId="7E80A00E" w14:textId="745E9D9B" w:rsidR="00DF7FF2" w:rsidRPr="00EA1559" w:rsidRDefault="00DF7FF2">
            <w:pPr>
              <w:rPr>
                <w:rFonts w:ascii="Arial" w:hAnsi="Arial" w:cs="Arial"/>
                <w:szCs w:val="20"/>
              </w:rPr>
            </w:pPr>
            <w:r>
              <w:rPr>
                <w:rFonts w:ascii="Arial" w:hAnsi="Arial" w:cs="Arial"/>
                <w:szCs w:val="20"/>
              </w:rPr>
              <w:t xml:space="preserve">The error will be corrected in the next issue of the FD documents.  </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AFCF6" w14:textId="77777777" w:rsidR="00D135F1" w:rsidRDefault="00D135F1" w:rsidP="00526623">
      <w:pPr>
        <w:spacing w:after="0" w:line="240" w:lineRule="auto"/>
      </w:pPr>
      <w:r>
        <w:separator/>
      </w:r>
    </w:p>
  </w:endnote>
  <w:endnote w:type="continuationSeparator" w:id="0">
    <w:p w14:paraId="2BBEB567" w14:textId="77777777" w:rsidR="00D135F1" w:rsidRDefault="00D135F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6B8F1" w14:textId="77777777" w:rsidR="00D135F1" w:rsidRDefault="00D135F1" w:rsidP="00526623">
      <w:pPr>
        <w:spacing w:after="0" w:line="240" w:lineRule="auto"/>
      </w:pPr>
      <w:r>
        <w:separator/>
      </w:r>
    </w:p>
  </w:footnote>
  <w:footnote w:type="continuationSeparator" w:id="0">
    <w:p w14:paraId="7A3A5E48" w14:textId="77777777" w:rsidR="00D135F1" w:rsidRDefault="00D135F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B39150"/>
    <w:multiLevelType w:val="hybridMultilevel"/>
    <w:tmpl w:val="B43B4E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8B93C9"/>
    <w:multiLevelType w:val="hybridMultilevel"/>
    <w:tmpl w:val="BA0CFE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F3C1855"/>
    <w:multiLevelType w:val="multilevel"/>
    <w:tmpl w:val="4A621E06"/>
    <w:lvl w:ilvl="0">
      <w:start w:val="4"/>
      <w:numFmt w:val="decimal"/>
      <w:lvlText w:val="%1"/>
      <w:lvlJc w:val="left"/>
      <w:pPr>
        <w:ind w:left="458" w:hanging="458"/>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5"/>
  </w:num>
  <w:num w:numId="5">
    <w:abstractNumId w:val="4"/>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B0536"/>
    <w:rsid w:val="000E5B6D"/>
    <w:rsid w:val="0010126C"/>
    <w:rsid w:val="00107296"/>
    <w:rsid w:val="00133BD9"/>
    <w:rsid w:val="00133CFC"/>
    <w:rsid w:val="00172809"/>
    <w:rsid w:val="001D0151"/>
    <w:rsid w:val="00206D5F"/>
    <w:rsid w:val="002707B1"/>
    <w:rsid w:val="00281066"/>
    <w:rsid w:val="0029026B"/>
    <w:rsid w:val="00291D51"/>
    <w:rsid w:val="00293724"/>
    <w:rsid w:val="002A4AD8"/>
    <w:rsid w:val="002B4955"/>
    <w:rsid w:val="002E3EFB"/>
    <w:rsid w:val="00300FB4"/>
    <w:rsid w:val="00302CCA"/>
    <w:rsid w:val="003043A4"/>
    <w:rsid w:val="00342E6F"/>
    <w:rsid w:val="003452B0"/>
    <w:rsid w:val="00360385"/>
    <w:rsid w:val="00385085"/>
    <w:rsid w:val="003B3576"/>
    <w:rsid w:val="003F465C"/>
    <w:rsid w:val="003F468B"/>
    <w:rsid w:val="00400822"/>
    <w:rsid w:val="0047108D"/>
    <w:rsid w:val="00485D6A"/>
    <w:rsid w:val="004C4D2B"/>
    <w:rsid w:val="004D0311"/>
    <w:rsid w:val="004D1F2F"/>
    <w:rsid w:val="00503895"/>
    <w:rsid w:val="00526623"/>
    <w:rsid w:val="00526A8E"/>
    <w:rsid w:val="00532586"/>
    <w:rsid w:val="00534E92"/>
    <w:rsid w:val="00536220"/>
    <w:rsid w:val="00584F30"/>
    <w:rsid w:val="00586A8E"/>
    <w:rsid w:val="005927B6"/>
    <w:rsid w:val="005A506C"/>
    <w:rsid w:val="005A74DE"/>
    <w:rsid w:val="005E2894"/>
    <w:rsid w:val="0060723D"/>
    <w:rsid w:val="006224F4"/>
    <w:rsid w:val="006279ED"/>
    <w:rsid w:val="006847DA"/>
    <w:rsid w:val="006B26DE"/>
    <w:rsid w:val="006E4411"/>
    <w:rsid w:val="00716508"/>
    <w:rsid w:val="00721734"/>
    <w:rsid w:val="007400B7"/>
    <w:rsid w:val="00753976"/>
    <w:rsid w:val="007572D8"/>
    <w:rsid w:val="007649AC"/>
    <w:rsid w:val="00772D1E"/>
    <w:rsid w:val="007974DA"/>
    <w:rsid w:val="007B29A9"/>
    <w:rsid w:val="007C2E37"/>
    <w:rsid w:val="007D7648"/>
    <w:rsid w:val="007E30C4"/>
    <w:rsid w:val="008170C7"/>
    <w:rsid w:val="0084535B"/>
    <w:rsid w:val="00845396"/>
    <w:rsid w:val="0085400C"/>
    <w:rsid w:val="008A5062"/>
    <w:rsid w:val="008B3636"/>
    <w:rsid w:val="008B7043"/>
    <w:rsid w:val="008C5A35"/>
    <w:rsid w:val="0091273B"/>
    <w:rsid w:val="00924DEC"/>
    <w:rsid w:val="00935000"/>
    <w:rsid w:val="00937BF5"/>
    <w:rsid w:val="00942721"/>
    <w:rsid w:val="00945C7C"/>
    <w:rsid w:val="00946125"/>
    <w:rsid w:val="009762C9"/>
    <w:rsid w:val="009845A8"/>
    <w:rsid w:val="009B26A0"/>
    <w:rsid w:val="009B7577"/>
    <w:rsid w:val="009D4F56"/>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82400"/>
    <w:rsid w:val="00B86DDF"/>
    <w:rsid w:val="00BA4154"/>
    <w:rsid w:val="00BA5A79"/>
    <w:rsid w:val="00BB4793"/>
    <w:rsid w:val="00BB56A8"/>
    <w:rsid w:val="00BB682C"/>
    <w:rsid w:val="00BD48A8"/>
    <w:rsid w:val="00C10D99"/>
    <w:rsid w:val="00C57345"/>
    <w:rsid w:val="00C814D0"/>
    <w:rsid w:val="00C81B4C"/>
    <w:rsid w:val="00C934A5"/>
    <w:rsid w:val="00CA4297"/>
    <w:rsid w:val="00CC7214"/>
    <w:rsid w:val="00CF22EF"/>
    <w:rsid w:val="00D135F1"/>
    <w:rsid w:val="00D1736D"/>
    <w:rsid w:val="00D50036"/>
    <w:rsid w:val="00D53135"/>
    <w:rsid w:val="00D81399"/>
    <w:rsid w:val="00D815E6"/>
    <w:rsid w:val="00DA4D94"/>
    <w:rsid w:val="00DA67E5"/>
    <w:rsid w:val="00DF7FF2"/>
    <w:rsid w:val="00E040EA"/>
    <w:rsid w:val="00E11C0E"/>
    <w:rsid w:val="00E346B6"/>
    <w:rsid w:val="00E525E0"/>
    <w:rsid w:val="00E55A7F"/>
    <w:rsid w:val="00E566F5"/>
    <w:rsid w:val="00EA1559"/>
    <w:rsid w:val="00EB123E"/>
    <w:rsid w:val="00EB179A"/>
    <w:rsid w:val="00EB2613"/>
    <w:rsid w:val="00EE1C79"/>
    <w:rsid w:val="00EE2493"/>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EA1559"/>
    <w:pPr>
      <w:spacing w:before="100" w:beforeAutospacing="1" w:after="100" w:afterAutospacing="1" w:line="240" w:lineRule="auto"/>
    </w:pPr>
    <w:rPr>
      <w:rFonts w:ascii="Calibri" w:hAnsi="Calibri" w:cs="Calibri"/>
      <w:sz w:val="22"/>
      <w:lang w:eastAsia="en-GB"/>
    </w:rPr>
  </w:style>
  <w:style w:type="paragraph" w:customStyle="1" w:styleId="Default">
    <w:name w:val="Default"/>
    <w:rsid w:val="0084535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D303976F-8BDC-4BD6-8E06-AB03ED7C0D51}"/>
</file>

<file path=customXml/itemProps4.xml><?xml version="1.0" encoding="utf-8"?>
<ds:datastoreItem xmlns:ds="http://schemas.openxmlformats.org/officeDocument/2006/customXml" ds:itemID="{A8BC6BF5-7646-4F18-A410-BF172DD6AAE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50888B5B-7EA1-4F8E-8176-14FBB09951A7}"/>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Daniel Kyei</cp:lastModifiedBy>
  <cp:revision>2</cp:revision>
  <dcterms:created xsi:type="dcterms:W3CDTF">2020-12-15T10:36:00Z</dcterms:created>
  <dcterms:modified xsi:type="dcterms:W3CDTF">2020-12-15T10:36:00Z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