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"/>
        <w:gridCol w:w="14"/>
        <w:gridCol w:w="1953"/>
        <w:gridCol w:w="6688"/>
        <w:gridCol w:w="215"/>
      </w:tblGrid>
      <w:tr w:rsidR="00133BD9" w:rsidRPr="00876240" w14:paraId="373E21CB" w14:textId="77777777" w:rsidTr="00AD40B8">
        <w:trPr>
          <w:gridAfter w:val="1"/>
          <w:wAfter w:w="119" w:type="pct"/>
          <w:trHeight w:val="315"/>
        </w:trPr>
        <w:tc>
          <w:tcPr>
            <w:tcW w:w="48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75C513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AD40B8">
        <w:trPr>
          <w:gridBefore w:val="1"/>
          <w:wBefore w:w="86" w:type="pct"/>
          <w:trHeight w:val="315"/>
        </w:trPr>
        <w:tc>
          <w:tcPr>
            <w:tcW w:w="4914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480307FC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94" w:type="pct"/>
            <w:gridSpan w:val="2"/>
            <w:vAlign w:val="center"/>
            <w:hideMark/>
          </w:tcPr>
          <w:p w14:paraId="18DB2B8C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2617E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2EB20" w14:textId="23D39CB6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 </w:t>
            </w:r>
            <w:r w:rsidR="0028399B">
              <w:rPr>
                <w:rFonts w:ascii="Arial" w:hAnsi="Arial" w:cs="Arial"/>
                <w:sz w:val="20"/>
                <w:szCs w:val="20"/>
                <w:lang w:eastAsia="en-US"/>
              </w:rPr>
              <w:t>28 Addendum</w:t>
            </w: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A1559" w:rsidRPr="00EA1559" w14:paraId="4B7E5F32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</w:tcPr>
          <w:p w14:paraId="375634D3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55A2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10374" w14:textId="16623764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High</w:t>
            </w:r>
            <w:r w:rsidR="00283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Technical Error</w:t>
            </w:r>
          </w:p>
        </w:tc>
      </w:tr>
      <w:tr w:rsidR="00EA1559" w:rsidRPr="00EA1559" w14:paraId="2F0A6AFD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  <w:hideMark/>
          </w:tcPr>
          <w:p w14:paraId="4A16CF50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C1B3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CB6B8" w14:textId="4B3AFE76" w:rsidR="00EA1559" w:rsidRPr="00EA1559" w:rsidRDefault="0028399B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FD Modelling Suite, CSV file</w:t>
            </w:r>
          </w:p>
        </w:tc>
      </w:tr>
      <w:tr w:rsidR="00EA1559" w:rsidRPr="00EA1559" w14:paraId="6758137B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  <w:hideMark/>
          </w:tcPr>
          <w:p w14:paraId="3DB743F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AB8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2340" w14:textId="607FEA28" w:rsidR="00EA1559" w:rsidRPr="00EA1559" w:rsidRDefault="0028399B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LTS Diversions, impact on CSV weights</w:t>
            </w:r>
          </w:p>
        </w:tc>
      </w:tr>
      <w:tr w:rsidR="00EA1559" w:rsidRPr="00EA1559" w14:paraId="0F06F014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  <w:hideMark/>
          </w:tcPr>
          <w:p w14:paraId="38F04F98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A41F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4CABC" w14:textId="2AF6CC8F" w:rsidR="00FD655E" w:rsidRDefault="00FD655E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This SQ is an Addendum to our FDQ28, LTS diversions, as it represents a knock-on impact of that change.</w:t>
            </w:r>
          </w:p>
          <w:p w14:paraId="66C0F305" w14:textId="69099778" w:rsidR="0028399B" w:rsidRDefault="0028399B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Paragraph 1.30 of the Step by Step Guide states that the CSV weights </w:t>
            </w:r>
            <w:r w:rsidRPr="0028399B">
              <w:rPr>
                <w:rFonts w:ascii="Verdana" w:hAnsi="Verdana"/>
                <w:i/>
                <w:sz w:val="20"/>
                <w:szCs w:val="20"/>
                <w:lang w:eastAsia="en-US"/>
              </w:rPr>
              <w:t>“were based on industry spend proportions (i.e. ratios of controllable, normalised and adjusted costs) for the disaggregated activities to which the drivers apply, with the residual weight assigned to the s</w:t>
            </w:r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>c</w:t>
            </w:r>
            <w:r w:rsidRPr="0028399B">
              <w:rPr>
                <w:rFonts w:ascii="Verdana" w:hAnsi="Verdana"/>
                <w:i/>
                <w:sz w:val="20"/>
                <w:szCs w:val="20"/>
                <w:lang w:eastAsia="en-US"/>
              </w:rPr>
              <w:t>ale driver Modern Equivalent Asset Value MEAV.”</w:t>
            </w:r>
          </w:p>
          <w:p w14:paraId="631F6E47" w14:textId="47CC4B3D" w:rsidR="0028399B" w:rsidRDefault="0028399B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We believe that the proportions of industry spend have been </w:t>
            </w:r>
            <w:r w:rsidR="00363BC9">
              <w:rPr>
                <w:rFonts w:ascii="Verdana" w:hAnsi="Verdana"/>
                <w:sz w:val="20"/>
                <w:szCs w:val="20"/>
                <w:lang w:eastAsia="en-US"/>
              </w:rPr>
              <w:t xml:space="preserve">calculated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over the full 13 year modelled period, because </w:t>
            </w:r>
            <w:r w:rsidR="004033F3">
              <w:rPr>
                <w:rFonts w:ascii="Verdana" w:hAnsi="Verdana"/>
                <w:sz w:val="20"/>
                <w:szCs w:val="20"/>
                <w:lang w:eastAsia="en-US"/>
              </w:rPr>
              <w:t xml:space="preserve">our calculation of this </w:t>
            </w:r>
            <w:r w:rsidR="00A44B23">
              <w:rPr>
                <w:rFonts w:ascii="Verdana" w:hAnsi="Verdana"/>
                <w:sz w:val="20"/>
                <w:szCs w:val="20"/>
                <w:lang w:eastAsia="en-US"/>
              </w:rPr>
              <w:t xml:space="preserve">matches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the </w:t>
            </w:r>
            <w:r w:rsidR="00A44B23">
              <w:rPr>
                <w:rFonts w:ascii="Verdana" w:hAnsi="Verdana"/>
                <w:sz w:val="20"/>
                <w:szCs w:val="20"/>
                <w:lang w:eastAsia="en-US"/>
              </w:rPr>
              <w:t xml:space="preserve">weights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used at FD.</w:t>
            </w:r>
          </w:p>
          <w:p w14:paraId="1407E423" w14:textId="32D5E462" w:rsidR="0028399B" w:rsidRDefault="00A44B23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Following the logic of </w:t>
            </w:r>
            <w:r w:rsidR="00FD655E">
              <w:rPr>
                <w:rFonts w:ascii="Verdana" w:hAnsi="Verdana"/>
                <w:sz w:val="20"/>
                <w:szCs w:val="20"/>
                <w:lang w:eastAsia="en-US"/>
              </w:rPr>
              <w:t xml:space="preserve">FDQ28, </w:t>
            </w:r>
            <w:r w:rsidR="0028399B">
              <w:rPr>
                <w:rFonts w:ascii="Verdana" w:hAnsi="Verdana"/>
                <w:sz w:val="20"/>
                <w:szCs w:val="20"/>
                <w:lang w:eastAsia="en-US"/>
              </w:rPr>
              <w:t xml:space="preserve">the LTS element of total Normalised costs reduces by </w:t>
            </w:r>
            <w:r w:rsidR="00344FE0">
              <w:rPr>
                <w:rFonts w:ascii="Verdana" w:hAnsi="Verdana"/>
                <w:sz w:val="20"/>
                <w:szCs w:val="20"/>
                <w:lang w:eastAsia="en-US"/>
              </w:rPr>
              <w:t xml:space="preserve">over </w:t>
            </w:r>
            <w:r w:rsidR="0028399B">
              <w:rPr>
                <w:rFonts w:ascii="Verdana" w:hAnsi="Verdana"/>
                <w:sz w:val="20"/>
                <w:szCs w:val="20"/>
                <w:lang w:eastAsia="en-US"/>
              </w:rPr>
              <w:t>£</w:t>
            </w:r>
            <w:r w:rsidR="00344FE0">
              <w:rPr>
                <w:rFonts w:ascii="Verdana" w:hAnsi="Verdana"/>
                <w:sz w:val="20"/>
                <w:szCs w:val="20"/>
                <w:lang w:eastAsia="en-US"/>
              </w:rPr>
              <w:t>500</w:t>
            </w:r>
            <w:r w:rsidR="0028399B">
              <w:rPr>
                <w:rFonts w:ascii="Verdana" w:hAnsi="Verdana"/>
                <w:sz w:val="20"/>
                <w:szCs w:val="20"/>
                <w:lang w:eastAsia="en-US"/>
              </w:rPr>
              <w:t>m in RIIO</w:t>
            </w:r>
            <w:r w:rsidR="00FD655E">
              <w:rPr>
                <w:rFonts w:ascii="Verdana" w:hAnsi="Verdana"/>
                <w:sz w:val="20"/>
                <w:szCs w:val="20"/>
                <w:lang w:eastAsia="en-US"/>
              </w:rPr>
              <w:t xml:space="preserve">-1 and RIIO-2.  This causes the residual weight applied to the MEAV scale driver to fall substantially, with the result that the weights applied to the other activities rise, as shown below. </w:t>
            </w:r>
          </w:p>
          <w:p w14:paraId="5289FF66" w14:textId="320C9C32" w:rsidR="00FD655E" w:rsidRDefault="00CA4A4C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A4A4C">
              <w:rPr>
                <w:rFonts w:ascii="Verdana" w:hAnsi="Verdana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3C879D14" wp14:editId="04B1BF82">
                  <wp:extent cx="3878580" cy="1653540"/>
                  <wp:effectExtent l="0" t="0" r="762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858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88C574" w14:textId="2E3160C4" w:rsidR="00FD655E" w:rsidRDefault="00CA4A4C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A</w:t>
            </w:r>
            <w:r w:rsidR="00A44B23">
              <w:rPr>
                <w:rFonts w:ascii="Verdana" w:hAnsi="Verdana"/>
                <w:sz w:val="20"/>
                <w:szCs w:val="20"/>
                <w:lang w:eastAsia="en-US"/>
              </w:rPr>
              <w:t xml:space="preserve">djusting the CSV weights to reflect the change to Normalised costs is consistent with FD’s stated approach, and has a substantial impact on allowances. </w:t>
            </w:r>
          </w:p>
          <w:p w14:paraId="513C3D31" w14:textId="052D0B8B" w:rsidR="00227F4E" w:rsidRDefault="00A44B23" w:rsidP="009A11F1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Please confirm whether you will correct this error.</w:t>
            </w:r>
            <w:r w:rsidR="00A81BA5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4E32D44A" w14:textId="188EFC49" w:rsidR="00465347" w:rsidRPr="00EA1559" w:rsidRDefault="00465347" w:rsidP="00FD655E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EA1559" w:rsidRPr="00EA1559" w14:paraId="62245FDA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</w:tcPr>
          <w:p w14:paraId="1834F6E6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0A1E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01EA5" w14:textId="7BB8C76D" w:rsidR="00EA1559" w:rsidRPr="00EA1559" w:rsidRDefault="009A6694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54B81D4E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  <w:hideMark/>
          </w:tcPr>
          <w:p w14:paraId="287E2C1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lastRenderedPageBreak/>
              <w:t> 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DB4B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B765A" w14:textId="2C374908" w:rsidR="00EA1559" w:rsidRPr="00EA1559" w:rsidRDefault="00465347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Jeremy Thomson</w:t>
            </w:r>
          </w:p>
        </w:tc>
      </w:tr>
      <w:tr w:rsidR="00EA1559" w:rsidRPr="00EA1559" w14:paraId="0EB58529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  <w:hideMark/>
          </w:tcPr>
          <w:p w14:paraId="3649258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1B756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32B6C" w14:textId="713BF324" w:rsidR="00EA1559" w:rsidRPr="00EA1559" w:rsidRDefault="009A6694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13 January 2021</w:t>
            </w:r>
          </w:p>
        </w:tc>
      </w:tr>
      <w:tr w:rsidR="00EA1559" w:rsidRPr="00EA1559" w14:paraId="7C5A2141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94" w:type="pct"/>
            <w:gridSpan w:val="2"/>
            <w:vAlign w:val="center"/>
            <w:hideMark/>
          </w:tcPr>
          <w:p w14:paraId="64C22ED7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BC9B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38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75D7B" w14:textId="23BB8967" w:rsidR="00EA1559" w:rsidRPr="00EA1559" w:rsidRDefault="009A6694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15 January 2021</w:t>
            </w:r>
          </w:p>
        </w:tc>
      </w:tr>
      <w:tr w:rsidR="00EA1559" w:rsidRPr="00EA1559" w14:paraId="7DF5578E" w14:textId="77777777" w:rsidTr="00AD4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94" w:type="pct"/>
            <w:gridSpan w:val="2"/>
            <w:vAlign w:val="center"/>
            <w:hideMark/>
          </w:tcPr>
          <w:p w14:paraId="28BAB84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490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BFA12" w14:textId="5A49EBAF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278938EA" w14:textId="77777777" w:rsidTr="003F48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94" w:type="pct"/>
            <w:gridSpan w:val="2"/>
            <w:vAlign w:val="center"/>
            <w:hideMark/>
          </w:tcPr>
          <w:p w14:paraId="482CECAE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490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2A75F" w14:textId="77777777" w:rsidR="00EA1559" w:rsidRDefault="00EA1559">
            <w:pPr>
              <w:rPr>
                <w:rFonts w:ascii="Arial" w:hAnsi="Arial" w:cs="Arial"/>
                <w:b/>
                <w:bCs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7B53522A" w14:textId="77777777" w:rsidR="003F482A" w:rsidRDefault="003F482A" w:rsidP="003F48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Please refer to our response to Cadent_FDQ_28, where we set out our rationale for why we </w:t>
            </w:r>
            <w:r w:rsidRPr="003F482A">
              <w:rPr>
                <w:rFonts w:ascii="Arial" w:hAnsi="Arial" w:cs="Arial"/>
                <w:szCs w:val="20"/>
              </w:rPr>
              <w:t>do not think there is an error in our approach to assessing LTS diversions.</w:t>
            </w:r>
          </w:p>
          <w:p w14:paraId="7E80A00E" w14:textId="31CEB7D1" w:rsidR="00412056" w:rsidRPr="003F482A" w:rsidRDefault="00412056" w:rsidP="003F48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Given there will not be changes to normalised costs on this basis, it is not necessary to amend the weights assigned to the components of the totex CSV</w:t>
            </w:r>
            <w:r w:rsidR="00BF4C26">
              <w:rPr>
                <w:rFonts w:ascii="Arial" w:hAnsi="Arial" w:cs="Arial"/>
                <w:szCs w:val="20"/>
              </w:rPr>
              <w:t xml:space="preserve"> (including MEAV)</w:t>
            </w:r>
            <w:r>
              <w:rPr>
                <w:rFonts w:ascii="Arial" w:hAnsi="Arial" w:cs="Arial"/>
                <w:szCs w:val="20"/>
              </w:rPr>
              <w:t xml:space="preserve">. However, please note that changes to the CSV weights might still occur as a result of the correction of </w:t>
            </w:r>
            <w:r w:rsidR="00100DBD" w:rsidRPr="00100DBD">
              <w:rPr>
                <w:rFonts w:ascii="Arial" w:hAnsi="Arial" w:cs="Arial"/>
                <w:szCs w:val="20"/>
              </w:rPr>
              <w:t>accepted technical errors under the FDQ process</w:t>
            </w:r>
            <w:r w:rsidR="00100DBD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affecting normalised costs.</w:t>
            </w:r>
          </w:p>
        </w:tc>
      </w:tr>
    </w:tbl>
    <w:p w14:paraId="373E21F4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A8982" w14:textId="77777777" w:rsidR="007C7AEA" w:rsidRDefault="007C7AEA" w:rsidP="00526623">
      <w:pPr>
        <w:spacing w:after="0" w:line="240" w:lineRule="auto"/>
      </w:pPr>
      <w:r>
        <w:separator/>
      </w:r>
    </w:p>
  </w:endnote>
  <w:endnote w:type="continuationSeparator" w:id="0">
    <w:p w14:paraId="1DF305F3" w14:textId="77777777" w:rsidR="007C7AEA" w:rsidRDefault="007C7AE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9282A" w14:textId="77777777" w:rsidR="007C7AEA" w:rsidRDefault="007C7AEA" w:rsidP="00526623">
      <w:pPr>
        <w:spacing w:after="0" w:line="240" w:lineRule="auto"/>
      </w:pPr>
      <w:r>
        <w:separator/>
      </w:r>
    </w:p>
  </w:footnote>
  <w:footnote w:type="continuationSeparator" w:id="0">
    <w:p w14:paraId="51447B57" w14:textId="77777777" w:rsidR="007C7AEA" w:rsidRDefault="007C7AE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41F8D"/>
    <w:multiLevelType w:val="hybridMultilevel"/>
    <w:tmpl w:val="E92CD40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FB0721"/>
    <w:multiLevelType w:val="hybridMultilevel"/>
    <w:tmpl w:val="46EE9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E5B6D"/>
    <w:rsid w:val="00100DBD"/>
    <w:rsid w:val="0010126C"/>
    <w:rsid w:val="00107296"/>
    <w:rsid w:val="00133BD9"/>
    <w:rsid w:val="00133CFC"/>
    <w:rsid w:val="00172809"/>
    <w:rsid w:val="001D0151"/>
    <w:rsid w:val="001D095B"/>
    <w:rsid w:val="00206D5F"/>
    <w:rsid w:val="00227F4E"/>
    <w:rsid w:val="002707B1"/>
    <w:rsid w:val="00281066"/>
    <w:rsid w:val="0028399B"/>
    <w:rsid w:val="00287787"/>
    <w:rsid w:val="00291D51"/>
    <w:rsid w:val="00293724"/>
    <w:rsid w:val="002A4AD8"/>
    <w:rsid w:val="002B4955"/>
    <w:rsid w:val="002E3EFB"/>
    <w:rsid w:val="00300FB4"/>
    <w:rsid w:val="003043A4"/>
    <w:rsid w:val="00342E6F"/>
    <w:rsid w:val="00344FE0"/>
    <w:rsid w:val="003452B0"/>
    <w:rsid w:val="00360385"/>
    <w:rsid w:val="00363BC9"/>
    <w:rsid w:val="00385085"/>
    <w:rsid w:val="00393F02"/>
    <w:rsid w:val="003B3576"/>
    <w:rsid w:val="003F465C"/>
    <w:rsid w:val="003F482A"/>
    <w:rsid w:val="00400822"/>
    <w:rsid w:val="004033F3"/>
    <w:rsid w:val="00412056"/>
    <w:rsid w:val="004306C6"/>
    <w:rsid w:val="00465347"/>
    <w:rsid w:val="0047108D"/>
    <w:rsid w:val="004C4D2B"/>
    <w:rsid w:val="004D0311"/>
    <w:rsid w:val="004D1F2F"/>
    <w:rsid w:val="004D78CF"/>
    <w:rsid w:val="00503895"/>
    <w:rsid w:val="00526623"/>
    <w:rsid w:val="00526A8E"/>
    <w:rsid w:val="00534E92"/>
    <w:rsid w:val="00536220"/>
    <w:rsid w:val="00584F30"/>
    <w:rsid w:val="00586A8E"/>
    <w:rsid w:val="005927B6"/>
    <w:rsid w:val="00592DFD"/>
    <w:rsid w:val="005A506C"/>
    <w:rsid w:val="005A74DE"/>
    <w:rsid w:val="005E2894"/>
    <w:rsid w:val="0060723D"/>
    <w:rsid w:val="006224F4"/>
    <w:rsid w:val="006279ED"/>
    <w:rsid w:val="006847DA"/>
    <w:rsid w:val="006B26DE"/>
    <w:rsid w:val="006E4411"/>
    <w:rsid w:val="006F76D1"/>
    <w:rsid w:val="00716508"/>
    <w:rsid w:val="00721734"/>
    <w:rsid w:val="007400B7"/>
    <w:rsid w:val="00753976"/>
    <w:rsid w:val="007572D8"/>
    <w:rsid w:val="007649AC"/>
    <w:rsid w:val="00772D1E"/>
    <w:rsid w:val="00790754"/>
    <w:rsid w:val="007974DA"/>
    <w:rsid w:val="007B29A9"/>
    <w:rsid w:val="007C2E37"/>
    <w:rsid w:val="007C7AEA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8F59AB"/>
    <w:rsid w:val="00924DEC"/>
    <w:rsid w:val="00935000"/>
    <w:rsid w:val="00937BF5"/>
    <w:rsid w:val="00942721"/>
    <w:rsid w:val="00945C7C"/>
    <w:rsid w:val="00946125"/>
    <w:rsid w:val="00966E1C"/>
    <w:rsid w:val="009762C9"/>
    <w:rsid w:val="00977C70"/>
    <w:rsid w:val="009845A8"/>
    <w:rsid w:val="009A11F1"/>
    <w:rsid w:val="009A6694"/>
    <w:rsid w:val="009B26A0"/>
    <w:rsid w:val="009B7577"/>
    <w:rsid w:val="009D4F56"/>
    <w:rsid w:val="00A054D1"/>
    <w:rsid w:val="00A0584E"/>
    <w:rsid w:val="00A06191"/>
    <w:rsid w:val="00A44B23"/>
    <w:rsid w:val="00A56CF3"/>
    <w:rsid w:val="00A77899"/>
    <w:rsid w:val="00A81BA5"/>
    <w:rsid w:val="00A922CF"/>
    <w:rsid w:val="00AC6418"/>
    <w:rsid w:val="00AD40B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BF4C26"/>
    <w:rsid w:val="00C10D99"/>
    <w:rsid w:val="00C57345"/>
    <w:rsid w:val="00C6441C"/>
    <w:rsid w:val="00C814D0"/>
    <w:rsid w:val="00C81B4C"/>
    <w:rsid w:val="00CA4297"/>
    <w:rsid w:val="00CA4A4C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73DE2"/>
    <w:rsid w:val="00EA1559"/>
    <w:rsid w:val="00EB123E"/>
    <w:rsid w:val="00EB179A"/>
    <w:rsid w:val="00EB2613"/>
    <w:rsid w:val="00EE1C79"/>
    <w:rsid w:val="00EE2493"/>
    <w:rsid w:val="00F129C1"/>
    <w:rsid w:val="00F16FE2"/>
    <w:rsid w:val="00F20F23"/>
    <w:rsid w:val="00F23B18"/>
    <w:rsid w:val="00F27431"/>
    <w:rsid w:val="00F31270"/>
    <w:rsid w:val="00F678C1"/>
    <w:rsid w:val="00F82AB4"/>
    <w:rsid w:val="00FB0EC9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45CE95B3-E25E-4042-B562-A2DCA428F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302844-90E7-4CA1-980E-CF697FC93B2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631298fc-6a88-4548-b7d9-3b164918c4a3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E29223-83C6-4580-B4BB-A0E8672326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revision>6</cp:revision>
  <dcterms:created xsi:type="dcterms:W3CDTF">2021-01-13T19:13:00Z</dcterms:created>
  <dcterms:modified xsi:type="dcterms:W3CDTF">2021-01-22T15:18:00Z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