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993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8579"/>
        <w:gridCol w:w="9759"/>
      </w:tblGrid>
      <w:tr w:rsidR="00133BD9" w:rsidRPr="00876240" w14:paraId="373E21CB" w14:textId="77777777" w:rsidTr="00712CA7">
        <w:trPr>
          <w:trHeight w:val="315"/>
        </w:trPr>
        <w:tc>
          <w:tcPr>
            <w:tcW w:w="19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2E3EFB" w:rsidRDefault="000F371F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SGN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712CA7">
        <w:trPr>
          <w:trHeight w:val="315"/>
        </w:trPr>
        <w:tc>
          <w:tcPr>
            <w:tcW w:w="199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712CA7">
        <w:trPr>
          <w:gridAfter w:val="1"/>
          <w:wAfter w:w="9759" w:type="dxa"/>
          <w:trHeight w:val="614"/>
        </w:trPr>
        <w:tc>
          <w:tcPr>
            <w:tcW w:w="1594" w:type="dxa"/>
            <w:shd w:val="clear" w:color="auto" w:fill="auto"/>
            <w:vAlign w:val="center"/>
            <w:hideMark/>
          </w:tcPr>
          <w:p w14:paraId="373E21CE" w14:textId="2E946EF1" w:rsidR="00133BD9" w:rsidRPr="00876240" w:rsidRDefault="00133BD9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373E21CF" w14:textId="10593129" w:rsidR="00F266D1" w:rsidRPr="00F266D1" w:rsidRDefault="00F266D1" w:rsidP="00A0584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SGN_FDQ_0</w:t>
            </w:r>
            <w:r w:rsidR="00D33121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</w:tr>
      <w:tr w:rsidR="00A06191" w:rsidRPr="00876240" w14:paraId="373E21D3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373E21D2" w14:textId="47923C78" w:rsidR="00A06191" w:rsidRPr="00004B8C" w:rsidRDefault="000E5B6D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004B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B8C" w:rsidRPr="00004B8C">
              <w:t xml:space="preserve">RIIO-2 Final Determinations </w:t>
            </w:r>
            <w:r w:rsidR="007046C3">
              <w:t xml:space="preserve"> </w:t>
            </w:r>
            <w:r w:rsidR="005317FC">
              <w:rPr>
                <w:color w:val="000000"/>
                <w:lang w:eastAsia="en-GB"/>
              </w:rPr>
              <w:t>Normalisation_</w:t>
            </w:r>
            <w:r w:rsidR="00D33121">
              <w:rPr>
                <w:color w:val="000000"/>
                <w:lang w:eastAsia="en-GB"/>
              </w:rPr>
              <w:t>NW</w:t>
            </w:r>
            <w:r w:rsidR="005317FC">
              <w:rPr>
                <w:color w:val="000000"/>
                <w:lang w:eastAsia="en-GB"/>
              </w:rPr>
              <w:t xml:space="preserve"> </w:t>
            </w:r>
            <w:r w:rsidR="002C278D">
              <w:rPr>
                <w:color w:val="000000"/>
                <w:lang w:eastAsia="en-GB"/>
              </w:rPr>
              <w:t>&amp;</w:t>
            </w:r>
            <w:r w:rsidR="005317FC">
              <w:rPr>
                <w:color w:val="000000"/>
                <w:lang w:eastAsia="en-GB"/>
              </w:rPr>
              <w:t xml:space="preserve"> Normalisation_</w:t>
            </w:r>
            <w:r w:rsidR="00D33121">
              <w:rPr>
                <w:color w:val="000000"/>
                <w:lang w:eastAsia="en-GB"/>
              </w:rPr>
              <w:t>WM</w:t>
            </w:r>
          </w:p>
        </w:tc>
      </w:tr>
      <w:tr w:rsidR="00A06191" w:rsidRPr="00876240" w14:paraId="373E21D6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373E21D5" w14:textId="4F774C90" w:rsidR="00A06191" w:rsidRPr="002C278D" w:rsidRDefault="00D33121" w:rsidP="0060723D">
            <w:r>
              <w:t>Embedded ongoing efficiency adjustment - Normalisation</w:t>
            </w:r>
          </w:p>
        </w:tc>
      </w:tr>
      <w:tr w:rsidR="00A06191" w:rsidRPr="00876240" w14:paraId="373E21D9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7BC8CE59" w14:textId="77777777" w:rsidR="003A6BEB" w:rsidRDefault="003A6BEB" w:rsidP="00004B8C">
            <w:pPr>
              <w:pStyle w:val="xmsonormal"/>
              <w:rPr>
                <w:color w:val="000000"/>
              </w:rPr>
            </w:pPr>
          </w:p>
          <w:p w14:paraId="1B46CF9C" w14:textId="505A9AD8" w:rsidR="007216EE" w:rsidRDefault="007216EE" w:rsidP="00386967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>There is a</w:t>
            </w:r>
            <w:r w:rsidR="00D33121">
              <w:rPr>
                <w:color w:val="000000"/>
              </w:rPr>
              <w:t>n</w:t>
            </w:r>
            <w:r>
              <w:rPr>
                <w:color w:val="000000"/>
              </w:rPr>
              <w:t xml:space="preserve"> error in the adjustment for embedded ongoing efficiency in tab Cal_Submit</w:t>
            </w:r>
            <w:r w:rsidR="00D33121">
              <w:rPr>
                <w:color w:val="000000"/>
              </w:rPr>
              <w:t>t</w:t>
            </w:r>
            <w:r>
              <w:rPr>
                <w:color w:val="000000"/>
              </w:rPr>
              <w:t>edCostsOEAdj in lines 15-35 (Opex categories Work Management and Work Exec</w:t>
            </w:r>
            <w:r w:rsidR="00D33121">
              <w:rPr>
                <w:color w:val="000000"/>
              </w:rPr>
              <w:t>u</w:t>
            </w:r>
            <w:r>
              <w:rPr>
                <w:color w:val="000000"/>
              </w:rPr>
              <w:t xml:space="preserve">tion). </w:t>
            </w:r>
          </w:p>
          <w:p w14:paraId="77EFA7AD" w14:textId="77777777" w:rsidR="007216EE" w:rsidRDefault="007216EE" w:rsidP="00386967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t>For these categories the increase is calculated (for example) as:</w:t>
            </w:r>
            <w:r>
              <w:rPr>
                <w:color w:val="000000"/>
              </w:rPr>
              <w:br/>
              <w:t>=Cal_SubmittedCosts!AG99*VLOOKUP($F99,Inp_SubOngoingEfficiency!$F$20:$AK$22,MATCH(AG$7,Inp_SubOngoingEfficiency!$F$7:$AK$7,0),FALSE)</w:t>
            </w:r>
          </w:p>
          <w:p w14:paraId="70774C3F" w14:textId="77777777" w:rsidR="007216EE" w:rsidRDefault="007216EE" w:rsidP="00386967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br/>
              <w:t>Whereas for GDNs (excluding NW, So, Sc) the equivalent formula is:</w:t>
            </w:r>
            <w:r>
              <w:rPr>
                <w:color w:val="000000"/>
              </w:rPr>
              <w:br/>
              <w:t>=Cal_SubmittedCosts!AG99/VLOOKUP($F99,Inp_SubOngoingEfficiency!$F$20:$AK$22,MATCH(AG$7,Inp_SubOngoingEfficiency!$F$7:$AK$7,0),FALSE)</w:t>
            </w:r>
          </w:p>
          <w:p w14:paraId="152A267E" w14:textId="5EB0534A" w:rsidR="00386967" w:rsidRDefault="007216EE" w:rsidP="00457A5F">
            <w:pPr>
              <w:pStyle w:val="xmsonormal"/>
              <w:spacing w:after="120"/>
              <w:rPr>
                <w:color w:val="000000"/>
              </w:rPr>
            </w:pPr>
            <w:r>
              <w:rPr>
                <w:color w:val="000000"/>
              </w:rPr>
              <w:br/>
              <w:t xml:space="preserve">This </w:t>
            </w:r>
            <w:r w:rsidR="00D33121">
              <w:rPr>
                <w:color w:val="000000"/>
              </w:rPr>
              <w:t>understates</w:t>
            </w:r>
            <w:r>
              <w:rPr>
                <w:color w:val="000000"/>
              </w:rPr>
              <w:t xml:space="preserve"> the embedded ongoing efficiency for </w:t>
            </w:r>
            <w:r w:rsidR="00D33121">
              <w:rPr>
                <w:color w:val="000000"/>
              </w:rPr>
              <w:t xml:space="preserve">NW and </w:t>
            </w:r>
            <w:r>
              <w:rPr>
                <w:color w:val="000000"/>
              </w:rPr>
              <w:t>WM.</w:t>
            </w:r>
            <w:r w:rsidR="00D33121">
              <w:rPr>
                <w:color w:val="000000"/>
              </w:rPr>
              <w:t xml:space="preserve"> </w:t>
            </w:r>
          </w:p>
          <w:p w14:paraId="373E21D8" w14:textId="7D04D833" w:rsidR="00DC4F39" w:rsidRPr="00004B8C" w:rsidRDefault="00DC4F39" w:rsidP="00004B8C">
            <w:pPr>
              <w:pStyle w:val="xmso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7B6" w:rsidRPr="00876240" w14:paraId="5689E132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00E00379" w14:textId="0380BCDB" w:rsidR="005927B6" w:rsidRDefault="005927B6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2CF1E278" w14:textId="7A98303F" w:rsidR="005927B6" w:rsidRPr="00A674CE" w:rsidRDefault="005927B6" w:rsidP="005927B6">
            <w:r w:rsidRPr="00A674CE">
              <w:t>No</w:t>
            </w:r>
          </w:p>
        </w:tc>
      </w:tr>
      <w:tr w:rsidR="00A06191" w:rsidRPr="00876240" w14:paraId="373E21DC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373E21DA" w14:textId="31C9A8AB" w:rsidR="00A06191" w:rsidRDefault="003F465C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F20F23">
              <w:rPr>
                <w:rFonts w:ascii="Arial" w:hAnsi="Arial" w:cs="Arial"/>
                <w:b/>
                <w:bCs/>
              </w:rPr>
              <w:t>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373E21DB" w14:textId="3A976FFF" w:rsidR="00A06191" w:rsidRPr="00876240" w:rsidRDefault="00D3312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SGN</w:t>
            </w:r>
          </w:p>
        </w:tc>
      </w:tr>
      <w:tr w:rsidR="00A06191" w:rsidRPr="00876240" w14:paraId="373E21DF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8579" w:type="dxa"/>
            <w:shd w:val="clear" w:color="auto" w:fill="auto"/>
            <w:vAlign w:val="center"/>
          </w:tcPr>
          <w:p w14:paraId="373E21DE" w14:textId="747EC9B6" w:rsidR="00F82AB4" w:rsidRPr="00876240" w:rsidRDefault="00D33121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17/12/2020</w:t>
            </w:r>
          </w:p>
        </w:tc>
      </w:tr>
      <w:tr w:rsidR="000E5B6D" w:rsidRPr="00876240" w14:paraId="237714F0" w14:textId="77777777" w:rsidTr="00712CA7">
        <w:trPr>
          <w:gridAfter w:val="1"/>
          <w:wAfter w:w="9759" w:type="dxa"/>
          <w:trHeight w:val="127"/>
        </w:trPr>
        <w:tc>
          <w:tcPr>
            <w:tcW w:w="1594" w:type="dxa"/>
            <w:shd w:val="clear" w:color="auto" w:fill="auto"/>
            <w:vAlign w:val="center"/>
          </w:tcPr>
          <w:p w14:paraId="4CD6EE6F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Response </w:t>
            </w:r>
          </w:p>
          <w:p w14:paraId="68C4F125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260FE646" w14:textId="77777777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  <w:p w14:paraId="02C5C34A" w14:textId="66640490" w:rsidR="000E5B6D" w:rsidRDefault="000E5B6D" w:rsidP="00945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79" w:type="dxa"/>
            <w:shd w:val="clear" w:color="auto" w:fill="auto"/>
            <w:vAlign w:val="center"/>
          </w:tcPr>
          <w:p w14:paraId="77E190A5" w14:textId="1261C966" w:rsidR="000E5B6D" w:rsidRPr="00876240" w:rsidRDefault="00D103E5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416DDA">
              <w:rPr>
                <w:rFonts w:ascii="Arial" w:hAnsi="Arial" w:cs="Arial"/>
                <w:szCs w:val="20"/>
              </w:rPr>
              <w:t>Thanks for pointing this out. We agree this is an error, which we will correct. We will collate all confirmed technical errors to conduct a final error corrected FD model run in January.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1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03751" w14:textId="77777777" w:rsidR="008060D7" w:rsidRDefault="008060D7" w:rsidP="00526623">
      <w:pPr>
        <w:spacing w:after="0" w:line="240" w:lineRule="auto"/>
      </w:pPr>
      <w:r>
        <w:separator/>
      </w:r>
    </w:p>
  </w:endnote>
  <w:endnote w:type="continuationSeparator" w:id="0">
    <w:p w14:paraId="37E89DF1" w14:textId="77777777" w:rsidR="008060D7" w:rsidRDefault="008060D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DEEF8" w14:textId="77777777" w:rsidR="008060D7" w:rsidRDefault="008060D7" w:rsidP="00526623">
      <w:pPr>
        <w:spacing w:after="0" w:line="240" w:lineRule="auto"/>
      </w:pPr>
      <w:r>
        <w:separator/>
      </w:r>
    </w:p>
  </w:footnote>
  <w:footnote w:type="continuationSeparator" w:id="0">
    <w:p w14:paraId="60136BFC" w14:textId="77777777" w:rsidR="008060D7" w:rsidRDefault="008060D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3427F"/>
    <w:multiLevelType w:val="hybridMultilevel"/>
    <w:tmpl w:val="85766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4B8C"/>
    <w:rsid w:val="00007AB6"/>
    <w:rsid w:val="0001551F"/>
    <w:rsid w:val="00041711"/>
    <w:rsid w:val="000436C2"/>
    <w:rsid w:val="000473D3"/>
    <w:rsid w:val="00050C54"/>
    <w:rsid w:val="000B0536"/>
    <w:rsid w:val="000C176B"/>
    <w:rsid w:val="000D609A"/>
    <w:rsid w:val="000E5B6D"/>
    <w:rsid w:val="000F371F"/>
    <w:rsid w:val="0010126C"/>
    <w:rsid w:val="00107296"/>
    <w:rsid w:val="00133BD9"/>
    <w:rsid w:val="00133CFC"/>
    <w:rsid w:val="00172809"/>
    <w:rsid w:val="00191A96"/>
    <w:rsid w:val="001B3112"/>
    <w:rsid w:val="001D0151"/>
    <w:rsid w:val="00206D5F"/>
    <w:rsid w:val="002400F7"/>
    <w:rsid w:val="002707B1"/>
    <w:rsid w:val="002874F3"/>
    <w:rsid w:val="00291D51"/>
    <w:rsid w:val="00293724"/>
    <w:rsid w:val="002A4AD8"/>
    <w:rsid w:val="002B4955"/>
    <w:rsid w:val="002C278D"/>
    <w:rsid w:val="002E3EFB"/>
    <w:rsid w:val="00300FB4"/>
    <w:rsid w:val="003043A4"/>
    <w:rsid w:val="00321B49"/>
    <w:rsid w:val="00335FE7"/>
    <w:rsid w:val="00342E6F"/>
    <w:rsid w:val="003452B0"/>
    <w:rsid w:val="00360385"/>
    <w:rsid w:val="003637FC"/>
    <w:rsid w:val="00385085"/>
    <w:rsid w:val="00386967"/>
    <w:rsid w:val="003A6BEB"/>
    <w:rsid w:val="003B3576"/>
    <w:rsid w:val="003F465C"/>
    <w:rsid w:val="00400822"/>
    <w:rsid w:val="00457A5F"/>
    <w:rsid w:val="00471B46"/>
    <w:rsid w:val="004C4D2B"/>
    <w:rsid w:val="004D0311"/>
    <w:rsid w:val="004D1F2F"/>
    <w:rsid w:val="004F26CB"/>
    <w:rsid w:val="00503895"/>
    <w:rsid w:val="00526623"/>
    <w:rsid w:val="00526A8E"/>
    <w:rsid w:val="005317FC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A0"/>
    <w:rsid w:val="006224F4"/>
    <w:rsid w:val="006279ED"/>
    <w:rsid w:val="006456A4"/>
    <w:rsid w:val="006847DA"/>
    <w:rsid w:val="006B26DE"/>
    <w:rsid w:val="006B653F"/>
    <w:rsid w:val="006D4614"/>
    <w:rsid w:val="007046C3"/>
    <w:rsid w:val="00712CA7"/>
    <w:rsid w:val="00716508"/>
    <w:rsid w:val="007216EE"/>
    <w:rsid w:val="00721734"/>
    <w:rsid w:val="007400B7"/>
    <w:rsid w:val="00753976"/>
    <w:rsid w:val="0075726F"/>
    <w:rsid w:val="007572D8"/>
    <w:rsid w:val="007649AC"/>
    <w:rsid w:val="00772D1E"/>
    <w:rsid w:val="007869B0"/>
    <w:rsid w:val="007974DA"/>
    <w:rsid w:val="007B29A9"/>
    <w:rsid w:val="007C2E37"/>
    <w:rsid w:val="007D7648"/>
    <w:rsid w:val="007E30C4"/>
    <w:rsid w:val="008060D7"/>
    <w:rsid w:val="008170C7"/>
    <w:rsid w:val="00845396"/>
    <w:rsid w:val="0085400C"/>
    <w:rsid w:val="00866F86"/>
    <w:rsid w:val="008A5062"/>
    <w:rsid w:val="008B3636"/>
    <w:rsid w:val="008B7043"/>
    <w:rsid w:val="008C4204"/>
    <w:rsid w:val="008C5A35"/>
    <w:rsid w:val="008E0632"/>
    <w:rsid w:val="00924DEC"/>
    <w:rsid w:val="00935000"/>
    <w:rsid w:val="00937BF5"/>
    <w:rsid w:val="00942721"/>
    <w:rsid w:val="00945C7C"/>
    <w:rsid w:val="00946125"/>
    <w:rsid w:val="009762C9"/>
    <w:rsid w:val="009845A8"/>
    <w:rsid w:val="009A7A81"/>
    <w:rsid w:val="009B26A0"/>
    <w:rsid w:val="009B7577"/>
    <w:rsid w:val="009D4F56"/>
    <w:rsid w:val="009D668C"/>
    <w:rsid w:val="009D6D19"/>
    <w:rsid w:val="00A054D1"/>
    <w:rsid w:val="00A0584E"/>
    <w:rsid w:val="00A06191"/>
    <w:rsid w:val="00A163D9"/>
    <w:rsid w:val="00A56CF3"/>
    <w:rsid w:val="00A674CE"/>
    <w:rsid w:val="00A77899"/>
    <w:rsid w:val="00A922CF"/>
    <w:rsid w:val="00AA2DCE"/>
    <w:rsid w:val="00AC6418"/>
    <w:rsid w:val="00AE2C71"/>
    <w:rsid w:val="00AF2854"/>
    <w:rsid w:val="00B33B74"/>
    <w:rsid w:val="00B33BDA"/>
    <w:rsid w:val="00B35E40"/>
    <w:rsid w:val="00B378CC"/>
    <w:rsid w:val="00B37A61"/>
    <w:rsid w:val="00B41AEB"/>
    <w:rsid w:val="00B437A9"/>
    <w:rsid w:val="00B51079"/>
    <w:rsid w:val="00B82400"/>
    <w:rsid w:val="00B86DDF"/>
    <w:rsid w:val="00BA4154"/>
    <w:rsid w:val="00BA5A79"/>
    <w:rsid w:val="00BB4793"/>
    <w:rsid w:val="00BB56A8"/>
    <w:rsid w:val="00BB682C"/>
    <w:rsid w:val="00BD48A8"/>
    <w:rsid w:val="00BE209A"/>
    <w:rsid w:val="00C10D99"/>
    <w:rsid w:val="00C57345"/>
    <w:rsid w:val="00C814D0"/>
    <w:rsid w:val="00C81B4C"/>
    <w:rsid w:val="00CA4297"/>
    <w:rsid w:val="00CC7214"/>
    <w:rsid w:val="00CD2458"/>
    <w:rsid w:val="00CF22EF"/>
    <w:rsid w:val="00D103E5"/>
    <w:rsid w:val="00D1736D"/>
    <w:rsid w:val="00D33121"/>
    <w:rsid w:val="00D3739C"/>
    <w:rsid w:val="00D50036"/>
    <w:rsid w:val="00D53135"/>
    <w:rsid w:val="00D81399"/>
    <w:rsid w:val="00D815E6"/>
    <w:rsid w:val="00DA4D94"/>
    <w:rsid w:val="00DA67E5"/>
    <w:rsid w:val="00DC4F39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B3EBB"/>
    <w:rsid w:val="00EE1C79"/>
    <w:rsid w:val="00EE2493"/>
    <w:rsid w:val="00F114E9"/>
    <w:rsid w:val="00F129C1"/>
    <w:rsid w:val="00F20F23"/>
    <w:rsid w:val="00F23B18"/>
    <w:rsid w:val="00F266D1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434DD0424FC40AF3C108F1648DD1D" ma:contentTypeVersion="14" ma:contentTypeDescription="Create a new document." ma:contentTypeScope="" ma:versionID="c26f336e3a5621cd235019d06072a582">
  <xsd:schema xmlns:xsd="http://www.w3.org/2001/XMLSchema" xmlns:xs="http://www.w3.org/2001/XMLSchema" xmlns:p="http://schemas.microsoft.com/office/2006/metadata/properties" xmlns:ns1="http://schemas.microsoft.com/sharepoint/v3" xmlns:ns2="ee43b1d9-2d61-4f52-825b-288cca2eca44" xmlns:ns3="cbb73df6-8de2-412b-9bf9-7418bd4b97cb" targetNamespace="http://schemas.microsoft.com/office/2006/metadata/properties" ma:root="true" ma:fieldsID="c9da22b3a921f9283904ed3c7eb0e89b" ns1:_="" ns2:_="" ns3:_="">
    <xsd:import namespace="http://schemas.microsoft.com/sharepoint/v3"/>
    <xsd:import namespace="ee43b1d9-2d61-4f52-825b-288cca2eca44"/>
    <xsd:import namespace="cbb73df6-8de2-412b-9bf9-7418bd4b97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3b1d9-2d61-4f52-825b-288cca2ec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3df6-8de2-412b-9bf9-7418bd4b97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E87DB-CE7E-4D68-94AF-5D331FE23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e43b1d9-2d61-4f52-825b-288cca2eca44"/>
    <ds:schemaRef ds:uri="cbb73df6-8de2-412b-9bf9-7418bd4b97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510051-0541-4BDE-BD4A-C2F8009E2D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2020-12-21T15:06:00Z</dcterms:created>
  <dcterms:modified xsi:type="dcterms:W3CDTF">2020-12-21T15:06:00Z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0x0101006A4434DD0424FC40AF3C108F1648DD1D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2020-12-10T21:00:04Z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744a0660-0faf-4336-b578-00004c4bec3f</vt:lpwstr>
  </property>
  <property fmtid="{D5CDD505-2E9C-101B-9397-08002B2CF9AE}" pid="51" name="MSIP_Label_2b73dd0b-afe1-4a46-943f-1bdb914b8a49_ContentBits">
    <vt:lpwstr>2</vt:lpwstr>
  </property>
</Properties>
</file>