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98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6"/>
        <w:gridCol w:w="20"/>
        <w:gridCol w:w="2707"/>
        <w:gridCol w:w="6731"/>
        <w:gridCol w:w="216"/>
      </w:tblGrid>
      <w:tr w:rsidR="00133BD9" w:rsidRPr="00876240" w14:paraId="59A88AC6" w14:textId="77777777" w:rsidTr="009762C9">
        <w:trPr>
          <w:gridAfter w:val="1"/>
          <w:wAfter w:w="216" w:type="dxa"/>
          <w:trHeight w:val="315"/>
        </w:trPr>
        <w:tc>
          <w:tcPr>
            <w:tcW w:w="9674" w:type="dxa"/>
            <w:gridSpan w:val="4"/>
            <w:tcBorders>
              <w:top w:val="nil"/>
              <w:left w:val="nil"/>
              <w:bottom w:val="nil"/>
              <w:right w:val="nil"/>
            </w:tcBorders>
            <w:shd w:val="clear" w:color="auto" w:fill="auto"/>
            <w:noWrap/>
            <w:vAlign w:val="center"/>
            <w:hideMark/>
          </w:tcPr>
          <w:p w14:paraId="4AC09889" w14:textId="77777777" w:rsidR="00133BD9" w:rsidRPr="002E3EFB" w:rsidRDefault="0047108D" w:rsidP="00B378CC">
            <w:pPr>
              <w:rPr>
                <w:rFonts w:ascii="Arial" w:hAnsi="Arial" w:cs="Arial"/>
                <w:b/>
                <w:bCs/>
                <w:sz w:val="32"/>
                <w:szCs w:val="32"/>
              </w:rPr>
            </w:pPr>
            <w:r>
              <w:rPr>
                <w:rFonts w:ascii="Arial" w:hAnsi="Arial" w:cs="Arial"/>
                <w:b/>
                <w:bCs/>
                <w:color w:val="FF0000"/>
                <w:sz w:val="32"/>
                <w:szCs w:val="32"/>
              </w:rPr>
              <w:t>Cadent</w:t>
            </w:r>
            <w:r w:rsidR="00B378CC" w:rsidRPr="000E5B6D">
              <w:rPr>
                <w:rFonts w:ascii="Arial" w:hAnsi="Arial" w:cs="Arial"/>
                <w:b/>
                <w:bCs/>
                <w:color w:val="FF0000"/>
                <w:sz w:val="32"/>
                <w:szCs w:val="32"/>
              </w:rPr>
              <w:t xml:space="preserve"> </w:t>
            </w:r>
            <w:r w:rsidR="000E5B6D">
              <w:rPr>
                <w:rFonts w:ascii="Arial" w:hAnsi="Arial" w:cs="Arial"/>
                <w:b/>
                <w:bCs/>
                <w:sz w:val="32"/>
                <w:szCs w:val="32"/>
              </w:rPr>
              <w:t>Final</w:t>
            </w:r>
            <w:r w:rsidR="002E3EFB" w:rsidRPr="002E3EFB">
              <w:rPr>
                <w:rFonts w:ascii="Arial" w:hAnsi="Arial" w:cs="Arial"/>
                <w:b/>
                <w:bCs/>
                <w:sz w:val="32"/>
                <w:szCs w:val="32"/>
              </w:rPr>
              <w:t xml:space="preserve"> Determination</w:t>
            </w:r>
            <w:r w:rsidR="00A0584E" w:rsidRPr="002E3EFB">
              <w:rPr>
                <w:rFonts w:ascii="Arial" w:hAnsi="Arial" w:cs="Arial"/>
                <w:b/>
                <w:bCs/>
                <w:sz w:val="32"/>
                <w:szCs w:val="32"/>
              </w:rPr>
              <w:t xml:space="preserve"> </w:t>
            </w:r>
          </w:p>
        </w:tc>
      </w:tr>
      <w:tr w:rsidR="00133BD9" w:rsidRPr="00876240" w14:paraId="118B6E03" w14:textId="77777777" w:rsidTr="009762C9">
        <w:trPr>
          <w:gridBefore w:val="1"/>
          <w:wBefore w:w="216" w:type="dxa"/>
          <w:trHeight w:val="315"/>
        </w:trPr>
        <w:tc>
          <w:tcPr>
            <w:tcW w:w="9674" w:type="dxa"/>
            <w:gridSpan w:val="4"/>
            <w:tcBorders>
              <w:top w:val="nil"/>
              <w:left w:val="nil"/>
              <w:right w:val="nil"/>
            </w:tcBorders>
            <w:shd w:val="clear" w:color="auto" w:fill="auto"/>
            <w:noWrap/>
            <w:vAlign w:val="center"/>
            <w:hideMark/>
          </w:tcPr>
          <w:p w14:paraId="31E0A0F4" w14:textId="77777777" w:rsidR="00BB682C" w:rsidRPr="00876240" w:rsidRDefault="003F465C" w:rsidP="002E3EFB">
            <w:pPr>
              <w:rPr>
                <w:rFonts w:ascii="Arial" w:hAnsi="Arial" w:cs="Arial"/>
                <w:b/>
                <w:bCs/>
                <w:sz w:val="24"/>
                <w:szCs w:val="24"/>
              </w:rPr>
            </w:pPr>
            <w:r>
              <w:rPr>
                <w:rFonts w:ascii="Arial" w:hAnsi="Arial" w:cs="Arial"/>
                <w:b/>
                <w:bCs/>
              </w:rPr>
              <w:t>F</w:t>
            </w:r>
            <w:r w:rsidR="00D81399">
              <w:rPr>
                <w:rFonts w:ascii="Arial" w:hAnsi="Arial" w:cs="Arial"/>
                <w:b/>
                <w:bCs/>
              </w:rPr>
              <w:t>D</w:t>
            </w:r>
            <w:r>
              <w:rPr>
                <w:rFonts w:ascii="Arial" w:hAnsi="Arial" w:cs="Arial"/>
                <w:b/>
                <w:bCs/>
              </w:rPr>
              <w:t>Q</w:t>
            </w:r>
            <w:r w:rsidR="00D81399">
              <w:rPr>
                <w:rFonts w:ascii="Arial" w:hAnsi="Arial" w:cs="Arial"/>
                <w:b/>
                <w:bCs/>
              </w:rPr>
              <w:t xml:space="preserve"> Q</w:t>
            </w:r>
            <w:r w:rsidR="00133BD9">
              <w:rPr>
                <w:rFonts w:ascii="Arial" w:hAnsi="Arial" w:cs="Arial"/>
                <w:b/>
                <w:bCs/>
              </w:rPr>
              <w:t>u</w:t>
            </w:r>
            <w:r w:rsidR="00F20F23">
              <w:rPr>
                <w:rFonts w:ascii="Arial" w:hAnsi="Arial" w:cs="Arial"/>
                <w:b/>
                <w:bCs/>
              </w:rPr>
              <w:t>ery</w:t>
            </w:r>
            <w:r w:rsidR="00133BD9">
              <w:rPr>
                <w:rFonts w:ascii="Arial" w:hAnsi="Arial" w:cs="Arial"/>
                <w:b/>
                <w:bCs/>
              </w:rPr>
              <w:t xml:space="preserve"> </w:t>
            </w:r>
          </w:p>
        </w:tc>
      </w:tr>
      <w:tr w:rsidR="00EA1559" w:rsidRPr="00EA1559" w14:paraId="561829E5" w14:textId="77777777" w:rsidTr="00EA155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614"/>
        </w:trPr>
        <w:tc>
          <w:tcPr>
            <w:tcW w:w="236" w:type="dxa"/>
            <w:gridSpan w:val="2"/>
            <w:vAlign w:val="center"/>
            <w:hideMark/>
          </w:tcPr>
          <w:p w14:paraId="2D081380" w14:textId="77777777" w:rsidR="00EA1559" w:rsidRPr="00EA1559" w:rsidRDefault="00EA1559">
            <w:pPr>
              <w:rPr>
                <w:rFonts w:ascii="Calibri" w:hAnsi="Calibri"/>
              </w:rPr>
            </w:pPr>
            <w:r w:rsidRPr="00EA1559">
              <w:t> </w:t>
            </w:r>
          </w:p>
        </w:tc>
        <w:tc>
          <w:tcPr>
            <w:tcW w:w="270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9E0E7FF" w14:textId="77777777" w:rsidR="00EA1559" w:rsidRPr="00EA1559" w:rsidRDefault="00EA1559">
            <w:pPr>
              <w:pStyle w:val="NormalWeb"/>
              <w:spacing w:after="200" w:afterAutospacing="0" w:line="276" w:lineRule="auto"/>
              <w:rPr>
                <w:rFonts w:ascii="Verdana" w:hAnsi="Verdana"/>
                <w:sz w:val="20"/>
                <w:szCs w:val="20"/>
                <w:lang w:eastAsia="en-US"/>
              </w:rPr>
            </w:pPr>
            <w:r w:rsidRPr="00EA1559">
              <w:rPr>
                <w:rFonts w:ascii="Arial" w:hAnsi="Arial" w:cs="Arial"/>
                <w:b/>
                <w:bCs/>
                <w:sz w:val="20"/>
                <w:szCs w:val="20"/>
                <w:lang w:eastAsia="en-US"/>
              </w:rPr>
              <w:t>SQ Reference number</w:t>
            </w:r>
          </w:p>
        </w:tc>
        <w:tc>
          <w:tcPr>
            <w:tcW w:w="6947" w:type="dxa"/>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3430FAF4" w14:textId="77777777" w:rsidR="00EA1559" w:rsidRPr="00EA1559" w:rsidRDefault="00EA1559">
            <w:pPr>
              <w:pStyle w:val="NormalWeb"/>
              <w:spacing w:after="200" w:afterAutospacing="0" w:line="276" w:lineRule="auto"/>
              <w:rPr>
                <w:rFonts w:ascii="Verdana" w:hAnsi="Verdana"/>
                <w:sz w:val="20"/>
                <w:szCs w:val="20"/>
                <w:lang w:eastAsia="en-US"/>
              </w:rPr>
            </w:pPr>
            <w:r w:rsidRPr="00EA1559">
              <w:rPr>
                <w:rFonts w:ascii="Arial" w:hAnsi="Arial" w:cs="Arial"/>
                <w:sz w:val="20"/>
                <w:szCs w:val="20"/>
                <w:lang w:eastAsia="en-US"/>
              </w:rPr>
              <w:t xml:space="preserve">CADENT_FDQ_  </w:t>
            </w:r>
          </w:p>
        </w:tc>
      </w:tr>
      <w:tr w:rsidR="00EA1559" w:rsidRPr="00EA1559" w14:paraId="1385687B" w14:textId="77777777" w:rsidTr="00EA155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127"/>
        </w:trPr>
        <w:tc>
          <w:tcPr>
            <w:tcW w:w="236" w:type="dxa"/>
            <w:gridSpan w:val="2"/>
            <w:vAlign w:val="center"/>
          </w:tcPr>
          <w:p w14:paraId="780C2C6D" w14:textId="77777777" w:rsidR="00EA1559" w:rsidRPr="00EA1559" w:rsidRDefault="00EA1559">
            <w:pPr>
              <w:rPr>
                <w:rFonts w:asciiTheme="minorHAnsi" w:hAnsiTheme="minorHAnsi"/>
                <w:sz w:val="22"/>
              </w:rPr>
            </w:pPr>
          </w:p>
        </w:tc>
        <w:tc>
          <w:tcPr>
            <w:tcW w:w="270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6114391" w14:textId="77777777" w:rsidR="00EA1559" w:rsidRPr="00EA1559" w:rsidRDefault="00EA1559">
            <w:pPr>
              <w:pStyle w:val="NormalWeb"/>
              <w:spacing w:after="200" w:afterAutospacing="0" w:line="276" w:lineRule="auto"/>
              <w:rPr>
                <w:rFonts w:ascii="Arial" w:hAnsi="Arial" w:cs="Arial"/>
                <w:b/>
                <w:bCs/>
                <w:sz w:val="20"/>
                <w:szCs w:val="20"/>
                <w:lang w:eastAsia="en-US"/>
              </w:rPr>
            </w:pPr>
            <w:r w:rsidRPr="00EA1559">
              <w:rPr>
                <w:rFonts w:ascii="Arial" w:hAnsi="Arial" w:cs="Arial"/>
                <w:b/>
                <w:bCs/>
                <w:sz w:val="20"/>
                <w:szCs w:val="20"/>
                <w:lang w:eastAsia="en-US"/>
              </w:rPr>
              <w:t>Priority</w:t>
            </w:r>
          </w:p>
        </w:tc>
        <w:tc>
          <w:tcPr>
            <w:tcW w:w="6947" w:type="dxa"/>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5F59CFCA" w14:textId="263BC108" w:rsidR="00EA1559" w:rsidRPr="00EA1559" w:rsidRDefault="00EA1559">
            <w:pPr>
              <w:pStyle w:val="NormalWeb"/>
              <w:spacing w:after="200" w:afterAutospacing="0" w:line="276" w:lineRule="auto"/>
              <w:rPr>
                <w:rFonts w:ascii="Arial" w:hAnsi="Arial" w:cs="Arial"/>
                <w:sz w:val="20"/>
                <w:szCs w:val="20"/>
                <w:lang w:eastAsia="en-US"/>
              </w:rPr>
            </w:pPr>
            <w:r w:rsidRPr="00060807">
              <w:rPr>
                <w:rFonts w:ascii="Arial" w:hAnsi="Arial" w:cs="Arial"/>
                <w:sz w:val="20"/>
                <w:szCs w:val="20"/>
                <w:lang w:eastAsia="en-US"/>
              </w:rPr>
              <w:t xml:space="preserve">High </w:t>
            </w:r>
            <w:r w:rsidR="00BD0F53" w:rsidRPr="00060807">
              <w:rPr>
                <w:rFonts w:ascii="Arial" w:hAnsi="Arial" w:cs="Arial"/>
                <w:sz w:val="20"/>
                <w:szCs w:val="20"/>
                <w:lang w:eastAsia="en-US"/>
              </w:rPr>
              <w:t xml:space="preserve">  - Technical Error</w:t>
            </w:r>
          </w:p>
        </w:tc>
      </w:tr>
      <w:tr w:rsidR="00EA1559" w:rsidRPr="00EA1559" w14:paraId="207B48B0" w14:textId="77777777" w:rsidTr="00EA155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127"/>
        </w:trPr>
        <w:tc>
          <w:tcPr>
            <w:tcW w:w="236" w:type="dxa"/>
            <w:gridSpan w:val="2"/>
            <w:vAlign w:val="center"/>
            <w:hideMark/>
          </w:tcPr>
          <w:p w14:paraId="0005DFF9" w14:textId="77777777" w:rsidR="00EA1559" w:rsidRPr="00EA1559" w:rsidRDefault="00EA1559">
            <w:pPr>
              <w:rPr>
                <w:rFonts w:ascii="Calibri" w:hAnsi="Calibri"/>
                <w:sz w:val="22"/>
              </w:rPr>
            </w:pPr>
            <w:r w:rsidRPr="00EA1559">
              <w:t> </w:t>
            </w:r>
          </w:p>
        </w:tc>
        <w:tc>
          <w:tcPr>
            <w:tcW w:w="270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C6E0A27" w14:textId="77777777" w:rsidR="00EA1559" w:rsidRPr="00EA1559" w:rsidRDefault="00EA1559">
            <w:pPr>
              <w:pStyle w:val="NormalWeb"/>
              <w:spacing w:after="200" w:afterAutospacing="0" w:line="276" w:lineRule="auto"/>
              <w:rPr>
                <w:rFonts w:ascii="Verdana" w:hAnsi="Verdana"/>
                <w:sz w:val="20"/>
                <w:szCs w:val="20"/>
                <w:lang w:eastAsia="en-US"/>
              </w:rPr>
            </w:pPr>
            <w:r w:rsidRPr="00EA1559">
              <w:rPr>
                <w:rFonts w:ascii="Arial" w:hAnsi="Arial" w:cs="Arial"/>
                <w:b/>
                <w:bCs/>
                <w:sz w:val="20"/>
                <w:szCs w:val="20"/>
                <w:lang w:eastAsia="en-US"/>
              </w:rPr>
              <w:t>Document Name</w:t>
            </w:r>
          </w:p>
        </w:tc>
        <w:tc>
          <w:tcPr>
            <w:tcW w:w="6947" w:type="dxa"/>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24886AF0" w14:textId="77777777" w:rsidR="00EA1559" w:rsidRPr="00EA1559" w:rsidRDefault="00206CA9">
            <w:pPr>
              <w:pStyle w:val="NormalWeb"/>
              <w:spacing w:after="200" w:afterAutospacing="0" w:line="276" w:lineRule="auto"/>
              <w:rPr>
                <w:rFonts w:ascii="Verdana" w:hAnsi="Verdana"/>
                <w:sz w:val="20"/>
                <w:szCs w:val="20"/>
                <w:lang w:eastAsia="en-US"/>
              </w:rPr>
            </w:pPr>
            <w:r>
              <w:rPr>
                <w:rFonts w:ascii="Arial" w:hAnsi="Arial" w:cs="Arial"/>
                <w:sz w:val="20"/>
                <w:szCs w:val="20"/>
                <w:lang w:eastAsia="en-US"/>
              </w:rPr>
              <w:t>FD modelling suite</w:t>
            </w:r>
          </w:p>
        </w:tc>
      </w:tr>
      <w:tr w:rsidR="00EA1559" w:rsidRPr="00EA1559" w14:paraId="3D16CF7E" w14:textId="77777777" w:rsidTr="00EA155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127"/>
        </w:trPr>
        <w:tc>
          <w:tcPr>
            <w:tcW w:w="236" w:type="dxa"/>
            <w:gridSpan w:val="2"/>
            <w:vAlign w:val="center"/>
            <w:hideMark/>
          </w:tcPr>
          <w:p w14:paraId="34A05710" w14:textId="77777777" w:rsidR="00EA1559" w:rsidRPr="00EA1559" w:rsidRDefault="00EA1559">
            <w:pPr>
              <w:rPr>
                <w:rFonts w:ascii="Calibri" w:hAnsi="Calibri"/>
                <w:sz w:val="22"/>
              </w:rPr>
            </w:pPr>
            <w:r w:rsidRPr="00EA1559">
              <w:t> </w:t>
            </w:r>
          </w:p>
        </w:tc>
        <w:tc>
          <w:tcPr>
            <w:tcW w:w="270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638D376" w14:textId="77777777" w:rsidR="00EA1559" w:rsidRPr="00EA1559" w:rsidRDefault="00EA1559">
            <w:pPr>
              <w:pStyle w:val="NormalWeb"/>
              <w:spacing w:after="200" w:afterAutospacing="0" w:line="276" w:lineRule="auto"/>
              <w:rPr>
                <w:rFonts w:ascii="Verdana" w:hAnsi="Verdana"/>
                <w:sz w:val="20"/>
                <w:szCs w:val="20"/>
                <w:lang w:eastAsia="en-US"/>
              </w:rPr>
            </w:pPr>
            <w:r w:rsidRPr="00EA1559">
              <w:rPr>
                <w:rFonts w:ascii="Arial" w:hAnsi="Arial" w:cs="Arial"/>
                <w:b/>
                <w:bCs/>
                <w:sz w:val="20"/>
                <w:szCs w:val="20"/>
                <w:lang w:eastAsia="en-US"/>
              </w:rPr>
              <w:t>Topic/Activity:</w:t>
            </w:r>
          </w:p>
        </w:tc>
        <w:tc>
          <w:tcPr>
            <w:tcW w:w="6947" w:type="dxa"/>
            <w:gridSpan w:val="2"/>
            <w:tcBorders>
              <w:top w:val="nil"/>
              <w:left w:val="nil"/>
              <w:bottom w:val="single" w:sz="8" w:space="0" w:color="auto"/>
              <w:right w:val="single" w:sz="8" w:space="0" w:color="auto"/>
            </w:tcBorders>
            <w:tcMar>
              <w:top w:w="0" w:type="dxa"/>
              <w:left w:w="108" w:type="dxa"/>
              <w:bottom w:w="0" w:type="dxa"/>
              <w:right w:w="108" w:type="dxa"/>
            </w:tcMar>
            <w:vAlign w:val="center"/>
          </w:tcPr>
          <w:p w14:paraId="4D1516C1" w14:textId="77777777" w:rsidR="00EA1559" w:rsidRPr="00EA1559" w:rsidRDefault="00F05D10">
            <w:pPr>
              <w:pStyle w:val="NormalWeb"/>
              <w:spacing w:after="200" w:afterAutospacing="0" w:line="276" w:lineRule="auto"/>
              <w:rPr>
                <w:rFonts w:ascii="Verdana" w:hAnsi="Verdana"/>
                <w:sz w:val="20"/>
                <w:szCs w:val="20"/>
                <w:lang w:eastAsia="en-US"/>
              </w:rPr>
            </w:pPr>
            <w:r>
              <w:rPr>
                <w:rFonts w:ascii="Verdana" w:hAnsi="Verdana"/>
                <w:sz w:val="20"/>
                <w:szCs w:val="20"/>
                <w:lang w:eastAsia="en-US"/>
              </w:rPr>
              <w:t>Pay normalisation</w:t>
            </w:r>
          </w:p>
        </w:tc>
      </w:tr>
      <w:tr w:rsidR="00EA1559" w:rsidRPr="00EA1559" w14:paraId="60FC6734" w14:textId="77777777" w:rsidTr="00EA155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127"/>
        </w:trPr>
        <w:tc>
          <w:tcPr>
            <w:tcW w:w="236" w:type="dxa"/>
            <w:gridSpan w:val="2"/>
            <w:vAlign w:val="center"/>
            <w:hideMark/>
          </w:tcPr>
          <w:p w14:paraId="2F22E566" w14:textId="77777777" w:rsidR="00EA1559" w:rsidRPr="00EA1559" w:rsidRDefault="00EA1559">
            <w:pPr>
              <w:rPr>
                <w:rFonts w:ascii="Calibri" w:hAnsi="Calibri"/>
                <w:sz w:val="22"/>
              </w:rPr>
            </w:pPr>
            <w:r w:rsidRPr="00EA1559">
              <w:t> </w:t>
            </w:r>
          </w:p>
        </w:tc>
        <w:tc>
          <w:tcPr>
            <w:tcW w:w="270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68C73E9D" w14:textId="77777777" w:rsidR="00EA1559" w:rsidRPr="00EA1559" w:rsidRDefault="00EA1559">
            <w:pPr>
              <w:pStyle w:val="NormalWeb"/>
              <w:spacing w:after="200" w:afterAutospacing="0" w:line="276" w:lineRule="auto"/>
              <w:rPr>
                <w:rFonts w:ascii="Verdana" w:hAnsi="Verdana"/>
                <w:sz w:val="20"/>
                <w:szCs w:val="20"/>
                <w:lang w:eastAsia="en-US"/>
              </w:rPr>
            </w:pPr>
            <w:r w:rsidRPr="00EA1559">
              <w:rPr>
                <w:rFonts w:ascii="Arial" w:hAnsi="Arial" w:cs="Arial"/>
                <w:b/>
                <w:bCs/>
                <w:sz w:val="20"/>
                <w:szCs w:val="20"/>
                <w:lang w:eastAsia="en-US"/>
              </w:rPr>
              <w:t>Question:</w:t>
            </w:r>
          </w:p>
        </w:tc>
        <w:tc>
          <w:tcPr>
            <w:tcW w:w="6947" w:type="dxa"/>
            <w:gridSpan w:val="2"/>
            <w:tcBorders>
              <w:top w:val="nil"/>
              <w:left w:val="nil"/>
              <w:bottom w:val="single" w:sz="8" w:space="0" w:color="auto"/>
              <w:right w:val="single" w:sz="8" w:space="0" w:color="auto"/>
            </w:tcBorders>
            <w:tcMar>
              <w:top w:w="0" w:type="dxa"/>
              <w:left w:w="108" w:type="dxa"/>
              <w:bottom w:w="0" w:type="dxa"/>
              <w:right w:w="108" w:type="dxa"/>
            </w:tcMar>
            <w:vAlign w:val="center"/>
          </w:tcPr>
          <w:p w14:paraId="3EB9EE98" w14:textId="77777777" w:rsidR="008A64D4" w:rsidRDefault="008A64D4">
            <w:pPr>
              <w:pStyle w:val="NormalWeb"/>
              <w:spacing w:before="0" w:beforeAutospacing="0" w:after="200" w:afterAutospacing="0" w:line="276" w:lineRule="auto"/>
              <w:rPr>
                <w:rFonts w:ascii="Verdana" w:hAnsi="Verdana"/>
                <w:sz w:val="20"/>
                <w:szCs w:val="20"/>
                <w:lang w:eastAsia="en-US"/>
              </w:rPr>
            </w:pPr>
            <w:r>
              <w:rPr>
                <w:rFonts w:ascii="Verdana" w:hAnsi="Verdana"/>
                <w:sz w:val="20"/>
                <w:szCs w:val="20"/>
                <w:lang w:eastAsia="en-US"/>
              </w:rPr>
              <w:t>We believe that we have found 3 errors in the pay normalisation, in respect of:</w:t>
            </w:r>
          </w:p>
          <w:p w14:paraId="7E0303B9" w14:textId="77777777" w:rsidR="008A64D4" w:rsidRDefault="008A64D4" w:rsidP="008A64D4">
            <w:pPr>
              <w:pStyle w:val="NormalWeb"/>
              <w:numPr>
                <w:ilvl w:val="0"/>
                <w:numId w:val="9"/>
              </w:numPr>
              <w:spacing w:before="0" w:beforeAutospacing="0" w:after="200" w:afterAutospacing="0" w:line="276" w:lineRule="auto"/>
              <w:rPr>
                <w:rFonts w:ascii="Verdana" w:hAnsi="Verdana"/>
                <w:sz w:val="20"/>
                <w:szCs w:val="20"/>
                <w:lang w:eastAsia="en-US"/>
              </w:rPr>
            </w:pPr>
            <w:r>
              <w:rPr>
                <w:rFonts w:ascii="Verdana" w:hAnsi="Verdana"/>
                <w:sz w:val="20"/>
                <w:szCs w:val="20"/>
                <w:lang w:eastAsia="en-US"/>
              </w:rPr>
              <w:t>The labour proportion of all opex activities</w:t>
            </w:r>
          </w:p>
          <w:p w14:paraId="54B2CD7C" w14:textId="77777777" w:rsidR="008A64D4" w:rsidRDefault="008A64D4" w:rsidP="008A64D4">
            <w:pPr>
              <w:pStyle w:val="NormalWeb"/>
              <w:numPr>
                <w:ilvl w:val="0"/>
                <w:numId w:val="9"/>
              </w:numPr>
              <w:spacing w:before="0" w:beforeAutospacing="0" w:after="200" w:afterAutospacing="0" w:line="276" w:lineRule="auto"/>
              <w:rPr>
                <w:rFonts w:ascii="Verdana" w:hAnsi="Verdana"/>
                <w:sz w:val="20"/>
                <w:szCs w:val="20"/>
                <w:lang w:eastAsia="en-US"/>
              </w:rPr>
            </w:pPr>
            <w:r>
              <w:rPr>
                <w:rFonts w:ascii="Verdana" w:hAnsi="Verdana"/>
                <w:sz w:val="20"/>
                <w:szCs w:val="20"/>
                <w:lang w:eastAsia="en-US"/>
              </w:rPr>
              <w:t>The labour proportion of ODA</w:t>
            </w:r>
          </w:p>
          <w:p w14:paraId="6A8202DC" w14:textId="77777777" w:rsidR="008A64D4" w:rsidRDefault="008A64D4" w:rsidP="008A64D4">
            <w:pPr>
              <w:pStyle w:val="NormalWeb"/>
              <w:numPr>
                <w:ilvl w:val="0"/>
                <w:numId w:val="9"/>
              </w:numPr>
              <w:spacing w:before="0" w:beforeAutospacing="0" w:after="200" w:afterAutospacing="0" w:line="276" w:lineRule="auto"/>
              <w:rPr>
                <w:rFonts w:ascii="Verdana" w:hAnsi="Verdana"/>
                <w:sz w:val="20"/>
                <w:szCs w:val="20"/>
                <w:lang w:eastAsia="en-US"/>
              </w:rPr>
            </w:pPr>
            <w:r>
              <w:rPr>
                <w:rFonts w:ascii="Verdana" w:hAnsi="Verdana"/>
                <w:sz w:val="20"/>
                <w:szCs w:val="20"/>
                <w:lang w:eastAsia="en-US"/>
              </w:rPr>
              <w:t>The London uplift calculation</w:t>
            </w:r>
          </w:p>
          <w:p w14:paraId="18B49295" w14:textId="77777777" w:rsidR="008A64D4" w:rsidRDefault="004E4ABE" w:rsidP="004E4ABE">
            <w:pPr>
              <w:pStyle w:val="NormalWeb"/>
              <w:spacing w:before="0" w:beforeAutospacing="0" w:after="200" w:afterAutospacing="0" w:line="276" w:lineRule="auto"/>
              <w:rPr>
                <w:rFonts w:ascii="Verdana" w:hAnsi="Verdana"/>
                <w:sz w:val="20"/>
                <w:szCs w:val="20"/>
                <w:lang w:eastAsia="en-US"/>
              </w:rPr>
            </w:pPr>
            <w:r>
              <w:rPr>
                <w:rFonts w:ascii="Verdana" w:hAnsi="Verdana"/>
                <w:sz w:val="20"/>
                <w:szCs w:val="20"/>
                <w:lang w:eastAsia="en-US"/>
              </w:rPr>
              <w:t>Taking each in turn:</w:t>
            </w:r>
          </w:p>
          <w:p w14:paraId="62681DBE" w14:textId="77777777" w:rsidR="008A64D4" w:rsidRPr="008A64D4" w:rsidRDefault="008A64D4" w:rsidP="008A64D4">
            <w:pPr>
              <w:pStyle w:val="NormalWeb"/>
              <w:numPr>
                <w:ilvl w:val="0"/>
                <w:numId w:val="11"/>
              </w:numPr>
              <w:spacing w:before="0" w:beforeAutospacing="0" w:after="200" w:afterAutospacing="0" w:line="276" w:lineRule="auto"/>
              <w:rPr>
                <w:rFonts w:ascii="Verdana" w:hAnsi="Verdana"/>
                <w:b/>
                <w:sz w:val="20"/>
                <w:szCs w:val="20"/>
                <w:lang w:eastAsia="en-US"/>
              </w:rPr>
            </w:pPr>
            <w:r w:rsidRPr="008A64D4">
              <w:rPr>
                <w:rFonts w:ascii="Verdana" w:hAnsi="Verdana"/>
                <w:b/>
                <w:sz w:val="20"/>
                <w:szCs w:val="20"/>
                <w:lang w:eastAsia="en-US"/>
              </w:rPr>
              <w:t>The labour proportion of all opex activities</w:t>
            </w:r>
          </w:p>
          <w:p w14:paraId="4F49E407" w14:textId="77777777" w:rsidR="00F05D10" w:rsidRDefault="00B73EA6">
            <w:pPr>
              <w:pStyle w:val="NormalWeb"/>
              <w:spacing w:before="0" w:beforeAutospacing="0" w:after="200" w:afterAutospacing="0" w:line="276" w:lineRule="auto"/>
              <w:rPr>
                <w:rFonts w:ascii="Verdana" w:hAnsi="Verdana"/>
                <w:sz w:val="20"/>
                <w:szCs w:val="20"/>
                <w:lang w:eastAsia="en-US"/>
              </w:rPr>
            </w:pPr>
            <w:r>
              <w:rPr>
                <w:rFonts w:ascii="Verdana" w:hAnsi="Verdana"/>
                <w:sz w:val="20"/>
                <w:szCs w:val="20"/>
                <w:lang w:eastAsia="en-US"/>
              </w:rPr>
              <w:t xml:space="preserve">We </w:t>
            </w:r>
            <w:r w:rsidR="00F05D10">
              <w:rPr>
                <w:rFonts w:ascii="Verdana" w:hAnsi="Verdana"/>
                <w:sz w:val="20"/>
                <w:szCs w:val="20"/>
                <w:lang w:eastAsia="en-US"/>
              </w:rPr>
              <w:t xml:space="preserve">observed that the labour proportions of opex activities at FD were substantially below those at DD: for example, Emergency comprised 84.9% labour at DD but only 75.8% at FD. </w:t>
            </w:r>
          </w:p>
          <w:p w14:paraId="60BDD0DC" w14:textId="77777777" w:rsidR="00F05D10" w:rsidRDefault="00F05D10">
            <w:pPr>
              <w:pStyle w:val="NormalWeb"/>
              <w:spacing w:before="0" w:beforeAutospacing="0" w:after="200" w:afterAutospacing="0" w:line="276" w:lineRule="auto"/>
              <w:rPr>
                <w:rFonts w:ascii="Verdana" w:hAnsi="Verdana"/>
                <w:sz w:val="20"/>
                <w:szCs w:val="20"/>
                <w:lang w:eastAsia="en-US"/>
              </w:rPr>
            </w:pPr>
            <w:r>
              <w:rPr>
                <w:rFonts w:ascii="Verdana" w:hAnsi="Verdana"/>
                <w:sz w:val="20"/>
                <w:szCs w:val="20"/>
                <w:lang w:eastAsia="en-US"/>
              </w:rPr>
              <w:t xml:space="preserve">The drop has occurred because, at FD, labour %s of zero are shown </w:t>
            </w:r>
            <w:r w:rsidR="004E4ABE">
              <w:rPr>
                <w:rFonts w:ascii="Verdana" w:hAnsi="Verdana"/>
                <w:sz w:val="20"/>
                <w:szCs w:val="20"/>
                <w:lang w:eastAsia="en-US"/>
              </w:rPr>
              <w:t xml:space="preserve">for Opex activities </w:t>
            </w:r>
            <w:r>
              <w:rPr>
                <w:rFonts w:ascii="Verdana" w:hAnsi="Verdana"/>
                <w:sz w:val="20"/>
                <w:szCs w:val="20"/>
                <w:lang w:eastAsia="en-US"/>
              </w:rPr>
              <w:t xml:space="preserve">against Cadent GDNs for 2019/20 and 2020/21 – two years out of the thirteen used.  </w:t>
            </w:r>
          </w:p>
          <w:p w14:paraId="6D026C79" w14:textId="77777777" w:rsidR="00F05D10" w:rsidRDefault="00F05D10">
            <w:pPr>
              <w:pStyle w:val="NormalWeb"/>
              <w:spacing w:before="0" w:beforeAutospacing="0" w:after="200" w:afterAutospacing="0" w:line="276" w:lineRule="auto"/>
              <w:rPr>
                <w:rFonts w:ascii="Verdana" w:hAnsi="Verdana"/>
                <w:sz w:val="20"/>
                <w:szCs w:val="20"/>
                <w:lang w:eastAsia="en-US"/>
              </w:rPr>
            </w:pPr>
            <w:r>
              <w:rPr>
                <w:rFonts w:ascii="Verdana" w:hAnsi="Verdana"/>
                <w:sz w:val="20"/>
                <w:szCs w:val="20"/>
                <w:lang w:eastAsia="en-US"/>
              </w:rPr>
              <w:t xml:space="preserve">These have been shown as zero because, in Cadent’s abbreviated updated BPDTs provided in the Autumn, we blacked out all the details of opex cost breakdowns, given that there was not a material change in cost composition since the December 2019 BPDTs were submitted. </w:t>
            </w:r>
          </w:p>
          <w:p w14:paraId="11085505" w14:textId="77777777" w:rsidR="00F05D10" w:rsidRDefault="00F05D10">
            <w:pPr>
              <w:pStyle w:val="NormalWeb"/>
              <w:spacing w:before="0" w:beforeAutospacing="0" w:after="200" w:afterAutospacing="0" w:line="276" w:lineRule="auto"/>
              <w:rPr>
                <w:rFonts w:ascii="Verdana" w:hAnsi="Verdana"/>
                <w:sz w:val="20"/>
                <w:szCs w:val="20"/>
                <w:lang w:eastAsia="en-US"/>
              </w:rPr>
            </w:pPr>
            <w:r>
              <w:rPr>
                <w:rFonts w:ascii="Verdana" w:hAnsi="Verdana"/>
                <w:sz w:val="20"/>
                <w:szCs w:val="20"/>
                <w:lang w:eastAsia="en-US"/>
              </w:rPr>
              <w:t>We believe that there are two options to correct this:</w:t>
            </w:r>
          </w:p>
          <w:p w14:paraId="07B26C6C" w14:textId="77777777" w:rsidR="00F05D10" w:rsidRDefault="00F05D10" w:rsidP="00F05D10">
            <w:pPr>
              <w:pStyle w:val="NormalWeb"/>
              <w:numPr>
                <w:ilvl w:val="0"/>
                <w:numId w:val="7"/>
              </w:numPr>
              <w:spacing w:before="0" w:beforeAutospacing="0" w:after="200" w:afterAutospacing="0" w:line="276" w:lineRule="auto"/>
              <w:rPr>
                <w:rFonts w:ascii="Verdana" w:hAnsi="Verdana"/>
                <w:sz w:val="20"/>
                <w:szCs w:val="20"/>
                <w:lang w:eastAsia="en-US"/>
              </w:rPr>
            </w:pPr>
            <w:r>
              <w:rPr>
                <w:rFonts w:ascii="Verdana" w:hAnsi="Verdana"/>
                <w:sz w:val="20"/>
                <w:szCs w:val="20"/>
                <w:lang w:eastAsia="en-US"/>
              </w:rPr>
              <w:t>Apply the labour percentages from the original BPDTs, as used at DD</w:t>
            </w:r>
          </w:p>
          <w:p w14:paraId="62F62946" w14:textId="77777777" w:rsidR="00F05D10" w:rsidRDefault="00F05D10" w:rsidP="00F05D10">
            <w:pPr>
              <w:pStyle w:val="NormalWeb"/>
              <w:numPr>
                <w:ilvl w:val="0"/>
                <w:numId w:val="7"/>
              </w:numPr>
              <w:spacing w:before="0" w:beforeAutospacing="0" w:after="200" w:afterAutospacing="0" w:line="276" w:lineRule="auto"/>
              <w:rPr>
                <w:rFonts w:ascii="Verdana" w:hAnsi="Verdana"/>
                <w:sz w:val="20"/>
                <w:szCs w:val="20"/>
                <w:lang w:eastAsia="en-US"/>
              </w:rPr>
            </w:pPr>
            <w:r>
              <w:rPr>
                <w:rFonts w:ascii="Verdana" w:hAnsi="Verdana"/>
                <w:sz w:val="20"/>
                <w:szCs w:val="20"/>
                <w:lang w:eastAsia="en-US"/>
              </w:rPr>
              <w:t xml:space="preserve">To use revised opex cost split data for 2019/20 and 2020/21, which Cadent would provide </w:t>
            </w:r>
          </w:p>
          <w:p w14:paraId="189A4B8F" w14:textId="700DF1F8" w:rsidR="00F05D10" w:rsidRDefault="00F05D10" w:rsidP="00F05D10">
            <w:pPr>
              <w:pStyle w:val="NormalWeb"/>
              <w:spacing w:before="0" w:beforeAutospacing="0" w:after="200" w:afterAutospacing="0" w:line="276" w:lineRule="auto"/>
              <w:rPr>
                <w:rFonts w:ascii="Verdana" w:hAnsi="Verdana"/>
                <w:sz w:val="20"/>
                <w:szCs w:val="20"/>
                <w:lang w:eastAsia="en-US"/>
              </w:rPr>
            </w:pPr>
            <w:r>
              <w:rPr>
                <w:rFonts w:ascii="Verdana" w:hAnsi="Verdana"/>
                <w:sz w:val="20"/>
                <w:szCs w:val="20"/>
                <w:lang w:eastAsia="en-US"/>
              </w:rPr>
              <w:t xml:space="preserve">Either solution would be reasonable, but the first has the advantage of </w:t>
            </w:r>
            <w:r w:rsidRPr="00060807">
              <w:rPr>
                <w:rFonts w:ascii="Verdana" w:hAnsi="Verdana"/>
                <w:sz w:val="20"/>
                <w:szCs w:val="20"/>
                <w:lang w:eastAsia="en-US"/>
              </w:rPr>
              <w:t>being quicker to implement</w:t>
            </w:r>
            <w:r w:rsidR="00C87D5F">
              <w:rPr>
                <w:rFonts w:ascii="Verdana" w:hAnsi="Verdana"/>
                <w:sz w:val="20"/>
                <w:szCs w:val="20"/>
                <w:lang w:eastAsia="en-US"/>
              </w:rPr>
              <w:t xml:space="preserve"> and we had previously assessed the change in split as immaterial (hence the abbreviated submission)</w:t>
            </w:r>
            <w:r w:rsidRPr="00060807">
              <w:rPr>
                <w:rFonts w:ascii="Verdana" w:hAnsi="Verdana"/>
                <w:sz w:val="20"/>
                <w:szCs w:val="20"/>
                <w:lang w:eastAsia="en-US"/>
              </w:rPr>
              <w:t>.</w:t>
            </w:r>
            <w:r>
              <w:rPr>
                <w:rFonts w:ascii="Verdana" w:hAnsi="Verdana"/>
                <w:sz w:val="20"/>
                <w:szCs w:val="20"/>
                <w:lang w:eastAsia="en-US"/>
              </w:rPr>
              <w:t xml:space="preserve"> </w:t>
            </w:r>
          </w:p>
          <w:p w14:paraId="72515A5A" w14:textId="77777777" w:rsidR="004E4ABE" w:rsidRDefault="00F05D10" w:rsidP="00F05D10">
            <w:pPr>
              <w:pStyle w:val="NormalWeb"/>
              <w:spacing w:before="0" w:beforeAutospacing="0" w:after="200" w:afterAutospacing="0" w:line="276" w:lineRule="auto"/>
              <w:rPr>
                <w:rFonts w:ascii="Verdana" w:hAnsi="Verdana"/>
                <w:sz w:val="20"/>
                <w:szCs w:val="20"/>
                <w:lang w:eastAsia="en-US"/>
              </w:rPr>
            </w:pPr>
            <w:r>
              <w:rPr>
                <w:rFonts w:ascii="Verdana" w:hAnsi="Verdana"/>
                <w:sz w:val="20"/>
                <w:szCs w:val="20"/>
                <w:lang w:eastAsia="en-US"/>
              </w:rPr>
              <w:lastRenderedPageBreak/>
              <w:t xml:space="preserve">Please confirm that you agree this is an error, and advise which solution </w:t>
            </w:r>
            <w:r w:rsidR="008A64D4">
              <w:rPr>
                <w:rFonts w:ascii="Verdana" w:hAnsi="Verdana"/>
                <w:sz w:val="20"/>
                <w:szCs w:val="20"/>
                <w:lang w:eastAsia="en-US"/>
              </w:rPr>
              <w:t>you intend to implement.</w:t>
            </w:r>
            <w:r>
              <w:rPr>
                <w:rFonts w:ascii="Verdana" w:hAnsi="Verdana"/>
                <w:sz w:val="20"/>
                <w:szCs w:val="20"/>
                <w:lang w:eastAsia="en-US"/>
              </w:rPr>
              <w:t xml:space="preserve"> </w:t>
            </w:r>
          </w:p>
          <w:p w14:paraId="360431BF" w14:textId="77777777" w:rsidR="006802FF" w:rsidRPr="00F05D10" w:rsidRDefault="004E4ABE" w:rsidP="00F05D10">
            <w:pPr>
              <w:pStyle w:val="NormalWeb"/>
              <w:spacing w:before="0" w:beforeAutospacing="0" w:after="200" w:afterAutospacing="0" w:line="276" w:lineRule="auto"/>
              <w:rPr>
                <w:rFonts w:ascii="Verdana" w:hAnsi="Verdana"/>
                <w:sz w:val="20"/>
                <w:szCs w:val="20"/>
                <w:lang w:eastAsia="en-US"/>
              </w:rPr>
            </w:pPr>
            <w:r>
              <w:rPr>
                <w:rFonts w:ascii="Verdana" w:hAnsi="Verdana"/>
                <w:sz w:val="20"/>
                <w:szCs w:val="20"/>
                <w:lang w:eastAsia="en-US"/>
              </w:rPr>
              <w:t>The file reference is LabourRatios file (1): tab Cal Labourratios adjusted, rows 14-812.</w:t>
            </w:r>
          </w:p>
          <w:p w14:paraId="59F53A63" w14:textId="77777777" w:rsidR="006802FF" w:rsidRPr="006802FF" w:rsidRDefault="008A64D4" w:rsidP="008A64D4">
            <w:pPr>
              <w:pStyle w:val="NormalWeb"/>
              <w:numPr>
                <w:ilvl w:val="0"/>
                <w:numId w:val="11"/>
              </w:numPr>
              <w:spacing w:before="0" w:beforeAutospacing="0" w:after="200" w:afterAutospacing="0" w:line="276" w:lineRule="auto"/>
              <w:rPr>
                <w:rFonts w:ascii="Verdana" w:hAnsi="Verdana"/>
                <w:b/>
                <w:sz w:val="20"/>
                <w:szCs w:val="20"/>
                <w:lang w:eastAsia="en-US"/>
              </w:rPr>
            </w:pPr>
            <w:r>
              <w:rPr>
                <w:rFonts w:ascii="Verdana" w:hAnsi="Verdana"/>
                <w:b/>
                <w:sz w:val="20"/>
                <w:szCs w:val="20"/>
                <w:lang w:eastAsia="en-US"/>
              </w:rPr>
              <w:t>The labour proportion of ODA</w:t>
            </w:r>
          </w:p>
          <w:p w14:paraId="2FCDC52D" w14:textId="50AF3504" w:rsidR="008A64D4" w:rsidRDefault="008A64D4">
            <w:pPr>
              <w:pStyle w:val="NormalWeb"/>
              <w:spacing w:before="0" w:beforeAutospacing="0" w:after="200" w:afterAutospacing="0" w:line="276" w:lineRule="auto"/>
              <w:rPr>
                <w:rFonts w:ascii="Verdana" w:hAnsi="Verdana"/>
                <w:sz w:val="20"/>
                <w:szCs w:val="20"/>
                <w:lang w:eastAsia="en-US"/>
              </w:rPr>
            </w:pPr>
            <w:r>
              <w:rPr>
                <w:rFonts w:ascii="Verdana" w:hAnsi="Verdana"/>
                <w:sz w:val="20"/>
                <w:szCs w:val="20"/>
                <w:lang w:eastAsia="en-US"/>
              </w:rPr>
              <w:t xml:space="preserve">As we first commented in our Autumn checking of Ofgem’s post DD revised modelling files, there is a material change in the composition of ODA between GD1 and GD2, so that it is not </w:t>
            </w:r>
            <w:r w:rsidR="0014098F">
              <w:rPr>
                <w:rFonts w:ascii="Verdana" w:hAnsi="Verdana"/>
                <w:sz w:val="20"/>
                <w:szCs w:val="20"/>
                <w:lang w:eastAsia="en-US"/>
              </w:rPr>
              <w:t>accurate</w:t>
            </w:r>
            <w:r w:rsidR="00B0513C">
              <w:rPr>
                <w:rFonts w:ascii="Verdana" w:hAnsi="Verdana"/>
                <w:sz w:val="20"/>
                <w:szCs w:val="20"/>
                <w:lang w:eastAsia="en-US"/>
              </w:rPr>
              <w:t xml:space="preserve"> </w:t>
            </w:r>
            <w:r>
              <w:rPr>
                <w:rFonts w:ascii="Verdana" w:hAnsi="Verdana"/>
                <w:sz w:val="20"/>
                <w:szCs w:val="20"/>
                <w:lang w:eastAsia="en-US"/>
              </w:rPr>
              <w:t xml:space="preserve">to use the 13 </w:t>
            </w:r>
            <w:r w:rsidRPr="00B0513C">
              <w:rPr>
                <w:rFonts w:ascii="Verdana" w:hAnsi="Verdana"/>
                <w:sz w:val="20"/>
                <w:szCs w:val="20"/>
                <w:lang w:eastAsia="en-US"/>
              </w:rPr>
              <w:t xml:space="preserve">year average labour </w:t>
            </w:r>
            <w:r w:rsidR="00060807">
              <w:rPr>
                <w:rFonts w:ascii="Verdana" w:hAnsi="Verdana"/>
                <w:sz w:val="20"/>
                <w:szCs w:val="20"/>
                <w:lang w:eastAsia="en-US"/>
              </w:rPr>
              <w:t>of 11</w:t>
            </w:r>
            <w:r w:rsidRPr="00B0513C">
              <w:rPr>
                <w:rFonts w:ascii="Verdana" w:hAnsi="Verdana"/>
                <w:sz w:val="20"/>
                <w:szCs w:val="20"/>
                <w:lang w:eastAsia="en-US"/>
              </w:rPr>
              <w:t>%</w:t>
            </w:r>
            <w:r w:rsidR="00060807">
              <w:rPr>
                <w:rFonts w:ascii="Verdana" w:hAnsi="Verdana"/>
                <w:sz w:val="20"/>
                <w:szCs w:val="20"/>
                <w:lang w:eastAsia="en-US"/>
              </w:rPr>
              <w:t xml:space="preserve"> in the FD</w:t>
            </w:r>
            <w:r w:rsidR="00B0513C">
              <w:rPr>
                <w:rFonts w:ascii="Verdana" w:hAnsi="Verdana"/>
                <w:sz w:val="20"/>
                <w:szCs w:val="20"/>
                <w:lang w:eastAsia="en-US"/>
              </w:rPr>
              <w:t xml:space="preserve"> </w:t>
            </w:r>
            <w:r>
              <w:rPr>
                <w:rFonts w:ascii="Verdana" w:hAnsi="Verdana"/>
                <w:sz w:val="20"/>
                <w:szCs w:val="20"/>
                <w:lang w:eastAsia="en-US"/>
              </w:rPr>
              <w:t xml:space="preserve">to apply to the RIIO-2 period. </w:t>
            </w:r>
          </w:p>
          <w:p w14:paraId="041227B1" w14:textId="77777777" w:rsidR="008A64D4" w:rsidRDefault="008A64D4">
            <w:pPr>
              <w:pStyle w:val="NormalWeb"/>
              <w:spacing w:before="0" w:beforeAutospacing="0" w:after="200" w:afterAutospacing="0" w:line="276" w:lineRule="auto"/>
              <w:rPr>
                <w:rFonts w:ascii="Verdana" w:hAnsi="Verdana"/>
                <w:sz w:val="20"/>
                <w:szCs w:val="20"/>
                <w:lang w:eastAsia="en-US"/>
              </w:rPr>
            </w:pPr>
            <w:r>
              <w:rPr>
                <w:rFonts w:ascii="Verdana" w:hAnsi="Verdana"/>
                <w:sz w:val="20"/>
                <w:szCs w:val="20"/>
                <w:lang w:eastAsia="en-US"/>
              </w:rPr>
              <w:t xml:space="preserve">Three changes in the composition of ODA are relevant: </w:t>
            </w:r>
          </w:p>
          <w:p w14:paraId="47896AB2" w14:textId="77777777" w:rsidR="008A64D4" w:rsidRDefault="008A64D4" w:rsidP="008A64D4">
            <w:pPr>
              <w:pStyle w:val="NormalWeb"/>
              <w:numPr>
                <w:ilvl w:val="0"/>
                <w:numId w:val="12"/>
              </w:numPr>
              <w:spacing w:before="0" w:beforeAutospacing="0" w:after="200" w:afterAutospacing="0" w:line="276" w:lineRule="auto"/>
              <w:rPr>
                <w:rFonts w:ascii="Verdana" w:hAnsi="Verdana"/>
                <w:sz w:val="20"/>
                <w:szCs w:val="20"/>
                <w:lang w:eastAsia="en-US"/>
              </w:rPr>
            </w:pPr>
            <w:r>
              <w:rPr>
                <w:rFonts w:ascii="Verdana" w:hAnsi="Verdana"/>
                <w:sz w:val="20"/>
                <w:szCs w:val="20"/>
                <w:lang w:eastAsia="en-US"/>
              </w:rPr>
              <w:t>First, Xoserve costs, which made up around 50% of ODA costs in GD1, and are considered 0% labour, are moving to Non-controllable costs. This will significantly increase the ODA labour proportion.</w:t>
            </w:r>
          </w:p>
          <w:p w14:paraId="7DCF0DBF" w14:textId="15A2004F" w:rsidR="008A64D4" w:rsidRDefault="008A64D4" w:rsidP="008A64D4">
            <w:pPr>
              <w:pStyle w:val="NormalWeb"/>
              <w:numPr>
                <w:ilvl w:val="0"/>
                <w:numId w:val="12"/>
              </w:numPr>
              <w:spacing w:before="0" w:beforeAutospacing="0" w:after="200" w:afterAutospacing="0" w:line="276" w:lineRule="auto"/>
              <w:rPr>
                <w:rFonts w:ascii="Verdana" w:hAnsi="Verdana"/>
                <w:sz w:val="20"/>
                <w:szCs w:val="20"/>
                <w:lang w:eastAsia="en-US"/>
              </w:rPr>
            </w:pPr>
            <w:r>
              <w:rPr>
                <w:rFonts w:ascii="Verdana" w:hAnsi="Verdana"/>
                <w:sz w:val="20"/>
                <w:szCs w:val="20"/>
                <w:lang w:eastAsia="en-US"/>
              </w:rPr>
              <w:t xml:space="preserve">Second, Pension Scheme Administration costs, </w:t>
            </w:r>
            <w:r w:rsidR="0014098F">
              <w:rPr>
                <w:rFonts w:ascii="Verdana" w:hAnsi="Verdana"/>
                <w:sz w:val="20"/>
                <w:szCs w:val="20"/>
                <w:lang w:eastAsia="en-US"/>
              </w:rPr>
              <w:t xml:space="preserve">which </w:t>
            </w:r>
            <w:r w:rsidR="00060807">
              <w:rPr>
                <w:rFonts w:ascii="Verdana" w:hAnsi="Verdana"/>
                <w:sz w:val="20"/>
                <w:szCs w:val="20"/>
                <w:lang w:eastAsia="en-US"/>
              </w:rPr>
              <w:t xml:space="preserve">we have estimated as 75% </w:t>
            </w:r>
            <w:r w:rsidRPr="00060807">
              <w:rPr>
                <w:rFonts w:ascii="Verdana" w:hAnsi="Verdana"/>
                <w:sz w:val="20"/>
                <w:szCs w:val="20"/>
                <w:lang w:eastAsia="en-US"/>
              </w:rPr>
              <w:t>labour,</w:t>
            </w:r>
            <w:r>
              <w:rPr>
                <w:rFonts w:ascii="Verdana" w:hAnsi="Verdana"/>
                <w:sz w:val="20"/>
                <w:szCs w:val="20"/>
                <w:lang w:eastAsia="en-US"/>
              </w:rPr>
              <w:t xml:space="preserve"> are moving from Non-controllable to controllable costs.  These are less material than Xoserve costs but will still increase the ODA labour proportion.</w:t>
            </w:r>
          </w:p>
          <w:p w14:paraId="0B4F457C" w14:textId="77777777" w:rsidR="008A64D4" w:rsidRDefault="008A64D4" w:rsidP="008A64D4">
            <w:pPr>
              <w:pStyle w:val="NormalWeb"/>
              <w:numPr>
                <w:ilvl w:val="0"/>
                <w:numId w:val="12"/>
              </w:numPr>
              <w:spacing w:before="0" w:beforeAutospacing="0" w:after="200" w:afterAutospacing="0" w:line="276" w:lineRule="auto"/>
              <w:rPr>
                <w:rFonts w:ascii="Verdana" w:hAnsi="Verdana"/>
                <w:sz w:val="20"/>
                <w:szCs w:val="20"/>
                <w:lang w:eastAsia="en-US"/>
              </w:rPr>
            </w:pPr>
            <w:r>
              <w:rPr>
                <w:rFonts w:ascii="Verdana" w:hAnsi="Verdana"/>
                <w:sz w:val="20"/>
                <w:szCs w:val="20"/>
                <w:lang w:eastAsia="en-US"/>
              </w:rPr>
              <w:t xml:space="preserve">Third, PPF levy costs, with a zero labour element, are moving from Non-controllable to controllable costs.  These are very small but will act to reduce the ODA labour proportion.     </w:t>
            </w:r>
          </w:p>
          <w:p w14:paraId="7B296B81" w14:textId="77777777" w:rsidR="004E4ABE" w:rsidRDefault="004E4ABE">
            <w:pPr>
              <w:pStyle w:val="NormalWeb"/>
              <w:spacing w:before="0" w:beforeAutospacing="0" w:after="200" w:afterAutospacing="0" w:line="276" w:lineRule="auto"/>
              <w:rPr>
                <w:rFonts w:ascii="Verdana" w:hAnsi="Verdana"/>
                <w:sz w:val="20"/>
                <w:szCs w:val="20"/>
                <w:lang w:eastAsia="en-US"/>
              </w:rPr>
            </w:pPr>
            <w:r>
              <w:rPr>
                <w:rFonts w:ascii="Verdana" w:hAnsi="Verdana"/>
                <w:sz w:val="20"/>
                <w:szCs w:val="20"/>
                <w:lang w:eastAsia="en-US"/>
              </w:rPr>
              <w:t>We estimate that a</w:t>
            </w:r>
            <w:r w:rsidR="008A64D4">
              <w:rPr>
                <w:rFonts w:ascii="Verdana" w:hAnsi="Verdana"/>
                <w:sz w:val="20"/>
                <w:szCs w:val="20"/>
                <w:lang w:eastAsia="en-US"/>
              </w:rPr>
              <w:t xml:space="preserve">djusting for these changes </w:t>
            </w:r>
            <w:r>
              <w:rPr>
                <w:rFonts w:ascii="Verdana" w:hAnsi="Verdana"/>
                <w:sz w:val="20"/>
                <w:szCs w:val="20"/>
                <w:lang w:eastAsia="en-US"/>
              </w:rPr>
              <w:t>in the RIIO-1 costs will increase the 13 year average labour proportion of ODA costs to around 2</w:t>
            </w:r>
            <w:r w:rsidR="0014098F">
              <w:rPr>
                <w:rFonts w:ascii="Verdana" w:hAnsi="Verdana"/>
                <w:sz w:val="20"/>
                <w:szCs w:val="20"/>
                <w:lang w:eastAsia="en-US"/>
              </w:rPr>
              <w:t>2</w:t>
            </w:r>
            <w:r>
              <w:rPr>
                <w:rFonts w:ascii="Verdana" w:hAnsi="Verdana"/>
                <w:sz w:val="20"/>
                <w:szCs w:val="20"/>
                <w:lang w:eastAsia="en-US"/>
              </w:rPr>
              <w:t>%.</w:t>
            </w:r>
          </w:p>
          <w:p w14:paraId="7F0E1C4F" w14:textId="77777777" w:rsidR="004E4ABE" w:rsidRDefault="004E4ABE">
            <w:pPr>
              <w:pStyle w:val="NormalWeb"/>
              <w:spacing w:before="0" w:beforeAutospacing="0" w:after="200" w:afterAutospacing="0" w:line="276" w:lineRule="auto"/>
              <w:rPr>
                <w:rFonts w:ascii="Verdana" w:hAnsi="Verdana"/>
                <w:sz w:val="20"/>
                <w:szCs w:val="20"/>
                <w:lang w:eastAsia="en-US"/>
              </w:rPr>
            </w:pPr>
            <w:r>
              <w:rPr>
                <w:rFonts w:ascii="Verdana" w:hAnsi="Verdana"/>
                <w:sz w:val="20"/>
                <w:szCs w:val="20"/>
                <w:lang w:eastAsia="en-US"/>
              </w:rPr>
              <w:t>Please confirm that you agree this is an error.</w:t>
            </w:r>
          </w:p>
          <w:p w14:paraId="5B610AFE" w14:textId="77777777" w:rsidR="004E4ABE" w:rsidRDefault="004E4ABE">
            <w:pPr>
              <w:pStyle w:val="NormalWeb"/>
              <w:spacing w:before="0" w:beforeAutospacing="0" w:after="200" w:afterAutospacing="0" w:line="276" w:lineRule="auto"/>
              <w:rPr>
                <w:rFonts w:ascii="Verdana" w:hAnsi="Verdana"/>
                <w:sz w:val="20"/>
                <w:szCs w:val="20"/>
                <w:lang w:eastAsia="en-US"/>
              </w:rPr>
            </w:pPr>
            <w:r>
              <w:rPr>
                <w:rFonts w:ascii="Verdana" w:hAnsi="Verdana"/>
                <w:sz w:val="20"/>
                <w:szCs w:val="20"/>
                <w:lang w:eastAsia="en-US"/>
              </w:rPr>
              <w:t>The file reference is LabourRatios file (1): tab Cal Labourratios adjusted, rows 375-411.</w:t>
            </w:r>
          </w:p>
          <w:p w14:paraId="34EF9BB3" w14:textId="77777777" w:rsidR="008A64D4" w:rsidRPr="004E4ABE" w:rsidRDefault="004E4ABE" w:rsidP="004E4ABE">
            <w:pPr>
              <w:pStyle w:val="NormalWeb"/>
              <w:numPr>
                <w:ilvl w:val="0"/>
                <w:numId w:val="11"/>
              </w:numPr>
              <w:spacing w:before="0" w:beforeAutospacing="0" w:after="200" w:afterAutospacing="0" w:line="276" w:lineRule="auto"/>
              <w:rPr>
                <w:rFonts w:ascii="Verdana" w:hAnsi="Verdana"/>
                <w:b/>
                <w:sz w:val="20"/>
                <w:szCs w:val="20"/>
                <w:lang w:eastAsia="en-US"/>
              </w:rPr>
            </w:pPr>
            <w:r w:rsidRPr="004E4ABE">
              <w:rPr>
                <w:rFonts w:ascii="Verdana" w:hAnsi="Verdana"/>
                <w:b/>
                <w:sz w:val="20"/>
                <w:szCs w:val="20"/>
                <w:lang w:eastAsia="en-US"/>
              </w:rPr>
              <w:t xml:space="preserve">The London Uplift calculation </w:t>
            </w:r>
          </w:p>
          <w:p w14:paraId="6734EB4E" w14:textId="77777777" w:rsidR="004E4ABE" w:rsidRDefault="004E4ABE">
            <w:pPr>
              <w:pStyle w:val="NormalWeb"/>
              <w:spacing w:before="0" w:beforeAutospacing="0" w:after="200" w:afterAutospacing="0" w:line="276" w:lineRule="auto"/>
              <w:rPr>
                <w:rFonts w:ascii="Verdana" w:hAnsi="Verdana"/>
                <w:sz w:val="20"/>
                <w:szCs w:val="20"/>
                <w:lang w:eastAsia="en-US"/>
              </w:rPr>
            </w:pPr>
            <w:r>
              <w:rPr>
                <w:rFonts w:ascii="Verdana" w:hAnsi="Verdana"/>
                <w:sz w:val="20"/>
                <w:szCs w:val="20"/>
                <w:lang w:eastAsia="en-US"/>
              </w:rPr>
              <w:t>At the DD, the London pay uplift for RIIO-2 was calculated using data for 2013/14 to 2017/18 – GD1 actuals, less the most recent year</w:t>
            </w:r>
            <w:r w:rsidR="0014098F">
              <w:rPr>
                <w:rFonts w:ascii="Verdana" w:hAnsi="Verdana"/>
                <w:sz w:val="20"/>
                <w:szCs w:val="20"/>
                <w:lang w:eastAsia="en-US"/>
              </w:rPr>
              <w:t xml:space="preserve"> for which Ofgem did not have population data</w:t>
            </w:r>
            <w:r>
              <w:rPr>
                <w:rFonts w:ascii="Verdana" w:hAnsi="Verdana"/>
                <w:sz w:val="20"/>
                <w:szCs w:val="20"/>
                <w:lang w:eastAsia="en-US"/>
              </w:rPr>
              <w:t xml:space="preserve">. </w:t>
            </w:r>
          </w:p>
          <w:p w14:paraId="743401E6" w14:textId="77777777" w:rsidR="004E4ABE" w:rsidRDefault="004E4ABE">
            <w:pPr>
              <w:pStyle w:val="NormalWeb"/>
              <w:spacing w:before="0" w:beforeAutospacing="0" w:after="200" w:afterAutospacing="0" w:line="276" w:lineRule="auto"/>
              <w:rPr>
                <w:rFonts w:ascii="Verdana" w:hAnsi="Verdana"/>
                <w:sz w:val="20"/>
                <w:szCs w:val="20"/>
                <w:lang w:eastAsia="en-US"/>
              </w:rPr>
            </w:pPr>
            <w:r>
              <w:rPr>
                <w:rFonts w:ascii="Verdana" w:hAnsi="Verdana"/>
                <w:sz w:val="20"/>
                <w:szCs w:val="20"/>
                <w:lang w:eastAsia="en-US"/>
              </w:rPr>
              <w:t xml:space="preserve">At FD, the London pay uplift is calculated using data for 2014/15 to 2018/19.  </w:t>
            </w:r>
          </w:p>
          <w:p w14:paraId="0A39CA58" w14:textId="58B3182B" w:rsidR="0014098F" w:rsidRDefault="004E4ABE">
            <w:pPr>
              <w:pStyle w:val="NormalWeb"/>
              <w:spacing w:before="0" w:beforeAutospacing="0" w:after="200" w:afterAutospacing="0" w:line="276" w:lineRule="auto"/>
              <w:rPr>
                <w:rFonts w:ascii="Verdana" w:hAnsi="Verdana"/>
                <w:sz w:val="20"/>
                <w:szCs w:val="20"/>
                <w:lang w:eastAsia="en-US"/>
              </w:rPr>
            </w:pPr>
            <w:r>
              <w:rPr>
                <w:rFonts w:ascii="Verdana" w:hAnsi="Verdana"/>
                <w:sz w:val="20"/>
                <w:szCs w:val="20"/>
                <w:lang w:eastAsia="en-US"/>
              </w:rPr>
              <w:t xml:space="preserve">We agree that the year 2018/19 should be included in the calculation, but </w:t>
            </w:r>
            <w:r w:rsidR="00C87D5F">
              <w:rPr>
                <w:rFonts w:ascii="Verdana" w:hAnsi="Verdana"/>
                <w:sz w:val="20"/>
                <w:szCs w:val="20"/>
                <w:lang w:eastAsia="en-US"/>
              </w:rPr>
              <w:t>we believe</w:t>
            </w:r>
            <w:r>
              <w:rPr>
                <w:rFonts w:ascii="Verdana" w:hAnsi="Verdana"/>
                <w:sz w:val="20"/>
                <w:szCs w:val="20"/>
                <w:lang w:eastAsia="en-US"/>
              </w:rPr>
              <w:t xml:space="preserve"> the exclusion of 2013/14 is an error.  We can see </w:t>
            </w:r>
            <w:r w:rsidR="00E7297B">
              <w:rPr>
                <w:rFonts w:ascii="Verdana" w:hAnsi="Verdana"/>
                <w:sz w:val="20"/>
                <w:szCs w:val="20"/>
                <w:lang w:eastAsia="en-US"/>
              </w:rPr>
              <w:t xml:space="preserve">strong </w:t>
            </w:r>
            <w:r>
              <w:rPr>
                <w:rFonts w:ascii="Verdana" w:hAnsi="Verdana"/>
                <w:sz w:val="20"/>
                <w:szCs w:val="20"/>
                <w:lang w:eastAsia="en-US"/>
              </w:rPr>
              <w:t xml:space="preserve">logic for using the most recent years – 2017/18 and 2018/19 </w:t>
            </w:r>
            <w:r w:rsidR="0014098F">
              <w:rPr>
                <w:rFonts w:ascii="Verdana" w:hAnsi="Verdana"/>
                <w:sz w:val="20"/>
                <w:szCs w:val="20"/>
                <w:lang w:eastAsia="en-US"/>
              </w:rPr>
              <w:t xml:space="preserve">as we proposed in our DD response </w:t>
            </w:r>
            <w:r>
              <w:rPr>
                <w:rFonts w:ascii="Verdana" w:hAnsi="Verdana"/>
                <w:sz w:val="20"/>
                <w:szCs w:val="20"/>
                <w:lang w:eastAsia="en-US"/>
              </w:rPr>
              <w:t xml:space="preserve">– and </w:t>
            </w:r>
            <w:r w:rsidR="00E7297B">
              <w:rPr>
                <w:rFonts w:ascii="Verdana" w:hAnsi="Verdana"/>
                <w:sz w:val="20"/>
                <w:szCs w:val="20"/>
                <w:lang w:eastAsia="en-US"/>
              </w:rPr>
              <w:lastRenderedPageBreak/>
              <w:t xml:space="preserve">some logic for </w:t>
            </w:r>
            <w:r>
              <w:rPr>
                <w:rFonts w:ascii="Verdana" w:hAnsi="Verdana"/>
                <w:sz w:val="20"/>
                <w:szCs w:val="20"/>
                <w:lang w:eastAsia="en-US"/>
              </w:rPr>
              <w:t>GD1 actuals – 2013/14 to 2018/19,</w:t>
            </w:r>
            <w:r w:rsidR="00060807">
              <w:rPr>
                <w:rFonts w:ascii="Verdana" w:hAnsi="Verdana"/>
                <w:sz w:val="20"/>
                <w:szCs w:val="20"/>
                <w:lang w:eastAsia="en-US"/>
              </w:rPr>
              <w:t xml:space="preserve"> the same start point as the calculation of labour percentage calculation as identified </w:t>
            </w:r>
            <w:r w:rsidR="00060807" w:rsidRPr="00060807">
              <w:rPr>
                <w:rFonts w:ascii="Verdana" w:hAnsi="Verdana"/>
                <w:sz w:val="20"/>
                <w:szCs w:val="20"/>
                <w:lang w:eastAsia="en-US"/>
              </w:rPr>
              <w:t>above.</w:t>
            </w:r>
            <w:r w:rsidRPr="00060807">
              <w:rPr>
                <w:rFonts w:ascii="Verdana" w:hAnsi="Verdana"/>
                <w:sz w:val="20"/>
                <w:szCs w:val="20"/>
                <w:lang w:eastAsia="en-US"/>
              </w:rPr>
              <w:t xml:space="preserve"> </w:t>
            </w:r>
            <w:r w:rsidR="00B0513C" w:rsidRPr="00060807">
              <w:rPr>
                <w:rFonts w:ascii="Verdana" w:hAnsi="Verdana"/>
                <w:sz w:val="20"/>
                <w:szCs w:val="20"/>
                <w:lang w:eastAsia="en-US"/>
              </w:rPr>
              <w:t>As such, we think th</w:t>
            </w:r>
            <w:r w:rsidR="00060807" w:rsidRPr="00060807">
              <w:rPr>
                <w:rFonts w:ascii="Verdana" w:hAnsi="Verdana"/>
                <w:sz w:val="20"/>
                <w:szCs w:val="20"/>
                <w:lang w:eastAsia="en-US"/>
              </w:rPr>
              <w:t xml:space="preserve">e exclusion of 2013/14 </w:t>
            </w:r>
            <w:r w:rsidR="00B0513C" w:rsidRPr="00060807">
              <w:rPr>
                <w:rFonts w:ascii="Verdana" w:hAnsi="Verdana"/>
                <w:sz w:val="20"/>
                <w:szCs w:val="20"/>
                <w:lang w:eastAsia="en-US"/>
              </w:rPr>
              <w:t>is a Technical Error</w:t>
            </w:r>
            <w:r w:rsidR="00060807">
              <w:rPr>
                <w:rFonts w:ascii="Verdana" w:hAnsi="Verdana"/>
                <w:sz w:val="20"/>
                <w:szCs w:val="20"/>
                <w:lang w:eastAsia="en-US"/>
              </w:rPr>
              <w:t>.</w:t>
            </w:r>
          </w:p>
          <w:p w14:paraId="66145A1F" w14:textId="77777777" w:rsidR="00E7297B" w:rsidRDefault="0014098F">
            <w:pPr>
              <w:pStyle w:val="NormalWeb"/>
              <w:spacing w:before="0" w:beforeAutospacing="0" w:after="200" w:afterAutospacing="0" w:line="276" w:lineRule="auto"/>
              <w:rPr>
                <w:rFonts w:ascii="Verdana" w:hAnsi="Verdana"/>
                <w:sz w:val="20"/>
                <w:szCs w:val="20"/>
                <w:lang w:eastAsia="en-US"/>
              </w:rPr>
            </w:pPr>
            <w:r>
              <w:rPr>
                <w:rFonts w:ascii="Verdana" w:hAnsi="Verdana"/>
                <w:sz w:val="20"/>
                <w:szCs w:val="20"/>
                <w:lang w:eastAsia="en-US"/>
              </w:rPr>
              <w:t xml:space="preserve">Please confirm whether the use to 2014/15 to 2018/19 for the London </w:t>
            </w:r>
            <w:r w:rsidR="00E7297B">
              <w:rPr>
                <w:rFonts w:ascii="Verdana" w:hAnsi="Verdana"/>
                <w:sz w:val="20"/>
                <w:szCs w:val="20"/>
                <w:lang w:eastAsia="en-US"/>
              </w:rPr>
              <w:t xml:space="preserve">pay uplift in RIIO-2 </w:t>
            </w:r>
            <w:r>
              <w:rPr>
                <w:rFonts w:ascii="Verdana" w:hAnsi="Verdana"/>
                <w:sz w:val="20"/>
                <w:szCs w:val="20"/>
                <w:lang w:eastAsia="en-US"/>
              </w:rPr>
              <w:t xml:space="preserve">is an error. </w:t>
            </w:r>
          </w:p>
          <w:p w14:paraId="35D25465" w14:textId="77777777" w:rsidR="00BA0306" w:rsidRPr="00EA1559" w:rsidRDefault="00E7297B" w:rsidP="00E7297B">
            <w:pPr>
              <w:pStyle w:val="NormalWeb"/>
              <w:spacing w:before="0" w:beforeAutospacing="0" w:after="200" w:afterAutospacing="0" w:line="276" w:lineRule="auto"/>
              <w:rPr>
                <w:rFonts w:ascii="Verdana" w:hAnsi="Verdana"/>
                <w:sz w:val="20"/>
                <w:szCs w:val="20"/>
                <w:lang w:eastAsia="en-US"/>
              </w:rPr>
            </w:pPr>
            <w:r>
              <w:rPr>
                <w:rFonts w:ascii="Verdana" w:hAnsi="Verdana"/>
                <w:sz w:val="20"/>
                <w:szCs w:val="20"/>
                <w:lang w:eastAsia="en-US"/>
              </w:rPr>
              <w:t>The file reference is the</w:t>
            </w:r>
            <w:r w:rsidRPr="00E7297B">
              <w:rPr>
                <w:rFonts w:ascii="Verdana" w:hAnsi="Verdana"/>
                <w:sz w:val="20"/>
                <w:szCs w:val="20"/>
                <w:lang w:eastAsia="en-US"/>
              </w:rPr>
              <w:t xml:space="preserve"> </w:t>
            </w:r>
            <w:r w:rsidRPr="00E7297B">
              <w:rPr>
                <w:rFonts w:ascii="Verdana" w:eastAsia="Times New Roman" w:hAnsi="Verdana"/>
                <w:sz w:val="20"/>
                <w:szCs w:val="20"/>
              </w:rPr>
              <w:t xml:space="preserve">RegionalCostIndices file (1): tab </w:t>
            </w:r>
            <w:r w:rsidRPr="00E7297B">
              <w:rPr>
                <w:rFonts w:ascii="Verdana" w:eastAsia="Times New Roman" w:hAnsi="Verdana"/>
                <w:i/>
                <w:iCs/>
                <w:sz w:val="20"/>
                <w:szCs w:val="20"/>
              </w:rPr>
              <w:t>Cal Labour Indices</w:t>
            </w:r>
            <w:r w:rsidRPr="00E7297B">
              <w:rPr>
                <w:rFonts w:ascii="Verdana" w:eastAsia="Times New Roman" w:hAnsi="Verdana"/>
                <w:sz w:val="20"/>
                <w:szCs w:val="20"/>
              </w:rPr>
              <w:t>, rows 82-89</w:t>
            </w:r>
            <w:r>
              <w:rPr>
                <w:rFonts w:ascii="Verdana" w:eastAsia="Times New Roman" w:hAnsi="Verdana"/>
                <w:sz w:val="20"/>
                <w:szCs w:val="20"/>
              </w:rPr>
              <w:t>.</w:t>
            </w:r>
          </w:p>
        </w:tc>
      </w:tr>
      <w:tr w:rsidR="00EA1559" w:rsidRPr="00EA1559" w14:paraId="3AD39B02" w14:textId="77777777" w:rsidTr="00EA155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127"/>
        </w:trPr>
        <w:tc>
          <w:tcPr>
            <w:tcW w:w="236" w:type="dxa"/>
            <w:gridSpan w:val="2"/>
            <w:vAlign w:val="center"/>
          </w:tcPr>
          <w:p w14:paraId="4E101ECA" w14:textId="77777777" w:rsidR="00EA1559" w:rsidRPr="00EA1559" w:rsidRDefault="00EA1559">
            <w:pPr>
              <w:rPr>
                <w:rFonts w:asciiTheme="minorHAnsi" w:hAnsiTheme="minorHAnsi"/>
                <w:sz w:val="22"/>
              </w:rPr>
            </w:pPr>
          </w:p>
        </w:tc>
        <w:tc>
          <w:tcPr>
            <w:tcW w:w="270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B7A109C" w14:textId="77777777" w:rsidR="00EA1559" w:rsidRPr="00EA1559" w:rsidRDefault="00EA1559">
            <w:pPr>
              <w:pStyle w:val="NormalWeb"/>
              <w:spacing w:after="200" w:afterAutospacing="0" w:line="276" w:lineRule="auto"/>
              <w:rPr>
                <w:rFonts w:ascii="Arial" w:hAnsi="Arial" w:cs="Arial"/>
                <w:b/>
                <w:bCs/>
                <w:sz w:val="20"/>
                <w:szCs w:val="20"/>
                <w:lang w:eastAsia="en-US"/>
              </w:rPr>
            </w:pPr>
            <w:r w:rsidRPr="00EA1559">
              <w:rPr>
                <w:rFonts w:ascii="Arial" w:hAnsi="Arial" w:cs="Arial"/>
                <w:b/>
                <w:bCs/>
                <w:sz w:val="20"/>
                <w:szCs w:val="20"/>
                <w:lang w:eastAsia="en-US"/>
              </w:rPr>
              <w:t>Confidential</w:t>
            </w:r>
          </w:p>
        </w:tc>
        <w:tc>
          <w:tcPr>
            <w:tcW w:w="6947" w:type="dxa"/>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74DC19B8" w14:textId="77777777" w:rsidR="00EA1559" w:rsidRPr="00EA1559" w:rsidRDefault="00206CA9">
            <w:pPr>
              <w:pStyle w:val="NormalWeb"/>
              <w:spacing w:after="200" w:afterAutospacing="0" w:line="276" w:lineRule="auto"/>
              <w:rPr>
                <w:rFonts w:ascii="Arial" w:hAnsi="Arial" w:cs="Arial"/>
                <w:sz w:val="20"/>
                <w:szCs w:val="20"/>
                <w:lang w:eastAsia="en-US"/>
              </w:rPr>
            </w:pPr>
            <w:r>
              <w:rPr>
                <w:rFonts w:ascii="Arial" w:hAnsi="Arial" w:cs="Arial"/>
                <w:sz w:val="20"/>
                <w:szCs w:val="20"/>
                <w:lang w:eastAsia="en-US"/>
              </w:rPr>
              <w:t>No</w:t>
            </w:r>
          </w:p>
        </w:tc>
      </w:tr>
      <w:tr w:rsidR="00EA1559" w:rsidRPr="00EA1559" w14:paraId="79374290" w14:textId="77777777" w:rsidTr="00EA155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127"/>
        </w:trPr>
        <w:tc>
          <w:tcPr>
            <w:tcW w:w="236" w:type="dxa"/>
            <w:gridSpan w:val="2"/>
            <w:vAlign w:val="center"/>
            <w:hideMark/>
          </w:tcPr>
          <w:p w14:paraId="62EE7C9B" w14:textId="77777777" w:rsidR="00EA1559" w:rsidRPr="00EA1559" w:rsidRDefault="00EA1559">
            <w:pPr>
              <w:rPr>
                <w:rFonts w:ascii="Calibri" w:hAnsi="Calibri"/>
                <w:sz w:val="22"/>
              </w:rPr>
            </w:pPr>
            <w:r w:rsidRPr="00EA1559">
              <w:t> </w:t>
            </w:r>
          </w:p>
        </w:tc>
        <w:tc>
          <w:tcPr>
            <w:tcW w:w="270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22F4130" w14:textId="77777777" w:rsidR="00EA1559" w:rsidRPr="00EA1559" w:rsidRDefault="00EA1559">
            <w:pPr>
              <w:pStyle w:val="NormalWeb"/>
              <w:spacing w:after="200" w:afterAutospacing="0" w:line="276" w:lineRule="auto"/>
              <w:rPr>
                <w:rFonts w:ascii="Verdana" w:hAnsi="Verdana"/>
                <w:sz w:val="20"/>
                <w:szCs w:val="20"/>
                <w:lang w:eastAsia="en-US"/>
              </w:rPr>
            </w:pPr>
            <w:r w:rsidRPr="00EA1559">
              <w:rPr>
                <w:rFonts w:ascii="Arial" w:hAnsi="Arial" w:cs="Arial"/>
                <w:b/>
                <w:bCs/>
                <w:sz w:val="20"/>
                <w:szCs w:val="20"/>
                <w:lang w:eastAsia="en-US"/>
              </w:rPr>
              <w:t xml:space="preserve">FDQ raised by </w:t>
            </w:r>
          </w:p>
        </w:tc>
        <w:tc>
          <w:tcPr>
            <w:tcW w:w="6947" w:type="dxa"/>
            <w:gridSpan w:val="2"/>
            <w:tcBorders>
              <w:top w:val="nil"/>
              <w:left w:val="nil"/>
              <w:bottom w:val="single" w:sz="8" w:space="0" w:color="auto"/>
              <w:right w:val="single" w:sz="8" w:space="0" w:color="auto"/>
            </w:tcBorders>
            <w:tcMar>
              <w:top w:w="0" w:type="dxa"/>
              <w:left w:w="108" w:type="dxa"/>
              <w:bottom w:w="0" w:type="dxa"/>
              <w:right w:w="108" w:type="dxa"/>
            </w:tcMar>
            <w:vAlign w:val="center"/>
          </w:tcPr>
          <w:p w14:paraId="19E4CA72" w14:textId="77777777" w:rsidR="00EA1559" w:rsidRPr="00EA1559" w:rsidRDefault="00B73EA6">
            <w:pPr>
              <w:pStyle w:val="NormalWeb"/>
              <w:spacing w:after="200" w:afterAutospacing="0" w:line="276" w:lineRule="auto"/>
              <w:rPr>
                <w:rFonts w:ascii="Verdana" w:hAnsi="Verdana"/>
                <w:sz w:val="20"/>
                <w:szCs w:val="20"/>
                <w:lang w:eastAsia="en-US"/>
              </w:rPr>
            </w:pPr>
            <w:r>
              <w:rPr>
                <w:rFonts w:ascii="Verdana" w:hAnsi="Verdana"/>
                <w:sz w:val="20"/>
                <w:szCs w:val="20"/>
                <w:lang w:eastAsia="en-US"/>
              </w:rPr>
              <w:t>Jeremy Thomson</w:t>
            </w:r>
          </w:p>
        </w:tc>
      </w:tr>
      <w:tr w:rsidR="00EA1559" w:rsidRPr="00EA1559" w14:paraId="0236BB3A" w14:textId="77777777" w:rsidTr="00EA155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127"/>
        </w:trPr>
        <w:tc>
          <w:tcPr>
            <w:tcW w:w="236" w:type="dxa"/>
            <w:gridSpan w:val="2"/>
            <w:vAlign w:val="center"/>
            <w:hideMark/>
          </w:tcPr>
          <w:p w14:paraId="580195A2" w14:textId="77777777" w:rsidR="00EA1559" w:rsidRPr="00EA1559" w:rsidRDefault="00EA1559">
            <w:pPr>
              <w:rPr>
                <w:rFonts w:ascii="Calibri" w:hAnsi="Calibri"/>
                <w:sz w:val="22"/>
              </w:rPr>
            </w:pPr>
            <w:r w:rsidRPr="00EA1559">
              <w:t> </w:t>
            </w:r>
          </w:p>
        </w:tc>
        <w:tc>
          <w:tcPr>
            <w:tcW w:w="270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FD6437D" w14:textId="77777777" w:rsidR="00EA1559" w:rsidRPr="00EA1559" w:rsidRDefault="00EA1559">
            <w:pPr>
              <w:pStyle w:val="NormalWeb"/>
              <w:spacing w:after="200" w:afterAutospacing="0" w:line="276" w:lineRule="auto"/>
              <w:rPr>
                <w:rFonts w:ascii="Verdana" w:hAnsi="Verdana"/>
                <w:sz w:val="20"/>
                <w:szCs w:val="20"/>
                <w:lang w:eastAsia="en-US"/>
              </w:rPr>
            </w:pPr>
            <w:r w:rsidRPr="00EA1559">
              <w:rPr>
                <w:rFonts w:ascii="Arial" w:hAnsi="Arial" w:cs="Arial"/>
                <w:b/>
                <w:bCs/>
                <w:sz w:val="20"/>
                <w:szCs w:val="20"/>
                <w:lang w:eastAsia="en-US"/>
              </w:rPr>
              <w:t>Date Sent</w:t>
            </w:r>
          </w:p>
        </w:tc>
        <w:tc>
          <w:tcPr>
            <w:tcW w:w="6947" w:type="dxa"/>
            <w:gridSpan w:val="2"/>
            <w:tcBorders>
              <w:top w:val="nil"/>
              <w:left w:val="nil"/>
              <w:bottom w:val="single" w:sz="8" w:space="0" w:color="auto"/>
              <w:right w:val="single" w:sz="8" w:space="0" w:color="auto"/>
            </w:tcBorders>
            <w:tcMar>
              <w:top w:w="0" w:type="dxa"/>
              <w:left w:w="108" w:type="dxa"/>
              <w:bottom w:w="0" w:type="dxa"/>
              <w:right w:w="108" w:type="dxa"/>
            </w:tcMar>
            <w:vAlign w:val="center"/>
          </w:tcPr>
          <w:p w14:paraId="69E7F1DE" w14:textId="77777777" w:rsidR="00EA1559" w:rsidRPr="00EA1559" w:rsidRDefault="0000155F">
            <w:pPr>
              <w:pStyle w:val="NormalWeb"/>
              <w:spacing w:after="200" w:afterAutospacing="0" w:line="276" w:lineRule="auto"/>
              <w:rPr>
                <w:rFonts w:ascii="Verdana" w:hAnsi="Verdana"/>
                <w:sz w:val="20"/>
                <w:szCs w:val="20"/>
                <w:lang w:eastAsia="en-US"/>
              </w:rPr>
            </w:pPr>
            <w:r>
              <w:rPr>
                <w:rFonts w:ascii="Verdana" w:hAnsi="Verdana"/>
                <w:sz w:val="20"/>
                <w:szCs w:val="20"/>
                <w:lang w:eastAsia="en-US"/>
              </w:rPr>
              <w:t>1</w:t>
            </w:r>
            <w:r w:rsidR="00E7297B">
              <w:rPr>
                <w:rFonts w:ascii="Verdana" w:hAnsi="Verdana"/>
                <w:sz w:val="20"/>
                <w:szCs w:val="20"/>
                <w:lang w:eastAsia="en-US"/>
              </w:rPr>
              <w:t>6</w:t>
            </w:r>
            <w:r>
              <w:rPr>
                <w:rFonts w:ascii="Verdana" w:hAnsi="Verdana"/>
                <w:sz w:val="20"/>
                <w:szCs w:val="20"/>
                <w:lang w:eastAsia="en-US"/>
              </w:rPr>
              <w:t>/12/2020</w:t>
            </w:r>
          </w:p>
        </w:tc>
      </w:tr>
      <w:tr w:rsidR="00EA1559" w:rsidRPr="00EA1559" w14:paraId="47786286" w14:textId="77777777" w:rsidTr="0028106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127"/>
        </w:trPr>
        <w:tc>
          <w:tcPr>
            <w:tcW w:w="236" w:type="dxa"/>
            <w:gridSpan w:val="2"/>
            <w:vAlign w:val="center"/>
            <w:hideMark/>
          </w:tcPr>
          <w:p w14:paraId="08B950ED" w14:textId="77777777" w:rsidR="00EA1559" w:rsidRPr="00EA1559" w:rsidRDefault="00EA1559">
            <w:pPr>
              <w:rPr>
                <w:rFonts w:ascii="Calibri" w:hAnsi="Calibri"/>
                <w:sz w:val="22"/>
              </w:rPr>
            </w:pPr>
            <w:r w:rsidRPr="00EA1559">
              <w:t> </w:t>
            </w:r>
          </w:p>
        </w:tc>
        <w:tc>
          <w:tcPr>
            <w:tcW w:w="270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862580F" w14:textId="77777777" w:rsidR="00EA1559" w:rsidRPr="00EA1559" w:rsidRDefault="00EA1559">
            <w:pPr>
              <w:pStyle w:val="NormalWeb"/>
              <w:spacing w:after="200" w:afterAutospacing="0" w:line="276" w:lineRule="auto"/>
              <w:rPr>
                <w:rFonts w:ascii="Verdana" w:hAnsi="Verdana"/>
                <w:sz w:val="20"/>
                <w:szCs w:val="20"/>
                <w:lang w:eastAsia="en-US"/>
              </w:rPr>
            </w:pPr>
            <w:r w:rsidRPr="00EA1559">
              <w:rPr>
                <w:rFonts w:ascii="Arial" w:hAnsi="Arial" w:cs="Arial"/>
                <w:b/>
                <w:bCs/>
                <w:sz w:val="20"/>
                <w:szCs w:val="20"/>
                <w:lang w:eastAsia="en-US"/>
              </w:rPr>
              <w:t>Response Due Date</w:t>
            </w:r>
          </w:p>
        </w:tc>
        <w:tc>
          <w:tcPr>
            <w:tcW w:w="6947" w:type="dxa"/>
            <w:gridSpan w:val="2"/>
            <w:tcBorders>
              <w:top w:val="nil"/>
              <w:left w:val="nil"/>
              <w:bottom w:val="single" w:sz="8" w:space="0" w:color="auto"/>
              <w:right w:val="single" w:sz="8" w:space="0" w:color="auto"/>
            </w:tcBorders>
            <w:tcMar>
              <w:top w:w="0" w:type="dxa"/>
              <w:left w:w="108" w:type="dxa"/>
              <w:bottom w:w="0" w:type="dxa"/>
              <w:right w:w="108" w:type="dxa"/>
            </w:tcMar>
            <w:vAlign w:val="center"/>
          </w:tcPr>
          <w:p w14:paraId="7FD91E9D" w14:textId="7CCC9149" w:rsidR="00EA1559" w:rsidRPr="00EA1559" w:rsidRDefault="00BD0F53">
            <w:pPr>
              <w:pStyle w:val="NormalWeb"/>
              <w:spacing w:after="200" w:afterAutospacing="0" w:line="276" w:lineRule="auto"/>
              <w:rPr>
                <w:rFonts w:ascii="Verdana" w:hAnsi="Verdana"/>
                <w:sz w:val="20"/>
                <w:szCs w:val="20"/>
                <w:lang w:eastAsia="en-US"/>
              </w:rPr>
            </w:pPr>
            <w:r w:rsidRPr="00060807">
              <w:rPr>
                <w:rFonts w:ascii="Verdana" w:hAnsi="Verdana"/>
                <w:sz w:val="20"/>
                <w:szCs w:val="20"/>
                <w:lang w:eastAsia="en-US"/>
              </w:rPr>
              <w:t>21</w:t>
            </w:r>
            <w:r w:rsidR="0000155F" w:rsidRPr="00060807">
              <w:rPr>
                <w:rFonts w:ascii="Verdana" w:hAnsi="Verdana"/>
                <w:sz w:val="20"/>
                <w:szCs w:val="20"/>
                <w:lang w:eastAsia="en-US"/>
              </w:rPr>
              <w:t>/</w:t>
            </w:r>
            <w:r w:rsidR="0000155F">
              <w:rPr>
                <w:rFonts w:ascii="Verdana" w:hAnsi="Verdana"/>
                <w:sz w:val="20"/>
                <w:szCs w:val="20"/>
                <w:lang w:eastAsia="en-US"/>
              </w:rPr>
              <w:t>12/2020</w:t>
            </w:r>
          </w:p>
        </w:tc>
      </w:tr>
      <w:tr w:rsidR="00EA1559" w:rsidRPr="00EA1559" w14:paraId="5E8538F2" w14:textId="77777777" w:rsidTr="00EA155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1978"/>
        </w:trPr>
        <w:tc>
          <w:tcPr>
            <w:tcW w:w="236" w:type="dxa"/>
            <w:gridSpan w:val="2"/>
            <w:vAlign w:val="center"/>
            <w:hideMark/>
          </w:tcPr>
          <w:p w14:paraId="70688153" w14:textId="77777777" w:rsidR="00EA1559" w:rsidRPr="00EA1559" w:rsidRDefault="00EA1559">
            <w:pPr>
              <w:rPr>
                <w:rFonts w:ascii="Calibri" w:hAnsi="Calibri"/>
                <w:sz w:val="22"/>
              </w:rPr>
            </w:pPr>
            <w:r w:rsidRPr="00EA1559">
              <w:t> </w:t>
            </w:r>
          </w:p>
        </w:tc>
        <w:tc>
          <w:tcPr>
            <w:tcW w:w="9654" w:type="dxa"/>
            <w:gridSpan w:val="3"/>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4363467" w14:textId="77777777" w:rsidR="00EA1559" w:rsidRPr="00281066" w:rsidRDefault="00EA1559">
            <w:pPr>
              <w:pStyle w:val="NormalWeb"/>
              <w:spacing w:line="276" w:lineRule="auto"/>
              <w:rPr>
                <w:rFonts w:ascii="Arial" w:hAnsi="Arial" w:cs="Arial"/>
                <w:b/>
                <w:bCs/>
                <w:sz w:val="20"/>
                <w:szCs w:val="20"/>
                <w:lang w:eastAsia="en-US"/>
              </w:rPr>
            </w:pPr>
            <w:r w:rsidRPr="00EA1559">
              <w:rPr>
                <w:rFonts w:ascii="Arial" w:hAnsi="Arial" w:cs="Arial"/>
                <w:sz w:val="24"/>
                <w:szCs w:val="24"/>
                <w:lang w:eastAsia="en-US"/>
              </w:rPr>
              <w:t> </w:t>
            </w:r>
            <w:r w:rsidRPr="00281066">
              <w:rPr>
                <w:rFonts w:ascii="Arial" w:hAnsi="Arial" w:cs="Arial"/>
                <w:b/>
                <w:bCs/>
                <w:sz w:val="20"/>
                <w:szCs w:val="20"/>
                <w:lang w:eastAsia="en-US"/>
              </w:rPr>
              <w:t xml:space="preserve">Attachments: </w:t>
            </w:r>
          </w:p>
        </w:tc>
      </w:tr>
      <w:tr w:rsidR="00EA1559" w:rsidRPr="00EA1559" w14:paraId="104FF76A" w14:textId="77777777" w:rsidTr="00EA155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226"/>
        </w:trPr>
        <w:tc>
          <w:tcPr>
            <w:tcW w:w="236" w:type="dxa"/>
            <w:gridSpan w:val="2"/>
            <w:vAlign w:val="center"/>
            <w:hideMark/>
          </w:tcPr>
          <w:p w14:paraId="37E67A8D" w14:textId="77777777" w:rsidR="00EA1559" w:rsidRPr="00EA1559" w:rsidRDefault="00EA1559">
            <w:pPr>
              <w:rPr>
                <w:rFonts w:ascii="Calibri" w:hAnsi="Calibri" w:cs="Calibri"/>
                <w:sz w:val="22"/>
              </w:rPr>
            </w:pPr>
            <w:r w:rsidRPr="00EA1559">
              <w:t> </w:t>
            </w:r>
          </w:p>
        </w:tc>
        <w:tc>
          <w:tcPr>
            <w:tcW w:w="9654" w:type="dxa"/>
            <w:gridSpan w:val="3"/>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8194A95" w14:textId="77777777" w:rsidR="00EA1559" w:rsidRDefault="00EA1559">
            <w:pPr>
              <w:rPr>
                <w:rFonts w:ascii="Arial" w:hAnsi="Arial" w:cs="Arial"/>
                <w:b/>
                <w:bCs/>
                <w:szCs w:val="20"/>
              </w:rPr>
            </w:pPr>
            <w:r w:rsidRPr="00EA1559">
              <w:rPr>
                <w:rFonts w:ascii="Arial" w:hAnsi="Arial" w:cs="Arial"/>
                <w:b/>
                <w:bCs/>
                <w:szCs w:val="20"/>
              </w:rPr>
              <w:t xml:space="preserve">Response to Cadent: </w:t>
            </w:r>
          </w:p>
          <w:p w14:paraId="244BFD24" w14:textId="3E77BCDE" w:rsidR="00250CCA" w:rsidRPr="00250CCA" w:rsidRDefault="00250CCA">
            <w:pPr>
              <w:rPr>
                <w:rFonts w:ascii="Arial" w:hAnsi="Arial" w:cs="Arial"/>
                <w:szCs w:val="20"/>
              </w:rPr>
            </w:pPr>
            <w:r>
              <w:rPr>
                <w:rFonts w:ascii="Arial" w:hAnsi="Arial" w:cs="Arial"/>
                <w:b/>
                <w:bCs/>
                <w:szCs w:val="20"/>
              </w:rPr>
              <w:t>1.</w:t>
            </w:r>
            <w:r w:rsidRPr="00250CCA">
              <w:rPr>
                <w:rFonts w:ascii="Arial" w:hAnsi="Arial" w:cs="Arial"/>
                <w:szCs w:val="20"/>
              </w:rPr>
              <w:t xml:space="preserve"> Thanks for pointing this out. We confirm this is an error</w:t>
            </w:r>
            <w:r>
              <w:rPr>
                <w:rFonts w:ascii="Arial" w:hAnsi="Arial" w:cs="Arial"/>
                <w:szCs w:val="20"/>
              </w:rPr>
              <w:t>, which we will address. As a default option, we’ll consider December BPDTs.</w:t>
            </w:r>
          </w:p>
          <w:p w14:paraId="574D5BF7" w14:textId="4CE6B9B3" w:rsidR="00250CCA" w:rsidRPr="00250CCA" w:rsidRDefault="00250CCA">
            <w:pPr>
              <w:rPr>
                <w:rFonts w:ascii="Arial" w:hAnsi="Arial" w:cs="Arial"/>
                <w:szCs w:val="20"/>
              </w:rPr>
            </w:pPr>
            <w:r>
              <w:rPr>
                <w:rFonts w:ascii="Arial" w:hAnsi="Arial" w:cs="Arial"/>
                <w:b/>
                <w:bCs/>
                <w:szCs w:val="20"/>
              </w:rPr>
              <w:t xml:space="preserve">2. </w:t>
            </w:r>
            <w:r w:rsidR="00141CB5" w:rsidRPr="00141CB5">
              <w:rPr>
                <w:rFonts w:ascii="Arial" w:hAnsi="Arial" w:cs="Arial"/>
                <w:szCs w:val="20"/>
              </w:rPr>
              <w:t>Our intent was to apply consistency of time period approach across all aspects for FD, but upon further reflection we agree the difference in cost structure for ODAs between RIIO</w:t>
            </w:r>
            <w:r w:rsidR="00141CB5">
              <w:rPr>
                <w:rFonts w:ascii="Arial" w:hAnsi="Arial" w:cs="Arial"/>
                <w:szCs w:val="20"/>
              </w:rPr>
              <w:t>-</w:t>
            </w:r>
            <w:r w:rsidR="00141CB5" w:rsidRPr="00141CB5">
              <w:rPr>
                <w:rFonts w:ascii="Arial" w:hAnsi="Arial" w:cs="Arial"/>
                <w:szCs w:val="20"/>
              </w:rPr>
              <w:t>GD1 and RIIO</w:t>
            </w:r>
            <w:r w:rsidR="00141CB5">
              <w:rPr>
                <w:rFonts w:ascii="Arial" w:hAnsi="Arial" w:cs="Arial"/>
                <w:szCs w:val="20"/>
              </w:rPr>
              <w:t>-</w:t>
            </w:r>
            <w:r w:rsidR="00141CB5" w:rsidRPr="00141CB5">
              <w:rPr>
                <w:rFonts w:ascii="Arial" w:hAnsi="Arial" w:cs="Arial"/>
                <w:szCs w:val="20"/>
              </w:rPr>
              <w:t>GD2 periods reasonably justifies a difference in approach here and we will use a RIIO</w:t>
            </w:r>
            <w:r w:rsidR="00141CB5">
              <w:rPr>
                <w:rFonts w:ascii="Arial" w:hAnsi="Arial" w:cs="Arial"/>
                <w:szCs w:val="20"/>
              </w:rPr>
              <w:t>-</w:t>
            </w:r>
            <w:r w:rsidR="00141CB5" w:rsidRPr="00141CB5">
              <w:rPr>
                <w:rFonts w:ascii="Arial" w:hAnsi="Arial" w:cs="Arial"/>
                <w:szCs w:val="20"/>
              </w:rPr>
              <w:t>GD2 only measure in the final error</w:t>
            </w:r>
            <w:r w:rsidR="00141CB5">
              <w:rPr>
                <w:rFonts w:ascii="Arial" w:hAnsi="Arial" w:cs="Arial"/>
                <w:szCs w:val="20"/>
              </w:rPr>
              <w:t xml:space="preserve"> </w:t>
            </w:r>
            <w:r w:rsidR="00141CB5" w:rsidRPr="00141CB5">
              <w:rPr>
                <w:rFonts w:ascii="Arial" w:hAnsi="Arial" w:cs="Arial"/>
                <w:szCs w:val="20"/>
              </w:rPr>
              <w:t>corrected FD model run.</w:t>
            </w:r>
          </w:p>
          <w:p w14:paraId="1FF83683" w14:textId="38CD6BCA" w:rsidR="00250CCA" w:rsidRPr="00EA1559" w:rsidRDefault="00250CCA">
            <w:pPr>
              <w:rPr>
                <w:rFonts w:ascii="Arial" w:hAnsi="Arial" w:cs="Arial"/>
                <w:szCs w:val="20"/>
              </w:rPr>
            </w:pPr>
            <w:r>
              <w:rPr>
                <w:rFonts w:ascii="Arial" w:hAnsi="Arial" w:cs="Arial"/>
                <w:b/>
                <w:bCs/>
                <w:szCs w:val="20"/>
              </w:rPr>
              <w:t>3.</w:t>
            </w:r>
            <w:r w:rsidRPr="00250CCA">
              <w:rPr>
                <w:rFonts w:ascii="Arial" w:hAnsi="Arial" w:cs="Arial"/>
                <w:szCs w:val="20"/>
              </w:rPr>
              <w:t xml:space="preserve"> This is not an error.</w:t>
            </w:r>
            <w:r w:rsidR="00E4456B">
              <w:rPr>
                <w:rFonts w:ascii="Arial" w:hAnsi="Arial" w:cs="Arial"/>
                <w:szCs w:val="20"/>
              </w:rPr>
              <w:t xml:space="preserve"> We consider </w:t>
            </w:r>
            <w:r w:rsidR="00125D87">
              <w:rPr>
                <w:rFonts w:ascii="Arial" w:hAnsi="Arial" w:cs="Arial"/>
                <w:szCs w:val="20"/>
              </w:rPr>
              <w:t xml:space="preserve">using of a </w:t>
            </w:r>
            <w:r w:rsidR="00E4456B">
              <w:rPr>
                <w:rFonts w:ascii="Arial" w:hAnsi="Arial" w:cs="Arial"/>
                <w:szCs w:val="20"/>
              </w:rPr>
              <w:t xml:space="preserve">5-year average </w:t>
            </w:r>
            <w:r w:rsidR="00125D87">
              <w:rPr>
                <w:rFonts w:ascii="Arial" w:hAnsi="Arial" w:cs="Arial"/>
                <w:szCs w:val="20"/>
              </w:rPr>
              <w:t xml:space="preserve">achieves a balance between using the most updated information (extending to 6 years would have resulted in assigning a higher weight to less relevant years) and avoiding biases due to year-on-year variations (this would have been the case if we only used the last two years). </w:t>
            </w:r>
          </w:p>
        </w:tc>
      </w:tr>
    </w:tbl>
    <w:p w14:paraId="66D35D58" w14:textId="77777777" w:rsidR="00945C7C" w:rsidRPr="00EA1559" w:rsidRDefault="00945C7C" w:rsidP="008A5062"/>
    <w:sectPr w:rsidR="00945C7C" w:rsidRPr="00EA1559" w:rsidSect="008A5062">
      <w:pgSz w:w="11906" w:h="16838"/>
      <w:pgMar w:top="1440" w:right="1440" w:bottom="1276"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50DE027" w14:textId="77777777" w:rsidR="00544C08" w:rsidRDefault="00544C08" w:rsidP="00526623">
      <w:pPr>
        <w:spacing w:after="0" w:line="240" w:lineRule="auto"/>
      </w:pPr>
      <w:r>
        <w:separator/>
      </w:r>
    </w:p>
  </w:endnote>
  <w:endnote w:type="continuationSeparator" w:id="0">
    <w:p w14:paraId="030EE8D9" w14:textId="77777777" w:rsidR="00544C08" w:rsidRDefault="00544C08" w:rsidP="005266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A3CEC67" w14:textId="77777777" w:rsidR="00544C08" w:rsidRDefault="00544C08" w:rsidP="00526623">
      <w:pPr>
        <w:spacing w:after="0" w:line="240" w:lineRule="auto"/>
      </w:pPr>
      <w:r>
        <w:separator/>
      </w:r>
    </w:p>
  </w:footnote>
  <w:footnote w:type="continuationSeparator" w:id="0">
    <w:p w14:paraId="4C4AC8EB" w14:textId="77777777" w:rsidR="00544C08" w:rsidRDefault="00544C08" w:rsidP="0052662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704490"/>
    <w:multiLevelType w:val="hybridMultilevel"/>
    <w:tmpl w:val="D16240A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71D060E"/>
    <w:multiLevelType w:val="hybridMultilevel"/>
    <w:tmpl w:val="06D446D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3D006257"/>
    <w:multiLevelType w:val="hybridMultilevel"/>
    <w:tmpl w:val="E1A662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42AC7E98"/>
    <w:multiLevelType w:val="hybridMultilevel"/>
    <w:tmpl w:val="6972B788"/>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53854A0A"/>
    <w:multiLevelType w:val="hybridMultilevel"/>
    <w:tmpl w:val="A5229796"/>
    <w:lvl w:ilvl="0" w:tplc="08090001">
      <w:start w:val="1"/>
      <w:numFmt w:val="bullet"/>
      <w:lvlText w:val=""/>
      <w:lvlJc w:val="left"/>
      <w:pPr>
        <w:ind w:left="720" w:hanging="72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54F15E06"/>
    <w:multiLevelType w:val="hybridMultilevel"/>
    <w:tmpl w:val="993C2DC4"/>
    <w:lvl w:ilvl="0" w:tplc="08090001">
      <w:start w:val="1"/>
      <w:numFmt w:val="bullet"/>
      <w:lvlText w:val=""/>
      <w:lvlJc w:val="left"/>
      <w:pPr>
        <w:ind w:left="864" w:hanging="360"/>
      </w:pPr>
      <w:rPr>
        <w:rFonts w:ascii="Symbol" w:hAnsi="Symbol" w:hint="default"/>
      </w:rPr>
    </w:lvl>
    <w:lvl w:ilvl="1" w:tplc="08090003" w:tentative="1">
      <w:start w:val="1"/>
      <w:numFmt w:val="bullet"/>
      <w:lvlText w:val="o"/>
      <w:lvlJc w:val="left"/>
      <w:pPr>
        <w:ind w:left="1584" w:hanging="360"/>
      </w:pPr>
      <w:rPr>
        <w:rFonts w:ascii="Courier New" w:hAnsi="Courier New" w:cs="Courier New" w:hint="default"/>
      </w:rPr>
    </w:lvl>
    <w:lvl w:ilvl="2" w:tplc="08090005" w:tentative="1">
      <w:start w:val="1"/>
      <w:numFmt w:val="bullet"/>
      <w:lvlText w:val=""/>
      <w:lvlJc w:val="left"/>
      <w:pPr>
        <w:ind w:left="2304" w:hanging="360"/>
      </w:pPr>
      <w:rPr>
        <w:rFonts w:ascii="Wingdings" w:hAnsi="Wingdings" w:hint="default"/>
      </w:rPr>
    </w:lvl>
    <w:lvl w:ilvl="3" w:tplc="08090001" w:tentative="1">
      <w:start w:val="1"/>
      <w:numFmt w:val="bullet"/>
      <w:lvlText w:val=""/>
      <w:lvlJc w:val="left"/>
      <w:pPr>
        <w:ind w:left="3024" w:hanging="360"/>
      </w:pPr>
      <w:rPr>
        <w:rFonts w:ascii="Symbol" w:hAnsi="Symbol" w:hint="default"/>
      </w:rPr>
    </w:lvl>
    <w:lvl w:ilvl="4" w:tplc="08090003" w:tentative="1">
      <w:start w:val="1"/>
      <w:numFmt w:val="bullet"/>
      <w:lvlText w:val="o"/>
      <w:lvlJc w:val="left"/>
      <w:pPr>
        <w:ind w:left="3744" w:hanging="360"/>
      </w:pPr>
      <w:rPr>
        <w:rFonts w:ascii="Courier New" w:hAnsi="Courier New" w:cs="Courier New" w:hint="default"/>
      </w:rPr>
    </w:lvl>
    <w:lvl w:ilvl="5" w:tplc="08090005" w:tentative="1">
      <w:start w:val="1"/>
      <w:numFmt w:val="bullet"/>
      <w:lvlText w:val=""/>
      <w:lvlJc w:val="left"/>
      <w:pPr>
        <w:ind w:left="4464" w:hanging="360"/>
      </w:pPr>
      <w:rPr>
        <w:rFonts w:ascii="Wingdings" w:hAnsi="Wingdings" w:hint="default"/>
      </w:rPr>
    </w:lvl>
    <w:lvl w:ilvl="6" w:tplc="08090001" w:tentative="1">
      <w:start w:val="1"/>
      <w:numFmt w:val="bullet"/>
      <w:lvlText w:val=""/>
      <w:lvlJc w:val="left"/>
      <w:pPr>
        <w:ind w:left="5184" w:hanging="360"/>
      </w:pPr>
      <w:rPr>
        <w:rFonts w:ascii="Symbol" w:hAnsi="Symbol" w:hint="default"/>
      </w:rPr>
    </w:lvl>
    <w:lvl w:ilvl="7" w:tplc="08090003" w:tentative="1">
      <w:start w:val="1"/>
      <w:numFmt w:val="bullet"/>
      <w:lvlText w:val="o"/>
      <w:lvlJc w:val="left"/>
      <w:pPr>
        <w:ind w:left="5904" w:hanging="360"/>
      </w:pPr>
      <w:rPr>
        <w:rFonts w:ascii="Courier New" w:hAnsi="Courier New" w:cs="Courier New" w:hint="default"/>
      </w:rPr>
    </w:lvl>
    <w:lvl w:ilvl="8" w:tplc="08090005" w:tentative="1">
      <w:start w:val="1"/>
      <w:numFmt w:val="bullet"/>
      <w:lvlText w:val=""/>
      <w:lvlJc w:val="left"/>
      <w:pPr>
        <w:ind w:left="6624" w:hanging="360"/>
      </w:pPr>
      <w:rPr>
        <w:rFonts w:ascii="Wingdings" w:hAnsi="Wingdings" w:hint="default"/>
      </w:rPr>
    </w:lvl>
  </w:abstractNum>
  <w:abstractNum w:abstractNumId="6" w15:restartNumberingAfterBreak="0">
    <w:nsid w:val="588E7B6D"/>
    <w:multiLevelType w:val="hybridMultilevel"/>
    <w:tmpl w:val="D194BF8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59252724"/>
    <w:multiLevelType w:val="hybridMultilevel"/>
    <w:tmpl w:val="63D0AB7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664235F5"/>
    <w:multiLevelType w:val="hybridMultilevel"/>
    <w:tmpl w:val="568CB57A"/>
    <w:lvl w:ilvl="0" w:tplc="6F78D270">
      <w:numFmt w:val="bullet"/>
      <w:lvlText w:val=""/>
      <w:lvlJc w:val="left"/>
      <w:pPr>
        <w:ind w:left="720" w:hanging="720"/>
      </w:pPr>
      <w:rPr>
        <w:rFonts w:ascii="Symbol" w:eastAsiaTheme="minorHAnsi" w:hAnsi="Symbol" w:cs="Aria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66F33A86"/>
    <w:multiLevelType w:val="hybridMultilevel"/>
    <w:tmpl w:val="AA3647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687C2E3F"/>
    <w:multiLevelType w:val="hybridMultilevel"/>
    <w:tmpl w:val="C3D095F2"/>
    <w:lvl w:ilvl="0" w:tplc="6F78D270">
      <w:numFmt w:val="bullet"/>
      <w:lvlText w:val=""/>
      <w:lvlJc w:val="left"/>
      <w:pPr>
        <w:ind w:left="1080" w:hanging="720"/>
      </w:pPr>
      <w:rPr>
        <w:rFonts w:ascii="Symbol" w:eastAsiaTheme="minorHAnsi" w:hAnsi="Symbo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770312C9"/>
    <w:multiLevelType w:val="hybridMultilevel"/>
    <w:tmpl w:val="C6A8C58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
  </w:num>
  <w:num w:numId="2">
    <w:abstractNumId w:val="9"/>
  </w:num>
  <w:num w:numId="3">
    <w:abstractNumId w:val="10"/>
  </w:num>
  <w:num w:numId="4">
    <w:abstractNumId w:val="8"/>
  </w:num>
  <w:num w:numId="5">
    <w:abstractNumId w:val="4"/>
  </w:num>
  <w:num w:numId="6">
    <w:abstractNumId w:val="3"/>
  </w:num>
  <w:num w:numId="7">
    <w:abstractNumId w:val="1"/>
  </w:num>
  <w:num w:numId="8">
    <w:abstractNumId w:val="6"/>
  </w:num>
  <w:num w:numId="9">
    <w:abstractNumId w:val="11"/>
  </w:num>
  <w:num w:numId="10">
    <w:abstractNumId w:val="0"/>
  </w:num>
  <w:num w:numId="11">
    <w:abstractNumId w:val="7"/>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hideGrammaticalErrors/>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33BD9"/>
    <w:rsid w:val="0000155F"/>
    <w:rsid w:val="00007AB6"/>
    <w:rsid w:val="00041711"/>
    <w:rsid w:val="000436C2"/>
    <w:rsid w:val="000473D3"/>
    <w:rsid w:val="00050C54"/>
    <w:rsid w:val="00060807"/>
    <w:rsid w:val="000B0536"/>
    <w:rsid w:val="000E5B6D"/>
    <w:rsid w:val="0010126C"/>
    <w:rsid w:val="00107296"/>
    <w:rsid w:val="00125D87"/>
    <w:rsid w:val="00133BD9"/>
    <w:rsid w:val="00133CFC"/>
    <w:rsid w:val="0014098F"/>
    <w:rsid w:val="00141CB5"/>
    <w:rsid w:val="00172809"/>
    <w:rsid w:val="00172A20"/>
    <w:rsid w:val="001D0151"/>
    <w:rsid w:val="00206CA9"/>
    <w:rsid w:val="00206D5F"/>
    <w:rsid w:val="00250CCA"/>
    <w:rsid w:val="002707B1"/>
    <w:rsid w:val="00281066"/>
    <w:rsid w:val="00291D51"/>
    <w:rsid w:val="00293724"/>
    <w:rsid w:val="002A4AD8"/>
    <w:rsid w:val="002B4955"/>
    <w:rsid w:val="002E3EFB"/>
    <w:rsid w:val="00300FB4"/>
    <w:rsid w:val="003043A4"/>
    <w:rsid w:val="00342E6F"/>
    <w:rsid w:val="003452B0"/>
    <w:rsid w:val="00360385"/>
    <w:rsid w:val="00374CB2"/>
    <w:rsid w:val="00385085"/>
    <w:rsid w:val="00394961"/>
    <w:rsid w:val="003B3576"/>
    <w:rsid w:val="003F465C"/>
    <w:rsid w:val="00400822"/>
    <w:rsid w:val="004313E4"/>
    <w:rsid w:val="0047108D"/>
    <w:rsid w:val="004C4D2B"/>
    <w:rsid w:val="004D0311"/>
    <w:rsid w:val="004D1F2F"/>
    <w:rsid w:val="004E4ABE"/>
    <w:rsid w:val="00503895"/>
    <w:rsid w:val="00526623"/>
    <w:rsid w:val="00526A8E"/>
    <w:rsid w:val="00534E92"/>
    <w:rsid w:val="00536220"/>
    <w:rsid w:val="00544C08"/>
    <w:rsid w:val="00546458"/>
    <w:rsid w:val="00584F30"/>
    <w:rsid w:val="00586A8E"/>
    <w:rsid w:val="00590317"/>
    <w:rsid w:val="005927B6"/>
    <w:rsid w:val="005A506C"/>
    <w:rsid w:val="005A74DE"/>
    <w:rsid w:val="005E2894"/>
    <w:rsid w:val="0060723D"/>
    <w:rsid w:val="006224F4"/>
    <w:rsid w:val="006279ED"/>
    <w:rsid w:val="006802FF"/>
    <w:rsid w:val="006847DA"/>
    <w:rsid w:val="006B26DE"/>
    <w:rsid w:val="006E4411"/>
    <w:rsid w:val="006E5D29"/>
    <w:rsid w:val="00716508"/>
    <w:rsid w:val="00721734"/>
    <w:rsid w:val="007400B7"/>
    <w:rsid w:val="00753976"/>
    <w:rsid w:val="007572D8"/>
    <w:rsid w:val="007649AC"/>
    <w:rsid w:val="00772D1E"/>
    <w:rsid w:val="007974DA"/>
    <w:rsid w:val="007B29A9"/>
    <w:rsid w:val="007C2E37"/>
    <w:rsid w:val="007D7648"/>
    <w:rsid w:val="007E30C4"/>
    <w:rsid w:val="008170C7"/>
    <w:rsid w:val="00845396"/>
    <w:rsid w:val="0085400C"/>
    <w:rsid w:val="008A5062"/>
    <w:rsid w:val="008A64D4"/>
    <w:rsid w:val="008B3636"/>
    <w:rsid w:val="008B7043"/>
    <w:rsid w:val="008C5A35"/>
    <w:rsid w:val="009222C6"/>
    <w:rsid w:val="00924DEC"/>
    <w:rsid w:val="00935000"/>
    <w:rsid w:val="00937BF5"/>
    <w:rsid w:val="00941E89"/>
    <w:rsid w:val="00942721"/>
    <w:rsid w:val="00945C7C"/>
    <w:rsid w:val="00946125"/>
    <w:rsid w:val="009762C9"/>
    <w:rsid w:val="009845A8"/>
    <w:rsid w:val="00985B98"/>
    <w:rsid w:val="009B26A0"/>
    <w:rsid w:val="009B7577"/>
    <w:rsid w:val="009D4F56"/>
    <w:rsid w:val="00A054D1"/>
    <w:rsid w:val="00A0584E"/>
    <w:rsid w:val="00A06191"/>
    <w:rsid w:val="00A56CF3"/>
    <w:rsid w:val="00A77899"/>
    <w:rsid w:val="00A849A4"/>
    <w:rsid w:val="00A922CF"/>
    <w:rsid w:val="00AC6418"/>
    <w:rsid w:val="00AE2C71"/>
    <w:rsid w:val="00AF2854"/>
    <w:rsid w:val="00B0513C"/>
    <w:rsid w:val="00B33B74"/>
    <w:rsid w:val="00B33BDA"/>
    <w:rsid w:val="00B35E40"/>
    <w:rsid w:val="00B378CC"/>
    <w:rsid w:val="00B41AEB"/>
    <w:rsid w:val="00B54E67"/>
    <w:rsid w:val="00B73EA6"/>
    <w:rsid w:val="00B82400"/>
    <w:rsid w:val="00B86DDF"/>
    <w:rsid w:val="00BA0306"/>
    <w:rsid w:val="00BA4154"/>
    <w:rsid w:val="00BA5A79"/>
    <w:rsid w:val="00BB4793"/>
    <w:rsid w:val="00BB56A8"/>
    <w:rsid w:val="00BB682C"/>
    <w:rsid w:val="00BD0F53"/>
    <w:rsid w:val="00BD48A8"/>
    <w:rsid w:val="00C10D99"/>
    <w:rsid w:val="00C57345"/>
    <w:rsid w:val="00C814D0"/>
    <w:rsid w:val="00C81B4C"/>
    <w:rsid w:val="00C87D5F"/>
    <w:rsid w:val="00CA4297"/>
    <w:rsid w:val="00CC4056"/>
    <w:rsid w:val="00CC7214"/>
    <w:rsid w:val="00CF22EF"/>
    <w:rsid w:val="00D1736D"/>
    <w:rsid w:val="00D50036"/>
    <w:rsid w:val="00D53135"/>
    <w:rsid w:val="00D81399"/>
    <w:rsid w:val="00D815E6"/>
    <w:rsid w:val="00DA4D94"/>
    <w:rsid w:val="00DA67E5"/>
    <w:rsid w:val="00E040EA"/>
    <w:rsid w:val="00E11C0E"/>
    <w:rsid w:val="00E15A6C"/>
    <w:rsid w:val="00E346B6"/>
    <w:rsid w:val="00E4456B"/>
    <w:rsid w:val="00E525E0"/>
    <w:rsid w:val="00E55A7F"/>
    <w:rsid w:val="00E566F5"/>
    <w:rsid w:val="00E7297B"/>
    <w:rsid w:val="00EA1559"/>
    <w:rsid w:val="00EB123E"/>
    <w:rsid w:val="00EB179A"/>
    <w:rsid w:val="00EB2613"/>
    <w:rsid w:val="00EE1C79"/>
    <w:rsid w:val="00EE2493"/>
    <w:rsid w:val="00EF3292"/>
    <w:rsid w:val="00F05D10"/>
    <w:rsid w:val="00F129C1"/>
    <w:rsid w:val="00F20F23"/>
    <w:rsid w:val="00F23B18"/>
    <w:rsid w:val="00F31270"/>
    <w:rsid w:val="00F5577B"/>
    <w:rsid w:val="00F678C1"/>
    <w:rsid w:val="00F82AB4"/>
    <w:rsid w:val="00FB0EC9"/>
    <w:rsid w:val="00FD778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3033714"/>
  <w15:docId w15:val="{8F754C04-2215-409C-ACB5-4699D40A72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33BD9"/>
    <w:rPr>
      <w:rFonts w:ascii="Verdana" w:hAnsi="Verdana"/>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26623"/>
    <w:pPr>
      <w:tabs>
        <w:tab w:val="center" w:pos="4513"/>
        <w:tab w:val="right" w:pos="9026"/>
      </w:tabs>
      <w:spacing w:after="0" w:line="240" w:lineRule="auto"/>
    </w:pPr>
  </w:style>
  <w:style w:type="character" w:customStyle="1" w:styleId="HeaderChar">
    <w:name w:val="Header Char"/>
    <w:basedOn w:val="DefaultParagraphFont"/>
    <w:link w:val="Header"/>
    <w:uiPriority w:val="99"/>
    <w:rsid w:val="00526623"/>
    <w:rPr>
      <w:rFonts w:ascii="Verdana" w:hAnsi="Verdana"/>
      <w:sz w:val="20"/>
    </w:rPr>
  </w:style>
  <w:style w:type="paragraph" w:styleId="Footer">
    <w:name w:val="footer"/>
    <w:basedOn w:val="Normal"/>
    <w:link w:val="FooterChar"/>
    <w:uiPriority w:val="99"/>
    <w:unhideWhenUsed/>
    <w:rsid w:val="00526623"/>
    <w:pPr>
      <w:tabs>
        <w:tab w:val="center" w:pos="4513"/>
        <w:tab w:val="right" w:pos="9026"/>
      </w:tabs>
      <w:spacing w:after="0" w:line="240" w:lineRule="auto"/>
    </w:pPr>
  </w:style>
  <w:style w:type="character" w:customStyle="1" w:styleId="FooterChar">
    <w:name w:val="Footer Char"/>
    <w:basedOn w:val="DefaultParagraphFont"/>
    <w:link w:val="Footer"/>
    <w:uiPriority w:val="99"/>
    <w:rsid w:val="00526623"/>
    <w:rPr>
      <w:rFonts w:ascii="Verdana" w:hAnsi="Verdana"/>
      <w:sz w:val="20"/>
    </w:rPr>
  </w:style>
  <w:style w:type="paragraph" w:styleId="ListParagraph">
    <w:name w:val="List Paragraph"/>
    <w:basedOn w:val="Normal"/>
    <w:uiPriority w:val="34"/>
    <w:qFormat/>
    <w:rsid w:val="002707B1"/>
    <w:pPr>
      <w:ind w:left="720"/>
      <w:contextualSpacing/>
    </w:pPr>
  </w:style>
  <w:style w:type="paragraph" w:styleId="NormalWeb">
    <w:name w:val="Normal (Web)"/>
    <w:basedOn w:val="Normal"/>
    <w:uiPriority w:val="99"/>
    <w:unhideWhenUsed/>
    <w:rsid w:val="00EA1559"/>
    <w:pPr>
      <w:spacing w:before="100" w:beforeAutospacing="1" w:after="100" w:afterAutospacing="1" w:line="240" w:lineRule="auto"/>
    </w:pPr>
    <w:rPr>
      <w:rFonts w:ascii="Calibri" w:hAnsi="Calibri" w:cs="Calibri"/>
      <w:sz w:val="22"/>
      <w:lang w:eastAsia="en-GB"/>
    </w:rPr>
  </w:style>
  <w:style w:type="paragraph" w:customStyle="1" w:styleId="xmsobodytext">
    <w:name w:val="x_msobodytext"/>
    <w:basedOn w:val="Normal"/>
    <w:rsid w:val="00BA0306"/>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xmsonormal">
    <w:name w:val="x_msonormal"/>
    <w:basedOn w:val="Normal"/>
    <w:rsid w:val="00BA0306"/>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CommentReference">
    <w:name w:val="annotation reference"/>
    <w:basedOn w:val="DefaultParagraphFont"/>
    <w:uiPriority w:val="99"/>
    <w:semiHidden/>
    <w:unhideWhenUsed/>
    <w:rsid w:val="00250CCA"/>
    <w:rPr>
      <w:sz w:val="16"/>
      <w:szCs w:val="16"/>
    </w:rPr>
  </w:style>
  <w:style w:type="paragraph" w:styleId="CommentText">
    <w:name w:val="annotation text"/>
    <w:basedOn w:val="Normal"/>
    <w:link w:val="CommentTextChar"/>
    <w:uiPriority w:val="99"/>
    <w:semiHidden/>
    <w:unhideWhenUsed/>
    <w:rsid w:val="00250CCA"/>
    <w:pPr>
      <w:spacing w:line="240" w:lineRule="auto"/>
    </w:pPr>
    <w:rPr>
      <w:szCs w:val="20"/>
    </w:rPr>
  </w:style>
  <w:style w:type="character" w:customStyle="1" w:styleId="CommentTextChar">
    <w:name w:val="Comment Text Char"/>
    <w:basedOn w:val="DefaultParagraphFont"/>
    <w:link w:val="CommentText"/>
    <w:uiPriority w:val="99"/>
    <w:semiHidden/>
    <w:rsid w:val="00250CCA"/>
    <w:rPr>
      <w:rFonts w:ascii="Verdana" w:hAnsi="Verdana"/>
      <w:sz w:val="20"/>
      <w:szCs w:val="20"/>
    </w:rPr>
  </w:style>
  <w:style w:type="paragraph" w:styleId="CommentSubject">
    <w:name w:val="annotation subject"/>
    <w:basedOn w:val="CommentText"/>
    <w:next w:val="CommentText"/>
    <w:link w:val="CommentSubjectChar"/>
    <w:uiPriority w:val="99"/>
    <w:semiHidden/>
    <w:unhideWhenUsed/>
    <w:rsid w:val="00250CCA"/>
    <w:rPr>
      <w:b/>
      <w:bCs/>
    </w:rPr>
  </w:style>
  <w:style w:type="character" w:customStyle="1" w:styleId="CommentSubjectChar">
    <w:name w:val="Comment Subject Char"/>
    <w:basedOn w:val="CommentTextChar"/>
    <w:link w:val="CommentSubject"/>
    <w:uiPriority w:val="99"/>
    <w:semiHidden/>
    <w:rsid w:val="00250CCA"/>
    <w:rPr>
      <w:rFonts w:ascii="Verdana" w:hAnsi="Verdana"/>
      <w:b/>
      <w:bCs/>
      <w:sz w:val="20"/>
      <w:szCs w:val="20"/>
    </w:rPr>
  </w:style>
  <w:style w:type="paragraph" w:styleId="BalloonText">
    <w:name w:val="Balloon Text"/>
    <w:basedOn w:val="Normal"/>
    <w:link w:val="BalloonTextChar"/>
    <w:uiPriority w:val="99"/>
    <w:semiHidden/>
    <w:unhideWhenUsed/>
    <w:rsid w:val="00250CC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50CC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2991588">
      <w:bodyDiv w:val="1"/>
      <w:marLeft w:val="0"/>
      <w:marRight w:val="0"/>
      <w:marTop w:val="0"/>
      <w:marBottom w:val="0"/>
      <w:divBdr>
        <w:top w:val="none" w:sz="0" w:space="0" w:color="auto"/>
        <w:left w:val="none" w:sz="0" w:space="0" w:color="auto"/>
        <w:bottom w:val="none" w:sz="0" w:space="0" w:color="auto"/>
        <w:right w:val="none" w:sz="0" w:space="0" w:color="auto"/>
      </w:divBdr>
    </w:div>
    <w:div w:id="488908713">
      <w:bodyDiv w:val="1"/>
      <w:marLeft w:val="0"/>
      <w:marRight w:val="0"/>
      <w:marTop w:val="0"/>
      <w:marBottom w:val="0"/>
      <w:divBdr>
        <w:top w:val="none" w:sz="0" w:space="0" w:color="auto"/>
        <w:left w:val="none" w:sz="0" w:space="0" w:color="auto"/>
        <w:bottom w:val="none" w:sz="0" w:space="0" w:color="auto"/>
        <w:right w:val="none" w:sz="0" w:space="0" w:color="auto"/>
      </w:divBdr>
    </w:div>
    <w:div w:id="1023096431">
      <w:bodyDiv w:val="1"/>
      <w:marLeft w:val="0"/>
      <w:marRight w:val="0"/>
      <w:marTop w:val="0"/>
      <w:marBottom w:val="0"/>
      <w:divBdr>
        <w:top w:val="none" w:sz="0" w:space="0" w:color="auto"/>
        <w:left w:val="none" w:sz="0" w:space="0" w:color="auto"/>
        <w:bottom w:val="none" w:sz="0" w:space="0" w:color="auto"/>
        <w:right w:val="none" w:sz="0" w:space="0" w:color="auto"/>
      </w:divBdr>
    </w:div>
    <w:div w:id="1173034429">
      <w:bodyDiv w:val="1"/>
      <w:marLeft w:val="0"/>
      <w:marRight w:val="0"/>
      <w:marTop w:val="0"/>
      <w:marBottom w:val="0"/>
      <w:divBdr>
        <w:top w:val="none" w:sz="0" w:space="0" w:color="auto"/>
        <w:left w:val="none" w:sz="0" w:space="0" w:color="auto"/>
        <w:bottom w:val="none" w:sz="0" w:space="0" w:color="auto"/>
        <w:right w:val="none" w:sz="0" w:space="0" w:color="auto"/>
      </w:divBdr>
    </w:div>
    <w:div w:id="1217397188">
      <w:bodyDiv w:val="1"/>
      <w:marLeft w:val="0"/>
      <w:marRight w:val="0"/>
      <w:marTop w:val="0"/>
      <w:marBottom w:val="0"/>
      <w:divBdr>
        <w:top w:val="none" w:sz="0" w:space="0" w:color="auto"/>
        <w:left w:val="none" w:sz="0" w:space="0" w:color="auto"/>
        <w:bottom w:val="none" w:sz="0" w:space="0" w:color="auto"/>
        <w:right w:val="none" w:sz="0" w:space="0" w:color="auto"/>
      </w:divBdr>
    </w:div>
    <w:div w:id="20403979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documentManagement>
    <Descriptor xmlns="631298fc-6a88-4548-b7d9-3b164918c4a3">Commercial</Descriptor>
    <Classification xmlns="631298fc-6a88-4548-b7d9-3b164918c4a3">Protect</Classification>
    <Select_x0020_Content_x0020_Type_x0020_Above xmlns="631298fc-6a88-4548-b7d9-3b164918c4a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Select Content Type" ma:contentTypeID="0x01010032640DAD0EFF63499F40C6F300FF9AAD00123D5A5992A1A14CBB089F7FB8774E59" ma:contentTypeVersion="10" ma:contentTypeDescription="Select Content Type from drop-down above" ma:contentTypeScope="" ma:versionID="a3cd2b5df241df84d381fa7c7cb0d9b3">
  <xsd:schema xmlns:xsd="http://www.w3.org/2001/XMLSchema" xmlns:xs="http://www.w3.org/2001/XMLSchema" xmlns:p="http://schemas.microsoft.com/office/2006/metadata/properties" xmlns:ns2="631298fc-6a88-4548-b7d9-3b164918c4a3" targetNamespace="http://schemas.microsoft.com/office/2006/metadata/properties" ma:root="true" ma:fieldsID="603670f83f03641ab2f338f54c6036db" ns2:_="">
    <xsd:import namespace="631298fc-6a88-4548-b7d9-3b164918c4a3"/>
    <xsd:element name="properties">
      <xsd:complexType>
        <xsd:sequence>
          <xsd:element name="documentManagement">
            <xsd:complexType>
              <xsd:all>
                <xsd:element ref="ns2:Select_x0020_Content_x0020_Type_x0020_Above" minOccurs="0"/>
                <xsd:element ref="ns2:Classification" minOccurs="0"/>
                <xsd:element ref="ns2:Descripto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31298fc-6a88-4548-b7d9-3b164918c4a3" elementFormDefault="qualified">
    <xsd:import namespace="http://schemas.microsoft.com/office/2006/documentManagement/types"/>
    <xsd:import namespace="http://schemas.microsoft.com/office/infopath/2007/PartnerControls"/>
    <xsd:element name="Select_x0020_Content_x0020_Type_x0020_Above" ma:index="1" nillable="true" ma:displayName="Select Content Type Above" ma:description="Ensure you select the correct Content Type" ma:hidden="true" ma:internalName="Select_x0020_Content_x0020_Type_x0020_Above" ma:readOnly="false">
      <xsd:simpleType>
        <xsd:restriction base="dms:Text">
          <xsd:maxLength value="1"/>
        </xsd:restriction>
      </xsd:simpleType>
    </xsd:element>
    <xsd:element name="Classification" ma:index="3" nillable="true" ma:displayName="Classification" ma:default="Unclassified" ma:format="Dropdown" ma:hidden="true" ma:internalName="Classification" ma:readOnly="false">
      <xsd:simpleType>
        <xsd:restriction base="dms:Choice">
          <xsd:enumeration value="Unclassified"/>
          <xsd:enumeration value="Protect"/>
          <xsd:enumeration value="Restricted"/>
        </xsd:restriction>
      </xsd:simpleType>
    </xsd:element>
    <xsd:element name="Descriptor" ma:index="4" nillable="true" ma:displayName="Descriptor" ma:format="Dropdown" ma:hidden="true" ma:internalName="Descriptor" ma:readOnly="false">
      <xsd:simpleType>
        <xsd:restriction base="dms:Choice">
          <xsd:enumeration value="Commercial"/>
          <xsd:enumeration value="Management"/>
          <xsd:enumeration value="Market Sensitive"/>
          <xsd:enumeration value="Staff"/>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0" ma:displayName="Content Type"/>
        <xsd:element ref="dc:title" minOccurs="0" maxOccurs="1" ma:index="2"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haredContentType xmlns="Microsoft.SharePoint.Taxonomy.ContentTypeSync" SourceId="ca9306fc-8436-45f0-b931-e34f519be3a3" ContentTypeId="0x01010032640DAD0EFF63499F40C6F300FF9AAD" PreviousValue="true"/>
</file>

<file path=customXml/item5.xml><?xml version="1.0" encoding="utf-8"?>
<sisl xmlns:xsd="http://www.w3.org/2001/XMLSchema" xmlns:xsi="http://www.w3.org/2001/XMLSchema-instance" xmlns="http://www.boldonjames.com/2008/01/sie/internal/label" sislVersion="0" policy="973096ae-7329-4b3b-9368-47aeba6959e1" origin="userSelected"/>
</file>

<file path=customXml/itemProps1.xml><?xml version="1.0" encoding="utf-8"?>
<ds:datastoreItem xmlns:ds="http://schemas.openxmlformats.org/officeDocument/2006/customXml" ds:itemID="{DADD9686-A806-4D0B-BBC0-71266FA194C8}">
  <ds:schemaRefs>
    <ds:schemaRef ds:uri="http://schemas.microsoft.com/sharepoint/v3/fields"/>
    <ds:schemaRef ds:uri="http://purl.org/dc/elements/1.1/"/>
    <ds:schemaRef ds:uri="http://schemas.microsoft.com/office/infopath/2007/PartnerControls"/>
    <ds:schemaRef ds:uri="http://purl.org/dc/dcmitype/"/>
    <ds:schemaRef ds:uri="http://schemas.microsoft.com/office/2006/metadata/properties"/>
    <ds:schemaRef ds:uri="http://schemas.microsoft.com/office/2006/documentManagement/types"/>
    <ds:schemaRef ds:uri="http://www.w3.org/XML/1998/namespace"/>
    <ds:schemaRef ds:uri="http://schemas.openxmlformats.org/package/2006/metadata/core-properties"/>
    <ds:schemaRef ds:uri="631298fc-6a88-4548-b7d9-3b164918c4a3"/>
    <ds:schemaRef ds:uri="http://purl.org/dc/terms/"/>
  </ds:schemaRefs>
</ds:datastoreItem>
</file>

<file path=customXml/itemProps2.xml><?xml version="1.0" encoding="utf-8"?>
<ds:datastoreItem xmlns:ds="http://schemas.openxmlformats.org/officeDocument/2006/customXml" ds:itemID="{69FDA3A4-5B72-4BA7-9553-A22814E2645F}">
  <ds:schemaRefs>
    <ds:schemaRef ds:uri="http://schemas.microsoft.com/sharepoint/v3/contenttype/forms"/>
  </ds:schemaRefs>
</ds:datastoreItem>
</file>

<file path=customXml/itemProps3.xml><?xml version="1.0" encoding="utf-8"?>
<ds:datastoreItem xmlns:ds="http://schemas.openxmlformats.org/officeDocument/2006/customXml" ds:itemID="{9BE3BFF9-A1EB-4D67-B5BE-0F0E83D54589}"/>
</file>

<file path=customXml/itemProps4.xml><?xml version="1.0" encoding="utf-8"?>
<ds:datastoreItem xmlns:ds="http://schemas.openxmlformats.org/officeDocument/2006/customXml" ds:itemID="{91CD3836-FF0F-4738-8BB5-51AFE8199D2D}"/>
</file>

<file path=customXml/itemProps5.xml><?xml version="1.0" encoding="utf-8"?>
<ds:datastoreItem xmlns:ds="http://schemas.openxmlformats.org/officeDocument/2006/customXml" ds:itemID="{D831B1D4-AF9F-4593-BAB5-2319530090EB}">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3</Pages>
  <Words>720</Words>
  <Characters>4107</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SQ Response Template</vt:lpstr>
    </vt:vector>
  </TitlesOfParts>
  <Company>Ofgem</Company>
  <LinksUpToDate>false</LinksUpToDate>
  <CharactersWithSpaces>4818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SQ Response Template</dc:title>
  <dc:subject>SQS 2014</dc:subject>
  <dc:creator>Ade Olusola</dc:creator>
  <cp:lastModifiedBy>Teresa Romano</cp:lastModifiedBy>
  <cp:revision>5</cp:revision>
  <dcterms:created xsi:type="dcterms:W3CDTF">2021-01-04T11:00:00Z</dcterms:created>
  <dcterms:modified xsi:type="dcterms:W3CDTF">2021-01-05T08:43:00Z</dcterms:modified>
  <cp:contentStatus>Draft</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0x01010032640DAD0EFF63499F40C6F300FF9AAD00123D5A5992A1A14CBB089F7FB8774E59</vt:lpwstr>
  </property>
  <property fmtid="{D5CDD505-2E9C-101B-9397-08002B2CF9AE}" pid="3" name="Select Content Type Above">
    <vt:lpwstr/>
  </property>
  <property fmtid="{D5CDD505-2E9C-101B-9397-08002B2CF9AE}" pid="4" name="Order">
    <vt:r8>1778000</vt:r8>
  </property>
  <property fmtid="{D5CDD505-2E9C-101B-9397-08002B2CF9AE}" pid="5" name="From">
    <vt:lpwstr/>
  </property>
  <property fmtid="{D5CDD505-2E9C-101B-9397-08002B2CF9AE}" pid="6" name="Project Sponsor">
    <vt:lpwstr/>
  </property>
  <property fmtid="{D5CDD505-2E9C-101B-9397-08002B2CF9AE}" pid="7" name="xd_ProgID">
    <vt:lpwstr/>
  </property>
  <property fmtid="{D5CDD505-2E9C-101B-9397-08002B2CF9AE}" pid="8" name="BCC">
    <vt:lpwstr/>
  </property>
  <property fmtid="{D5CDD505-2E9C-101B-9397-08002B2CF9AE}" pid="9" name="_Version">
    <vt:lpwstr/>
  </property>
  <property fmtid="{D5CDD505-2E9C-101B-9397-08002B2CF9AE}" pid="10" name="Project Manager">
    <vt:lpwstr/>
  </property>
  <property fmtid="{D5CDD505-2E9C-101B-9397-08002B2CF9AE}" pid="11" name="Project Owner">
    <vt:lpwstr/>
  </property>
  <property fmtid="{D5CDD505-2E9C-101B-9397-08002B2CF9AE}" pid="12" name="TemplateUrl">
    <vt:lpwstr/>
  </property>
  <property fmtid="{D5CDD505-2E9C-101B-9397-08002B2CF9AE}" pid="13" name="CC">
    <vt:lpwstr/>
  </property>
  <property fmtid="{D5CDD505-2E9C-101B-9397-08002B2CF9AE}" pid="14" name="DLCPolicyLabelLock">
    <vt:lpwstr/>
  </property>
  <property fmtid="{D5CDD505-2E9C-101B-9397-08002B2CF9AE}" pid="15" name="To">
    <vt:lpwstr/>
  </property>
  <property fmtid="{D5CDD505-2E9C-101B-9397-08002B2CF9AE}" pid="16" name="Attach Count">
    <vt:lpwstr/>
  </property>
  <property fmtid="{D5CDD505-2E9C-101B-9397-08002B2CF9AE}" pid="17" name="Recipient">
    <vt:lpwstr/>
  </property>
  <property fmtid="{D5CDD505-2E9C-101B-9397-08002B2CF9AE}" pid="18" name="Importance">
    <vt:lpwstr/>
  </property>
  <property fmtid="{D5CDD505-2E9C-101B-9397-08002B2CF9AE}" pid="19" name="DLCPolicyLabelClientValue">
    <vt:lpwstr>Version : {_Version}</vt:lpwstr>
  </property>
  <property fmtid="{D5CDD505-2E9C-101B-9397-08002B2CF9AE}" pid="20" name="Project Name">
    <vt:lpwstr/>
  </property>
  <property fmtid="{D5CDD505-2E9C-101B-9397-08002B2CF9AE}" pid="21" name="Applicable Start Date">
    <vt:filetime>2014-03-30T23:00:00Z</vt:filetime>
  </property>
  <property fmtid="{D5CDD505-2E9C-101B-9397-08002B2CF9AE}" pid="22" name="Organisation">
    <vt:lpwstr>Electricity North West</vt:lpwstr>
  </property>
  <property fmtid="{D5CDD505-2E9C-101B-9397-08002B2CF9AE}" pid="23" name="Publication Date:">
    <vt:filetime>2015-07-27T23:00:00Z</vt:filetime>
  </property>
  <property fmtid="{D5CDD505-2E9C-101B-9397-08002B2CF9AE}" pid="24" name="Applicable Duration">
    <vt:lpwstr>-</vt:lpwstr>
  </property>
  <property fmtid="{D5CDD505-2E9C-101B-9397-08002B2CF9AE}" pid="25" name="Descriptor">
    <vt:lpwstr>Commercial</vt:lpwstr>
  </property>
  <property fmtid="{D5CDD505-2E9C-101B-9397-08002B2CF9AE}" pid="26" name="Meeting Date">
    <vt:filetime>2014-03-30T23:00:00Z</vt:filetime>
  </property>
  <property fmtid="{D5CDD505-2E9C-101B-9397-08002B2CF9AE}" pid="27" name="Classification">
    <vt:lpwstr>Protect</vt:lpwstr>
  </property>
  <property fmtid="{D5CDD505-2E9C-101B-9397-08002B2CF9AE}" pid="28" name="::">
    <vt:lpwstr>-Main Document</vt:lpwstr>
  </property>
  <property fmtid="{D5CDD505-2E9C-101B-9397-08002B2CF9AE}" pid="29" name="docIndexRef">
    <vt:lpwstr>f6ca1dd2-719a-4b85-a410-f2067eacc0e5</vt:lpwstr>
  </property>
  <property fmtid="{D5CDD505-2E9C-101B-9397-08002B2CF9AE}" pid="30" name="bjSaver">
    <vt:lpwstr>cO6pzpUHHXPLEMTsVieuWYRDJs0nJL8f</vt:lpwstr>
  </property>
  <property fmtid="{D5CDD505-2E9C-101B-9397-08002B2CF9AE}" pid="31" name="BJSCSummaryMarking">
    <vt:lpwstr>This item has no classification</vt:lpwstr>
  </property>
  <property fmtid="{D5CDD505-2E9C-101B-9397-08002B2CF9AE}" pid="32" name="BJSCInternalLabel">
    <vt:lpwstr>&lt;?xml version="1.0" encoding="us-ascii"?&gt;&lt;sisl xmlns:xsi="http://www.w3.org/2001/XMLSchema-instance" xmlns:xsd="http://www.w3.org/2001/XMLSchema" sislVersion="0" policy="973096ae-7329-4b3b-9368-47aeba6959e1" xmlns="http://www.boldonjames.com/2008/01/sie/internal/label" /&gt;</vt:lpwstr>
  </property>
  <property fmtid="{D5CDD505-2E9C-101B-9397-08002B2CF9AE}" pid="33" name="BJSCc5a055b0-1bed-4579_x">
    <vt:lpwstr/>
  </property>
  <property fmtid="{D5CDD505-2E9C-101B-9397-08002B2CF9AE}" pid="34" name="BJSCdd9eba61-d6b9-469b_x">
    <vt:lpwstr/>
  </property>
  <property fmtid="{D5CDD505-2E9C-101B-9397-08002B2CF9AE}" pid="35" name="bjDocumentSecurityLabel">
    <vt:lpwstr>This item has no classification</vt:lpwstr>
  </property>
  <property fmtid="{D5CDD505-2E9C-101B-9397-08002B2CF9AE}" pid="36" name="MSIP_Label_7a28ff59-1dd3-406f-be87-f82473b549be_Enabled">
    <vt:lpwstr>True</vt:lpwstr>
  </property>
  <property fmtid="{D5CDD505-2E9C-101B-9397-08002B2CF9AE}" pid="37" name="MSIP_Label_7a28ff59-1dd3-406f-be87-f82473b549be_SiteId">
    <vt:lpwstr>de0d74aa-9914-4bb9-9235-fbefe83b1769</vt:lpwstr>
  </property>
  <property fmtid="{D5CDD505-2E9C-101B-9397-08002B2CF9AE}" pid="38" name="MSIP_Label_7a28ff59-1dd3-406f-be87-f82473b549be_Owner">
    <vt:lpwstr>Yvonne.Reid-Healy@cadentgas.com</vt:lpwstr>
  </property>
  <property fmtid="{D5CDD505-2E9C-101B-9397-08002B2CF9AE}" pid="39" name="MSIP_Label_7a28ff59-1dd3-406f-be87-f82473b549be_SetDate">
    <vt:lpwstr>2020-01-24T13:37:08.5127760Z</vt:lpwstr>
  </property>
  <property fmtid="{D5CDD505-2E9C-101B-9397-08002B2CF9AE}" pid="40" name="MSIP_Label_7a28ff59-1dd3-406f-be87-f82473b549be_Name">
    <vt:lpwstr>Cadent - Official</vt:lpwstr>
  </property>
  <property fmtid="{D5CDD505-2E9C-101B-9397-08002B2CF9AE}" pid="41" name="MSIP_Label_7a28ff59-1dd3-406f-be87-f82473b549be_Application">
    <vt:lpwstr>Microsoft Azure Information Protection</vt:lpwstr>
  </property>
  <property fmtid="{D5CDD505-2E9C-101B-9397-08002B2CF9AE}" pid="42" name="MSIP_Label_7a28ff59-1dd3-406f-be87-f82473b549be_Extended_MSFT_Method">
    <vt:lpwstr>Automatic</vt:lpwstr>
  </property>
  <property fmtid="{D5CDD505-2E9C-101B-9397-08002B2CF9AE}" pid="43" name="Sensitivity">
    <vt:lpwstr>Cadent - Official</vt:lpwstr>
  </property>
  <property fmtid="{D5CDD505-2E9C-101B-9397-08002B2CF9AE}" pid="44" name="bjClsUserRVM">
    <vt:lpwstr>[]</vt:lpwstr>
  </property>
</Properties>
</file>