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61F9F1D2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0998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5343327C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EAD1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3DAB8809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53F4A1BA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D3EE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1FD34" w14:textId="23CE3ADC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CADENT_FDQ_  </w:t>
            </w:r>
            <w:r w:rsidR="00536F4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EA1559" w:rsidRPr="00EA1559" w14:paraId="248C3132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788E9A6E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77403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48EB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  <w:r w:rsidR="00012030">
              <w:rPr>
                <w:rFonts w:ascii="Arial" w:hAnsi="Arial" w:cs="Arial"/>
                <w:sz w:val="20"/>
                <w:szCs w:val="20"/>
                <w:lang w:eastAsia="en-US"/>
              </w:rPr>
              <w:t>– Technical Error</w:t>
            </w:r>
          </w:p>
        </w:tc>
      </w:tr>
      <w:tr w:rsidR="00EA1559" w:rsidRPr="00EA1559" w14:paraId="6E59B94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1480C21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613F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903F5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67B8C3F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03269D03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22E1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21F1" w14:textId="77777777" w:rsidR="00EA1559" w:rsidRPr="00EA1559" w:rsidRDefault="00590317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MEAV calculation</w:t>
            </w:r>
          </w:p>
        </w:tc>
      </w:tr>
      <w:tr w:rsidR="00EA1559" w:rsidRPr="00EA1559" w14:paraId="221B9CF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643858C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7197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8AC8" w14:textId="77777777" w:rsidR="006802FF" w:rsidRDefault="00B73EA6" w:rsidP="00012030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We believe that we have found </w:t>
            </w:r>
            <w:r w:rsidR="006802FF">
              <w:rPr>
                <w:rFonts w:ascii="Verdana" w:hAnsi="Verdana"/>
                <w:sz w:val="20"/>
                <w:szCs w:val="20"/>
                <w:lang w:eastAsia="en-US"/>
              </w:rPr>
              <w:t>t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>wo</w:t>
            </w:r>
            <w:r w:rsidR="00CC4056">
              <w:rPr>
                <w:rFonts w:ascii="Verdana" w:hAnsi="Verdana"/>
                <w:sz w:val="20"/>
                <w:szCs w:val="20"/>
                <w:lang w:eastAsia="en-US"/>
              </w:rPr>
              <w:t xml:space="preserve"> errors in the MEAV calculation, in respect of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 xml:space="preserve"> M</w:t>
            </w:r>
            <w:r w:rsidR="00CC4056">
              <w:rPr>
                <w:rFonts w:ascii="Verdana" w:hAnsi="Verdana"/>
                <w:sz w:val="20"/>
                <w:szCs w:val="20"/>
                <w:lang w:eastAsia="en-US"/>
              </w:rPr>
              <w:t>OBs Riser unit costs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 xml:space="preserve"> and </w:t>
            </w:r>
            <w:r w:rsidR="006802FF">
              <w:rPr>
                <w:rFonts w:ascii="Verdana" w:hAnsi="Verdana"/>
                <w:sz w:val="20"/>
                <w:szCs w:val="20"/>
                <w:lang w:eastAsia="en-US"/>
              </w:rPr>
              <w:t>NGN Storage Values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</w:p>
          <w:p w14:paraId="055DE13E" w14:textId="77777777" w:rsidR="006802FF" w:rsidRPr="006802FF" w:rsidRDefault="006A715C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1. </w:t>
            </w:r>
            <w:r w:rsidR="006802FF" w:rsidRPr="006802FF">
              <w:rPr>
                <w:rFonts w:ascii="Verdana" w:hAnsi="Verdana"/>
                <w:b/>
                <w:sz w:val="20"/>
                <w:szCs w:val="20"/>
                <w:lang w:eastAsia="en-US"/>
              </w:rPr>
              <w:t>MOBs Riser unit costs</w:t>
            </w:r>
          </w:p>
          <w:p w14:paraId="7D96BF0B" w14:textId="77777777" w:rsidR="006802FF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The Riser unit costs used at FD are set out below, compared to those set out by Ofgem at DD.</w:t>
            </w:r>
          </w:p>
          <w:p w14:paraId="1B2BF9B1" w14:textId="77777777" w:rsidR="006802FF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802FF">
              <w:rPr>
                <w:rFonts w:ascii="Verdana" w:hAnsi="Verdana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68162406" wp14:editId="5BC43E25">
                  <wp:extent cx="2346960" cy="9220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16B5F9" w14:textId="77777777" w:rsidR="006802FF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The MEAV file states that the FD values are “</w:t>
            </w:r>
            <w:r w:rsidRPr="006802FF">
              <w:rPr>
                <w:rFonts w:ascii="Verdana" w:hAnsi="Verdana"/>
                <w:i/>
                <w:sz w:val="20"/>
                <w:szCs w:val="20"/>
                <w:lang w:eastAsia="en-US"/>
              </w:rPr>
              <w:t>Based on average of values submitted by 2 GDNs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”.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  We understand that BPDT data was used, in respect of which there is </w:t>
            </w:r>
            <w:r w:rsidR="00374CB2" w:rsidRPr="00686A77">
              <w:rPr>
                <w:rFonts w:ascii="Verdana" w:hAnsi="Verdana"/>
                <w:sz w:val="20"/>
                <w:szCs w:val="20"/>
                <w:lang w:eastAsia="en-US"/>
              </w:rPr>
              <w:t>a known issue</w:t>
            </w:r>
            <w:r w:rsidR="00686A77">
              <w:rPr>
                <w:rFonts w:ascii="Verdana" w:hAnsi="Verdana"/>
                <w:sz w:val="20"/>
                <w:szCs w:val="20"/>
                <w:lang w:eastAsia="en-US"/>
              </w:rPr>
              <w:t>, first raised by WWU,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 about what workload volumes actually represent</w:t>
            </w:r>
            <w:r w:rsidR="00686A77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5F4FCD8C" w14:textId="77777777" w:rsidR="00B73EA6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The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 FD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unit costs run counter to engineering logic and cannot be correct – a Riser with a height in excess of 40 metres should not have a replacement cost 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less than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that of a Riser between 20 and 40 metres in height.  </w:t>
            </w:r>
            <w:r w:rsidR="00CC405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138D67A1" w14:textId="77777777" w:rsidR="00374CB2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We suggest that Ofgem review the unit costs for each of the height categories using information from the historical RRPs for all 8 GDNs</w:t>
            </w:r>
            <w:r w:rsidR="00374CB2">
              <w:rPr>
                <w:rFonts w:ascii="Verdana" w:hAnsi="Verdana"/>
                <w:iCs/>
                <w:sz w:val="20"/>
                <w:szCs w:val="20"/>
              </w:rPr>
              <w:t xml:space="preserve"> data which we believe to be materially accurate. W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e would expect this to result in unit costs </w:t>
            </w:r>
            <w:r w:rsidR="00374CB2">
              <w:rPr>
                <w:rFonts w:ascii="Verdana" w:hAnsi="Verdana"/>
                <w:iCs/>
                <w:sz w:val="20"/>
                <w:szCs w:val="20"/>
              </w:rPr>
              <w:t>for all Riser heights which are consistent with engineering logic and consequently far more robust</w:t>
            </w:r>
            <w:r w:rsidR="00686A77">
              <w:rPr>
                <w:rFonts w:ascii="Verdana" w:hAnsi="Verdana"/>
                <w:iCs/>
                <w:sz w:val="20"/>
                <w:szCs w:val="20"/>
              </w:rPr>
              <w:t xml:space="preserve"> data</w:t>
            </w:r>
            <w:r w:rsidR="00374CB2">
              <w:rPr>
                <w:rFonts w:ascii="Verdana" w:hAnsi="Verdana"/>
                <w:iCs/>
                <w:sz w:val="20"/>
                <w:szCs w:val="20"/>
              </w:rPr>
              <w:t xml:space="preserve">.  </w:t>
            </w:r>
            <w:r w:rsidR="00686A77">
              <w:rPr>
                <w:rFonts w:ascii="Verdana" w:hAnsi="Verdana"/>
                <w:iCs/>
                <w:sz w:val="20"/>
                <w:szCs w:val="20"/>
              </w:rPr>
              <w:t>Cadent’s analysis of all GDNs’ RRP actuals gave the following values: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771"/>
              <w:gridCol w:w="1149"/>
            </w:tblGrid>
            <w:tr w:rsidR="00686A77" w14:paraId="68664786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32CD3C6B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  <w:t>MOBs MEAV u/c</w:t>
                  </w:r>
                </w:p>
              </w:tc>
              <w:tc>
                <w:tcPr>
                  <w:tcW w:w="1149" w:type="dxa"/>
                  <w:tcBorders>
                    <w:top w:val="single" w:sz="6" w:space="0" w:color="auto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06939FCE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  <w:t>Cadent</w:t>
                  </w:r>
                </w:p>
              </w:tc>
            </w:tr>
            <w:tr w:rsidR="00686A77" w14:paraId="04E9C0DC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36D2C78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</w:rPr>
                    <w:t>18/19 prices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4F3D7CCE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  <w:t xml:space="preserve">£ </w:t>
                  </w:r>
                </w:p>
              </w:tc>
            </w:tr>
            <w:tr w:rsidR="00686A77" w14:paraId="1EC840A4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1698591E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Risers_L20m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6D9F994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 xml:space="preserve">13,486 </w:t>
                  </w:r>
                </w:p>
              </w:tc>
            </w:tr>
            <w:tr w:rsidR="00686A77" w14:paraId="0978EF28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03649332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Risers_B20m40m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446FA0CF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 xml:space="preserve">25,992 </w:t>
                  </w:r>
                </w:p>
              </w:tc>
            </w:tr>
            <w:tr w:rsidR="00686A77" w14:paraId="7ED59BE1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  <w:shd w:val="solid" w:color="FFFFFF" w:fill="auto"/>
                </w:tcPr>
                <w:p w14:paraId="7F7B8FB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Risers_G40m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2457CE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 xml:space="preserve">48,497 </w:t>
                  </w:r>
                </w:p>
              </w:tc>
            </w:tr>
          </w:tbl>
          <w:p w14:paraId="63CA1181" w14:textId="77777777" w:rsidR="00686A77" w:rsidRDefault="00686A77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14:paraId="5A0E6AFD" w14:textId="77777777" w:rsidR="00374CB2" w:rsidRDefault="00374CB2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lastRenderedPageBreak/>
              <w:t xml:space="preserve">Please confirm that you will carry out a review of MOBs Riser unit costs using RRP data. </w:t>
            </w:r>
          </w:p>
          <w:p w14:paraId="762B3FAD" w14:textId="77777777" w:rsidR="00012030" w:rsidRDefault="00012030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14:paraId="7436D2E5" w14:textId="77777777" w:rsidR="00374CB2" w:rsidRPr="00374CB2" w:rsidRDefault="00012030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b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iCs/>
                <w:sz w:val="20"/>
                <w:szCs w:val="20"/>
              </w:rPr>
              <w:t>2</w:t>
            </w:r>
            <w:r w:rsidR="006A715C">
              <w:rPr>
                <w:rFonts w:ascii="Verdana" w:hAnsi="Verdana"/>
                <w:b/>
                <w:iCs/>
                <w:sz w:val="20"/>
                <w:szCs w:val="20"/>
              </w:rPr>
              <w:t xml:space="preserve">. </w:t>
            </w:r>
            <w:r w:rsidR="00374CB2" w:rsidRPr="00374CB2">
              <w:rPr>
                <w:rFonts w:ascii="Verdana" w:hAnsi="Verdana"/>
                <w:b/>
                <w:iCs/>
                <w:sz w:val="20"/>
                <w:szCs w:val="20"/>
              </w:rPr>
              <w:t>NGN Storage data</w:t>
            </w:r>
          </w:p>
          <w:p w14:paraId="76458F8D" w14:textId="77777777" w:rsidR="00374CB2" w:rsidRDefault="00374CB2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The volume of storage provided by NGN’s Storage assets appears incorrect for all years, 2013/14 to 2025/26.  In particular, NGN’s RRPs make clear that it has no storage assets in use from 2018/19 onwards, therefore the figure should be zero from that year onwards.  The DD contained (larger) errors in respect of NGN’s Storage assets, </w:t>
            </w:r>
            <w:r w:rsidR="004313E4">
              <w:rPr>
                <w:rFonts w:ascii="Verdana" w:hAnsi="Verdana"/>
                <w:iCs/>
                <w:sz w:val="20"/>
                <w:szCs w:val="20"/>
              </w:rPr>
              <w:t xml:space="preserve">that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were corrected by the time that GDNs checked the models in the Autumn, but </w:t>
            </w:r>
            <w:r w:rsidR="004313E4">
              <w:rPr>
                <w:rFonts w:ascii="Verdana" w:hAnsi="Verdana"/>
                <w:iCs/>
                <w:sz w:val="20"/>
                <w:szCs w:val="20"/>
              </w:rPr>
              <w:t xml:space="preserve">which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have reappeared.   </w:t>
            </w:r>
          </w:p>
          <w:p w14:paraId="65A117DF" w14:textId="77777777" w:rsidR="00374CB2" w:rsidRDefault="00374CB2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We suggest overwriting the FD values with those used in the models checked by GDNs in the Autumn. </w:t>
            </w:r>
          </w:p>
          <w:p w14:paraId="701DA565" w14:textId="77777777" w:rsidR="00B73EA6" w:rsidRDefault="00B73EA6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Please confirm whether you agree our proposed correction.   </w:t>
            </w:r>
          </w:p>
          <w:p w14:paraId="3C5EF64C" w14:textId="77777777" w:rsidR="00BA0306" w:rsidRPr="00EA1559" w:rsidRDefault="00BA0306" w:rsidP="0000155F">
            <w:pPr>
              <w:pStyle w:val="xmsobodytext"/>
              <w:shd w:val="clear" w:color="auto" w:fill="FFFFFF"/>
              <w:spacing w:before="0" w:beforeAutospacing="0" w:after="0" w:afterAutospacing="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EA1559" w:rsidRPr="00EA1559" w14:paraId="08DA4FF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1860D9DE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2C6FB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860E7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0BCD83B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A3A8C9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0A99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ED4E" w14:textId="77777777" w:rsidR="00EA1559" w:rsidRPr="00EA1559" w:rsidRDefault="00B73EA6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Jeremy Thomson</w:t>
            </w:r>
          </w:p>
        </w:tc>
      </w:tr>
      <w:tr w:rsidR="00EA1559" w:rsidRPr="00EA1559" w14:paraId="541C4A7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6427D56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F2A21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FE51" w14:textId="77777777" w:rsidR="00EA1559" w:rsidRPr="00EA1559" w:rsidRDefault="0000155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15/12/2020</w:t>
            </w:r>
          </w:p>
        </w:tc>
      </w:tr>
      <w:tr w:rsidR="00EA1559" w:rsidRPr="00EA1559" w14:paraId="114858A4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5C614CF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246C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BF64" w14:textId="77777777" w:rsidR="00EA1559" w:rsidRPr="00EA1559" w:rsidRDefault="0000155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18/12/2020</w:t>
            </w:r>
          </w:p>
        </w:tc>
      </w:tr>
      <w:tr w:rsidR="00EA1559" w:rsidRPr="00EA1559" w14:paraId="132AF07F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1F7D420E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BC896" w14:textId="77777777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381C114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7158EEFB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89A69" w14:textId="77777777" w:rsidR="00EA1559" w:rsidRDefault="00EA1559">
            <w:pPr>
              <w:rPr>
                <w:rFonts w:ascii="Arial" w:hAnsi="Arial" w:cs="Arial"/>
                <w:b/>
                <w:bCs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33162E46" w14:textId="5E4C6AE6" w:rsidR="00120234" w:rsidRDefault="00DE6033" w:rsidP="00120234">
            <w:pPr>
              <w:pStyle w:val="ListParagraph"/>
              <w:rPr>
                <w:rFonts w:ascii="Arial" w:hAnsi="Arial" w:cs="Arial"/>
                <w:szCs w:val="20"/>
              </w:rPr>
            </w:pPr>
            <w:r w:rsidRPr="00DE6033">
              <w:rPr>
                <w:rFonts w:ascii="Arial" w:hAnsi="Arial" w:cs="Arial"/>
                <w:szCs w:val="20"/>
              </w:rPr>
              <w:t xml:space="preserve">This is the response to </w:t>
            </w:r>
            <w:r>
              <w:rPr>
                <w:rFonts w:ascii="Arial" w:hAnsi="Arial" w:cs="Arial"/>
                <w:szCs w:val="20"/>
              </w:rPr>
              <w:t>point</w:t>
            </w:r>
            <w:r w:rsidRPr="00DE6033">
              <w:rPr>
                <w:rFonts w:ascii="Arial" w:hAnsi="Arial" w:cs="Arial"/>
                <w:szCs w:val="20"/>
              </w:rPr>
              <w:t xml:space="preserve"> 1 of the FDQ</w:t>
            </w:r>
            <w:r>
              <w:rPr>
                <w:rFonts w:ascii="Arial" w:hAnsi="Arial" w:cs="Arial"/>
                <w:szCs w:val="20"/>
              </w:rPr>
              <w:t xml:space="preserve">. </w:t>
            </w:r>
            <w:r w:rsidR="00120234">
              <w:rPr>
                <w:rFonts w:ascii="Arial" w:hAnsi="Arial" w:cs="Arial"/>
                <w:szCs w:val="20"/>
              </w:rPr>
              <w:t xml:space="preserve">For point 2, please see </w:t>
            </w:r>
            <w:r w:rsidR="008E5CFC">
              <w:rPr>
                <w:rFonts w:ascii="Arial" w:hAnsi="Arial" w:cs="Arial"/>
                <w:szCs w:val="20"/>
              </w:rPr>
              <w:t xml:space="preserve">the </w:t>
            </w:r>
            <w:r w:rsidR="00120234">
              <w:rPr>
                <w:rFonts w:ascii="Arial" w:hAnsi="Arial" w:cs="Arial"/>
                <w:szCs w:val="20"/>
              </w:rPr>
              <w:t>response sent on the</w:t>
            </w:r>
            <w:r w:rsidR="00401E4D">
              <w:rPr>
                <w:rFonts w:ascii="Arial" w:hAnsi="Arial" w:cs="Arial"/>
                <w:szCs w:val="20"/>
              </w:rPr>
              <w:t xml:space="preserve"> 23</w:t>
            </w:r>
            <w:r w:rsidR="00401E4D" w:rsidRPr="00401E4D">
              <w:rPr>
                <w:rFonts w:ascii="Arial" w:hAnsi="Arial" w:cs="Arial"/>
                <w:szCs w:val="20"/>
                <w:vertAlign w:val="superscript"/>
              </w:rPr>
              <w:t>rd</w:t>
            </w:r>
            <w:r w:rsidR="00401E4D">
              <w:rPr>
                <w:rFonts w:ascii="Arial" w:hAnsi="Arial" w:cs="Arial"/>
                <w:szCs w:val="20"/>
              </w:rPr>
              <w:t xml:space="preserve"> of December 2020</w:t>
            </w:r>
            <w:r w:rsidR="00120234">
              <w:rPr>
                <w:rFonts w:ascii="Arial" w:hAnsi="Arial" w:cs="Arial"/>
                <w:szCs w:val="20"/>
              </w:rPr>
              <w:t>.</w:t>
            </w:r>
          </w:p>
          <w:p w14:paraId="7BD511E2" w14:textId="222F5999" w:rsidR="00DE6033" w:rsidRPr="00DE6033" w:rsidRDefault="00DE6033" w:rsidP="00120234">
            <w:pPr>
              <w:pStyle w:val="ListParagrap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For Final Determinations, we used </w:t>
            </w:r>
            <w:r w:rsidR="00120234" w:rsidRPr="00120234">
              <w:rPr>
                <w:rFonts w:ascii="Arial" w:hAnsi="Arial" w:cs="Arial"/>
                <w:szCs w:val="20"/>
              </w:rPr>
              <w:t>the average of Cadent and WWU</w:t>
            </w:r>
            <w:r w:rsidR="00120234">
              <w:rPr>
                <w:rFonts w:ascii="Arial" w:hAnsi="Arial" w:cs="Arial"/>
                <w:szCs w:val="20"/>
              </w:rPr>
              <w:t>’s risers unit costs provided by the GDNs on</w:t>
            </w:r>
            <w:r w:rsidR="00401E4D">
              <w:rPr>
                <w:rFonts w:ascii="Arial" w:hAnsi="Arial" w:cs="Arial"/>
                <w:szCs w:val="20"/>
              </w:rPr>
              <w:t xml:space="preserve"> the 2</w:t>
            </w:r>
            <w:r w:rsidR="00401E4D" w:rsidRPr="00401E4D">
              <w:rPr>
                <w:rFonts w:ascii="Arial" w:hAnsi="Arial" w:cs="Arial"/>
                <w:szCs w:val="20"/>
                <w:vertAlign w:val="superscript"/>
              </w:rPr>
              <w:t>nd</w:t>
            </w:r>
            <w:r w:rsidR="00401E4D">
              <w:rPr>
                <w:rFonts w:ascii="Arial" w:hAnsi="Arial" w:cs="Arial"/>
                <w:szCs w:val="20"/>
              </w:rPr>
              <w:t xml:space="preserve"> of October 2020</w:t>
            </w:r>
            <w:r w:rsidR="00120234">
              <w:rPr>
                <w:rFonts w:ascii="Arial" w:hAnsi="Arial" w:cs="Arial"/>
                <w:szCs w:val="20"/>
              </w:rPr>
              <w:t>. The averages consider both</w:t>
            </w:r>
            <w:r w:rsidR="00120234" w:rsidRPr="00120234">
              <w:rPr>
                <w:rFonts w:ascii="Arial" w:hAnsi="Arial" w:cs="Arial"/>
                <w:szCs w:val="20"/>
              </w:rPr>
              <w:t xml:space="preserve"> Planned replacement and Replacement on failure. As a result, unit costs for 20-40m risers are </w:t>
            </w:r>
            <w:r w:rsidR="00120234">
              <w:rPr>
                <w:rFonts w:ascii="Arial" w:hAnsi="Arial" w:cs="Arial"/>
                <w:szCs w:val="20"/>
              </w:rPr>
              <w:t xml:space="preserve">indeed </w:t>
            </w:r>
            <w:r w:rsidR="00120234" w:rsidRPr="00120234">
              <w:rPr>
                <w:rFonts w:ascii="Arial" w:hAnsi="Arial" w:cs="Arial"/>
                <w:szCs w:val="20"/>
              </w:rPr>
              <w:t>higher than &gt;40m risers</w:t>
            </w:r>
            <w:r w:rsidR="00120234">
              <w:rPr>
                <w:rFonts w:ascii="Arial" w:hAnsi="Arial" w:cs="Arial"/>
                <w:szCs w:val="20"/>
              </w:rPr>
              <w:t xml:space="preserve">. </w:t>
            </w:r>
            <w:r w:rsidR="00120234" w:rsidRPr="00120234">
              <w:rPr>
                <w:rFonts w:ascii="Arial" w:hAnsi="Arial" w:cs="Arial"/>
                <w:szCs w:val="20"/>
              </w:rPr>
              <w:t xml:space="preserve">This is </w:t>
            </w:r>
            <w:r w:rsidR="00120234">
              <w:rPr>
                <w:rFonts w:ascii="Arial" w:hAnsi="Arial" w:cs="Arial"/>
                <w:szCs w:val="20"/>
              </w:rPr>
              <w:t xml:space="preserve">due to the high proportion of replacement on failure work for 20-40m risers, which is more expensive than planned replacement. </w:t>
            </w:r>
            <w:r w:rsidR="00401E4D">
              <w:rPr>
                <w:rFonts w:ascii="Arial" w:hAnsi="Arial" w:cs="Arial"/>
                <w:szCs w:val="20"/>
              </w:rPr>
              <w:t>Being the share of planned replacement higher for &gt;40m risers, the corresponding replacement values are lower than for 20-40m risers.</w:t>
            </w:r>
          </w:p>
        </w:tc>
      </w:tr>
    </w:tbl>
    <w:p w14:paraId="27D076BD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443AD" w14:textId="77777777" w:rsidR="00E27AA5" w:rsidRDefault="00E27AA5" w:rsidP="00526623">
      <w:pPr>
        <w:spacing w:after="0" w:line="240" w:lineRule="auto"/>
      </w:pPr>
      <w:r>
        <w:separator/>
      </w:r>
    </w:p>
  </w:endnote>
  <w:endnote w:type="continuationSeparator" w:id="0">
    <w:p w14:paraId="4A639467" w14:textId="77777777" w:rsidR="00E27AA5" w:rsidRDefault="00E27AA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29BA0" w14:textId="77777777" w:rsidR="00E27AA5" w:rsidRDefault="00E27AA5" w:rsidP="00526623">
      <w:pPr>
        <w:spacing w:after="0" w:line="240" w:lineRule="auto"/>
      </w:pPr>
      <w:r>
        <w:separator/>
      </w:r>
    </w:p>
  </w:footnote>
  <w:footnote w:type="continuationSeparator" w:id="0">
    <w:p w14:paraId="45E69A31" w14:textId="77777777" w:rsidR="00E27AA5" w:rsidRDefault="00E27AA5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C7E98"/>
    <w:multiLevelType w:val="hybridMultilevel"/>
    <w:tmpl w:val="6972B7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155F"/>
    <w:rsid w:val="00007AB6"/>
    <w:rsid w:val="00012030"/>
    <w:rsid w:val="00041711"/>
    <w:rsid w:val="000436C2"/>
    <w:rsid w:val="000473D3"/>
    <w:rsid w:val="00050C54"/>
    <w:rsid w:val="000A752F"/>
    <w:rsid w:val="000B0536"/>
    <w:rsid w:val="000E5B6D"/>
    <w:rsid w:val="0010126C"/>
    <w:rsid w:val="00107296"/>
    <w:rsid w:val="00120234"/>
    <w:rsid w:val="00133BD9"/>
    <w:rsid w:val="00133CFC"/>
    <w:rsid w:val="00172809"/>
    <w:rsid w:val="001D0151"/>
    <w:rsid w:val="00206CA9"/>
    <w:rsid w:val="00206D5F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74CB2"/>
    <w:rsid w:val="00385085"/>
    <w:rsid w:val="003B3576"/>
    <w:rsid w:val="003F465C"/>
    <w:rsid w:val="00400822"/>
    <w:rsid w:val="00401E4D"/>
    <w:rsid w:val="004313E4"/>
    <w:rsid w:val="0047108D"/>
    <w:rsid w:val="004C4D2B"/>
    <w:rsid w:val="004D0311"/>
    <w:rsid w:val="004D1F2F"/>
    <w:rsid w:val="00503895"/>
    <w:rsid w:val="00526623"/>
    <w:rsid w:val="00526A8E"/>
    <w:rsid w:val="00534E92"/>
    <w:rsid w:val="00536220"/>
    <w:rsid w:val="00536F40"/>
    <w:rsid w:val="00584F30"/>
    <w:rsid w:val="00586A8E"/>
    <w:rsid w:val="00590317"/>
    <w:rsid w:val="005927B6"/>
    <w:rsid w:val="005A506C"/>
    <w:rsid w:val="005A74DE"/>
    <w:rsid w:val="005E2894"/>
    <w:rsid w:val="0060723D"/>
    <w:rsid w:val="006224F4"/>
    <w:rsid w:val="006279ED"/>
    <w:rsid w:val="006802FF"/>
    <w:rsid w:val="006847DA"/>
    <w:rsid w:val="00686A77"/>
    <w:rsid w:val="006A715C"/>
    <w:rsid w:val="006B26DE"/>
    <w:rsid w:val="006E4411"/>
    <w:rsid w:val="006F0656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8E5CFC"/>
    <w:rsid w:val="009222C6"/>
    <w:rsid w:val="00924DEC"/>
    <w:rsid w:val="00935000"/>
    <w:rsid w:val="00937BF5"/>
    <w:rsid w:val="00941E89"/>
    <w:rsid w:val="00942721"/>
    <w:rsid w:val="00945C7C"/>
    <w:rsid w:val="00946125"/>
    <w:rsid w:val="009762C9"/>
    <w:rsid w:val="009845A8"/>
    <w:rsid w:val="00985B9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54E67"/>
    <w:rsid w:val="00B73EA6"/>
    <w:rsid w:val="00B82400"/>
    <w:rsid w:val="00B86DDF"/>
    <w:rsid w:val="00BA0306"/>
    <w:rsid w:val="00BA4154"/>
    <w:rsid w:val="00BA5A79"/>
    <w:rsid w:val="00BB4793"/>
    <w:rsid w:val="00BB56A8"/>
    <w:rsid w:val="00BB682C"/>
    <w:rsid w:val="00BD48A8"/>
    <w:rsid w:val="00C10D99"/>
    <w:rsid w:val="00C57345"/>
    <w:rsid w:val="00C77097"/>
    <w:rsid w:val="00C814D0"/>
    <w:rsid w:val="00C81B4C"/>
    <w:rsid w:val="00CA4297"/>
    <w:rsid w:val="00CC4056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DE6033"/>
    <w:rsid w:val="00E040EA"/>
    <w:rsid w:val="00E11C0E"/>
    <w:rsid w:val="00E15A6C"/>
    <w:rsid w:val="00E27AA5"/>
    <w:rsid w:val="00E346B6"/>
    <w:rsid w:val="00E525E0"/>
    <w:rsid w:val="00E55A7F"/>
    <w:rsid w:val="00E566F5"/>
    <w:rsid w:val="00E94FDE"/>
    <w:rsid w:val="00EA1559"/>
    <w:rsid w:val="00EA5A86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5577B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B739C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1202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58FA3AFE-F9E7-4F6B-B6A7-4DD0F60694A0}"/>
</file>

<file path=customXml/itemProps2.xml><?xml version="1.0" encoding="utf-8"?>
<ds:datastoreItem xmlns:ds="http://schemas.openxmlformats.org/officeDocument/2006/customXml" ds:itemID="{126A5C27-A859-4F30-9EC5-7EAD65357F60}"/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1A2A6034-84D1-431A-BE55-E4477C6D01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2021-01-04T10:31:00Z</dcterms:created>
  <dcterms:modified xsi:type="dcterms:W3CDTF">2021-01-04T10:58:00Z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2015-07-27T23:00:00Z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