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7236"/>
        <w:gridCol w:w="232"/>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5EC68967" w:rsidR="00EA1559" w:rsidRPr="00BF1E33" w:rsidRDefault="00EA1559">
            <w:pPr>
              <w:pStyle w:val="NormalWeb"/>
              <w:spacing w:after="200" w:afterAutospacing="0" w:line="276" w:lineRule="auto"/>
              <w:rPr>
                <w:rFonts w:ascii="Verdana" w:hAnsi="Verdana"/>
                <w:sz w:val="20"/>
                <w:szCs w:val="20"/>
                <w:lang w:eastAsia="en-US"/>
              </w:rPr>
            </w:pPr>
            <w:r w:rsidRPr="00BF1E33">
              <w:rPr>
                <w:rFonts w:ascii="Verdana" w:hAnsi="Verdana" w:cs="Arial"/>
                <w:sz w:val="20"/>
                <w:szCs w:val="20"/>
                <w:lang w:eastAsia="en-US"/>
              </w:rPr>
              <w:t>CADENT_FDQ_</w:t>
            </w:r>
            <w:r w:rsidR="0053468C">
              <w:rPr>
                <w:rFonts w:ascii="Verdana" w:hAnsi="Verdana" w:cs="Arial"/>
                <w:sz w:val="20"/>
                <w:szCs w:val="20"/>
                <w:lang w:eastAsia="en-US"/>
              </w:rPr>
              <w:t>22</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34381744" w:rsidR="00EA1559" w:rsidRPr="00BF1E33" w:rsidRDefault="00EA1559">
            <w:pPr>
              <w:pStyle w:val="NormalWeb"/>
              <w:spacing w:after="200" w:afterAutospacing="0" w:line="276" w:lineRule="auto"/>
              <w:rPr>
                <w:rFonts w:ascii="Verdana" w:hAnsi="Verdana" w:cs="Arial"/>
                <w:sz w:val="20"/>
                <w:szCs w:val="20"/>
                <w:lang w:eastAsia="en-US"/>
              </w:rPr>
            </w:pPr>
            <w:r w:rsidRPr="00BF1E33">
              <w:rPr>
                <w:rFonts w:ascii="Verdana" w:hAnsi="Verdana" w:cs="Arial"/>
                <w:sz w:val="20"/>
                <w:szCs w:val="20"/>
                <w:lang w:eastAsia="en-US"/>
              </w:rPr>
              <w:t xml:space="preserve">High </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22CABFA1" w:rsidR="00BF1E33" w:rsidRPr="00BF1E33" w:rsidRDefault="00BF1E33">
            <w:pPr>
              <w:pStyle w:val="NormalWeb"/>
              <w:spacing w:after="200" w:afterAutospacing="0" w:line="276" w:lineRule="auto"/>
              <w:rPr>
                <w:rFonts w:ascii="Verdana" w:hAnsi="Verdana"/>
                <w:sz w:val="20"/>
                <w:szCs w:val="20"/>
                <w:lang w:eastAsia="en-US"/>
              </w:rPr>
            </w:pPr>
            <w:r w:rsidRPr="00BF1E33">
              <w:rPr>
                <w:rFonts w:ascii="Verdana" w:hAnsi="Verdana"/>
                <w:sz w:val="20"/>
                <w:szCs w:val="20"/>
                <w:lang w:eastAsia="en-US"/>
              </w:rPr>
              <w:t>Capex_Synthetic_Unit_Cost_Model</w:t>
            </w:r>
            <w:r w:rsidR="00E47D84">
              <w:rPr>
                <w:rFonts w:ascii="Verdana" w:hAnsi="Verdana"/>
                <w:sz w:val="20"/>
                <w:szCs w:val="20"/>
                <w:lang w:eastAsia="en-US"/>
              </w:rPr>
              <w:t xml:space="preserve"> &amp; GD2_SyntheticCosts</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28F43412" w:rsidR="00EA1559" w:rsidRPr="00BF1E33" w:rsidRDefault="00BF1E33">
            <w:pPr>
              <w:pStyle w:val="NormalWeb"/>
              <w:spacing w:after="200" w:afterAutospacing="0" w:line="276" w:lineRule="auto"/>
              <w:rPr>
                <w:rFonts w:ascii="Verdana" w:hAnsi="Verdana"/>
                <w:sz w:val="20"/>
                <w:szCs w:val="20"/>
                <w:lang w:eastAsia="en-US"/>
              </w:rPr>
            </w:pPr>
            <w:r w:rsidRPr="00BF1E33">
              <w:rPr>
                <w:rFonts w:ascii="Verdana" w:hAnsi="Verdana"/>
                <w:sz w:val="20"/>
                <w:szCs w:val="20"/>
                <w:lang w:eastAsia="en-US"/>
              </w:rPr>
              <w:t>Reinforcement and connections synthetic unit costs</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570A8C42" w14:textId="0CF598C4" w:rsidR="00BF1E33" w:rsidRPr="00BF1E33" w:rsidRDefault="00BF1E33" w:rsidP="00BF1E33">
            <w:pPr>
              <w:pStyle w:val="NormalWeb"/>
              <w:spacing w:before="0" w:beforeAutospacing="0" w:after="200" w:afterAutospacing="0" w:line="276" w:lineRule="auto"/>
              <w:rPr>
                <w:rFonts w:ascii="Verdana" w:hAnsi="Verdana" w:cs="Arial"/>
                <w:sz w:val="20"/>
                <w:szCs w:val="20"/>
                <w:lang w:eastAsia="en-US"/>
              </w:rPr>
            </w:pPr>
            <w:r w:rsidRPr="00BF1E33">
              <w:rPr>
                <w:rFonts w:ascii="Verdana" w:hAnsi="Verdana" w:cs="Arial"/>
                <w:sz w:val="20"/>
                <w:szCs w:val="20"/>
                <w:lang w:eastAsia="en-US"/>
              </w:rPr>
              <w:t xml:space="preserve">We are reviewing the capex synthetic unit cost model and have identified an error with the reinforcement cost data used in the model. In addition, there are several areas of the model, where we would like to better understand the approach taken to apply the rules. </w:t>
            </w:r>
          </w:p>
          <w:p w14:paraId="44F23D7E" w14:textId="0010CDB0" w:rsidR="00BF1E33" w:rsidRPr="00BF1E33" w:rsidRDefault="00BF1E33" w:rsidP="00BF1E33">
            <w:pPr>
              <w:pStyle w:val="NormalWeb"/>
              <w:spacing w:before="0" w:beforeAutospacing="0" w:after="200" w:afterAutospacing="0" w:line="276" w:lineRule="auto"/>
              <w:rPr>
                <w:rFonts w:ascii="Verdana" w:hAnsi="Verdana" w:cs="Arial"/>
                <w:b/>
                <w:bCs/>
                <w:sz w:val="20"/>
                <w:szCs w:val="20"/>
                <w:lang w:eastAsia="en-US"/>
              </w:rPr>
            </w:pPr>
            <w:r w:rsidRPr="00BF1E33">
              <w:rPr>
                <w:rFonts w:ascii="Verdana" w:hAnsi="Verdana" w:cs="Arial"/>
                <w:b/>
                <w:bCs/>
                <w:sz w:val="20"/>
                <w:szCs w:val="20"/>
                <w:lang w:eastAsia="en-US"/>
              </w:rPr>
              <w:t>1) Reinforcement mains costs</w:t>
            </w:r>
          </w:p>
          <w:p w14:paraId="4E1501C7" w14:textId="53380C12" w:rsidR="00EA1559" w:rsidRDefault="00BF1E33">
            <w:pPr>
              <w:pStyle w:val="NormalWeb"/>
              <w:spacing w:before="0" w:beforeAutospacing="0" w:after="200" w:afterAutospacing="0" w:line="276" w:lineRule="auto"/>
              <w:rPr>
                <w:rFonts w:ascii="Verdana" w:hAnsi="Verdana"/>
                <w:sz w:val="20"/>
                <w:szCs w:val="20"/>
                <w:lang w:eastAsia="en-US"/>
              </w:rPr>
            </w:pPr>
            <w:r w:rsidRPr="00BF1E33">
              <w:rPr>
                <w:rFonts w:ascii="Verdana" w:hAnsi="Verdana"/>
                <w:sz w:val="20"/>
                <w:szCs w:val="20"/>
                <w:lang w:eastAsia="en-US"/>
              </w:rPr>
              <w:t>We have identified an error in the capex_synthetic_unit_cost model in relation to reinforcement unit costs. The file is not correctly pulling actual GD1 reinforcement mains costs for Sc and So into the analysis.</w:t>
            </w:r>
            <w:r>
              <w:rPr>
                <w:rFonts w:ascii="Verdana" w:hAnsi="Verdana"/>
                <w:sz w:val="20"/>
                <w:szCs w:val="20"/>
                <w:lang w:eastAsia="en-US"/>
              </w:rPr>
              <w:t xml:space="preserve"> For example, in the sheet Cal_Reinforce_GrossCosts Sc and So has no costs for general and specific reinforcement mains between 2013-14 and 2019-20. However, there are costs for these activities in its business plan table (recorded in the sub total line).</w:t>
            </w:r>
            <w:r w:rsidR="00D37604">
              <w:rPr>
                <w:rFonts w:ascii="Verdana" w:hAnsi="Verdana"/>
                <w:sz w:val="20"/>
                <w:szCs w:val="20"/>
                <w:lang w:eastAsia="en-US"/>
              </w:rPr>
              <w:t xml:space="preserve"> Could you please confirm that this is an error.</w:t>
            </w:r>
          </w:p>
          <w:p w14:paraId="64DDF54B" w14:textId="5E9CF4AE" w:rsidR="00BF1E33" w:rsidRPr="00BF1E33" w:rsidRDefault="00BF1E33">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w:t>
            </w:r>
            <w:r w:rsidR="006D4C7C">
              <w:rPr>
                <w:rFonts w:ascii="Verdana" w:hAnsi="Verdana"/>
                <w:sz w:val="20"/>
                <w:szCs w:val="20"/>
                <w:lang w:eastAsia="en-US"/>
              </w:rPr>
              <w:t xml:space="preserve">e estimate that correcting for this error </w:t>
            </w:r>
            <w:r w:rsidR="00D37604">
              <w:rPr>
                <w:rFonts w:ascii="Verdana" w:hAnsi="Verdana"/>
                <w:sz w:val="20"/>
                <w:szCs w:val="20"/>
                <w:lang w:eastAsia="en-US"/>
              </w:rPr>
              <w:t>will have the following impact on the synthetic unit costs.</w:t>
            </w:r>
          </w:p>
          <w:tbl>
            <w:tblPr>
              <w:tblW w:w="5000" w:type="pct"/>
              <w:tblLook w:val="04A0" w:firstRow="1" w:lastRow="0" w:firstColumn="1" w:lastColumn="0" w:noHBand="0" w:noVBand="1"/>
            </w:tblPr>
            <w:tblGrid>
              <w:gridCol w:w="3026"/>
              <w:gridCol w:w="1626"/>
              <w:gridCol w:w="1594"/>
              <w:gridCol w:w="996"/>
            </w:tblGrid>
            <w:tr w:rsidR="006D4C7C" w:rsidRPr="006D4C7C" w14:paraId="02979BD3" w14:textId="77777777" w:rsidTr="006D4C7C">
              <w:trPr>
                <w:trHeight w:val="240"/>
              </w:trPr>
              <w:tc>
                <w:tcPr>
                  <w:tcW w:w="20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9DE88" w14:textId="77777777"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 </w:t>
                  </w:r>
                  <w:r>
                    <w:rPr>
                      <w:rFonts w:ascii="Calibri" w:eastAsia="Times New Roman" w:hAnsi="Calibri" w:cs="Calibri"/>
                      <w:b/>
                      <w:bCs/>
                      <w:color w:val="000000"/>
                      <w:sz w:val="18"/>
                      <w:szCs w:val="18"/>
                      <w:lang w:eastAsia="en-GB"/>
                    </w:rPr>
                    <w:t>Industry Average</w:t>
                  </w:r>
                </w:p>
              </w:tc>
              <w:tc>
                <w:tcPr>
                  <w:tcW w:w="1025" w:type="pct"/>
                  <w:tcBorders>
                    <w:top w:val="single" w:sz="4" w:space="0" w:color="auto"/>
                    <w:left w:val="nil"/>
                    <w:bottom w:val="single" w:sz="4" w:space="0" w:color="auto"/>
                    <w:right w:val="single" w:sz="4" w:space="0" w:color="auto"/>
                  </w:tcBorders>
                  <w:shd w:val="clear" w:color="auto" w:fill="auto"/>
                  <w:noWrap/>
                  <w:vAlign w:val="bottom"/>
                  <w:hideMark/>
                </w:tcPr>
                <w:p w14:paraId="785AFF97" w14:textId="4DB4D6A2"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 xml:space="preserve">SGN data </w:t>
                  </w:r>
                  <w:r>
                    <w:rPr>
                      <w:rFonts w:ascii="Calibri" w:eastAsia="Times New Roman" w:hAnsi="Calibri" w:cs="Calibri"/>
                      <w:b/>
                      <w:bCs/>
                      <w:color w:val="000000"/>
                      <w:sz w:val="18"/>
                      <w:szCs w:val="18"/>
                      <w:lang w:eastAsia="en-GB"/>
                    </w:rPr>
                    <w:t>excluded</w:t>
                  </w:r>
                </w:p>
              </w:tc>
              <w:tc>
                <w:tcPr>
                  <w:tcW w:w="1308" w:type="pct"/>
                  <w:tcBorders>
                    <w:top w:val="single" w:sz="4" w:space="0" w:color="auto"/>
                    <w:left w:val="nil"/>
                    <w:bottom w:val="single" w:sz="4" w:space="0" w:color="auto"/>
                    <w:right w:val="single" w:sz="4" w:space="0" w:color="auto"/>
                  </w:tcBorders>
                  <w:shd w:val="clear" w:color="auto" w:fill="auto"/>
                  <w:noWrap/>
                  <w:vAlign w:val="bottom"/>
                  <w:hideMark/>
                </w:tcPr>
                <w:p w14:paraId="560C2B2E" w14:textId="117530AE"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SGN data included</w:t>
                  </w:r>
                </w:p>
              </w:tc>
              <w:tc>
                <w:tcPr>
                  <w:tcW w:w="660" w:type="pct"/>
                  <w:tcBorders>
                    <w:top w:val="single" w:sz="4" w:space="0" w:color="auto"/>
                    <w:left w:val="nil"/>
                    <w:bottom w:val="single" w:sz="4" w:space="0" w:color="auto"/>
                    <w:right w:val="single" w:sz="4" w:space="0" w:color="auto"/>
                  </w:tcBorders>
                  <w:shd w:val="clear" w:color="auto" w:fill="auto"/>
                  <w:noWrap/>
                  <w:vAlign w:val="bottom"/>
                  <w:hideMark/>
                </w:tcPr>
                <w:p w14:paraId="2BE17022" w14:textId="77777777"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Difference</w:t>
                  </w:r>
                </w:p>
              </w:tc>
            </w:tr>
            <w:tr w:rsidR="006D4C7C" w:rsidRPr="006D4C7C" w14:paraId="73DB6C76"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0D41AE78" w14:textId="77777777" w:rsidR="006D4C7C" w:rsidRPr="006D4C7C" w:rsidRDefault="006D4C7C" w:rsidP="006D4C7C">
                  <w:pPr>
                    <w:spacing w:after="0" w:line="240" w:lineRule="auto"/>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General_Mains_a. &lt;=180mm</w:t>
                  </w:r>
                </w:p>
              </w:tc>
              <w:tc>
                <w:tcPr>
                  <w:tcW w:w="1025" w:type="pct"/>
                  <w:tcBorders>
                    <w:top w:val="nil"/>
                    <w:left w:val="nil"/>
                    <w:bottom w:val="single" w:sz="4" w:space="0" w:color="auto"/>
                    <w:right w:val="single" w:sz="4" w:space="0" w:color="auto"/>
                  </w:tcBorders>
                  <w:shd w:val="clear" w:color="auto" w:fill="auto"/>
                  <w:noWrap/>
                  <w:vAlign w:val="bottom"/>
                  <w:hideMark/>
                </w:tcPr>
                <w:p w14:paraId="2BCEE9A5" w14:textId="2D9ADB65"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299</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346</w:t>
                  </w:r>
                </w:p>
              </w:tc>
              <w:tc>
                <w:tcPr>
                  <w:tcW w:w="1308" w:type="pct"/>
                  <w:tcBorders>
                    <w:top w:val="nil"/>
                    <w:left w:val="nil"/>
                    <w:bottom w:val="single" w:sz="4" w:space="0" w:color="auto"/>
                    <w:right w:val="single" w:sz="4" w:space="0" w:color="auto"/>
                  </w:tcBorders>
                  <w:shd w:val="clear" w:color="auto" w:fill="auto"/>
                  <w:noWrap/>
                  <w:vAlign w:val="bottom"/>
                  <w:hideMark/>
                </w:tcPr>
                <w:p w14:paraId="3BE62451" w14:textId="498DBBFF"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286</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833</w:t>
                  </w:r>
                </w:p>
              </w:tc>
              <w:tc>
                <w:tcPr>
                  <w:tcW w:w="660" w:type="pct"/>
                  <w:tcBorders>
                    <w:top w:val="nil"/>
                    <w:left w:val="nil"/>
                    <w:bottom w:val="single" w:sz="4" w:space="0" w:color="auto"/>
                    <w:right w:val="single" w:sz="4" w:space="0" w:color="auto"/>
                  </w:tcBorders>
                  <w:shd w:val="clear" w:color="auto" w:fill="auto"/>
                  <w:noWrap/>
                  <w:vAlign w:val="bottom"/>
                  <w:hideMark/>
                </w:tcPr>
                <w:p w14:paraId="070C09AA" w14:textId="5D721282"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-12</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513</w:t>
                  </w:r>
                </w:p>
              </w:tc>
            </w:tr>
            <w:tr w:rsidR="006D4C7C" w:rsidRPr="006D4C7C" w14:paraId="64BAF6F5"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43DCE36D" w14:textId="77777777" w:rsidR="006D4C7C" w:rsidRPr="006D4C7C" w:rsidRDefault="006D4C7C" w:rsidP="006D4C7C">
                  <w:pPr>
                    <w:spacing w:after="0" w:line="240" w:lineRule="auto"/>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General_Mains_b. &gt;180mm</w:t>
                  </w:r>
                </w:p>
              </w:tc>
              <w:tc>
                <w:tcPr>
                  <w:tcW w:w="1025" w:type="pct"/>
                  <w:tcBorders>
                    <w:top w:val="nil"/>
                    <w:left w:val="nil"/>
                    <w:bottom w:val="single" w:sz="4" w:space="0" w:color="auto"/>
                    <w:right w:val="single" w:sz="4" w:space="0" w:color="auto"/>
                  </w:tcBorders>
                  <w:shd w:val="clear" w:color="auto" w:fill="auto"/>
                  <w:noWrap/>
                  <w:vAlign w:val="bottom"/>
                  <w:hideMark/>
                </w:tcPr>
                <w:p w14:paraId="0C0DB07B" w14:textId="28DF83AA"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552</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383</w:t>
                  </w:r>
                </w:p>
              </w:tc>
              <w:tc>
                <w:tcPr>
                  <w:tcW w:w="1308" w:type="pct"/>
                  <w:tcBorders>
                    <w:top w:val="nil"/>
                    <w:left w:val="nil"/>
                    <w:bottom w:val="single" w:sz="4" w:space="0" w:color="auto"/>
                    <w:right w:val="single" w:sz="4" w:space="0" w:color="auto"/>
                  </w:tcBorders>
                  <w:shd w:val="clear" w:color="auto" w:fill="auto"/>
                  <w:noWrap/>
                  <w:vAlign w:val="bottom"/>
                  <w:hideMark/>
                </w:tcPr>
                <w:p w14:paraId="04381709" w14:textId="5E359B25"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529</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293</w:t>
                  </w:r>
                </w:p>
              </w:tc>
              <w:tc>
                <w:tcPr>
                  <w:tcW w:w="660" w:type="pct"/>
                  <w:tcBorders>
                    <w:top w:val="nil"/>
                    <w:left w:val="nil"/>
                    <w:bottom w:val="single" w:sz="4" w:space="0" w:color="auto"/>
                    <w:right w:val="single" w:sz="4" w:space="0" w:color="auto"/>
                  </w:tcBorders>
                  <w:shd w:val="clear" w:color="auto" w:fill="auto"/>
                  <w:noWrap/>
                  <w:vAlign w:val="bottom"/>
                  <w:hideMark/>
                </w:tcPr>
                <w:p w14:paraId="76D85828" w14:textId="7C3CDC24"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-23</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089</w:t>
                  </w:r>
                </w:p>
              </w:tc>
            </w:tr>
            <w:tr w:rsidR="006D4C7C" w:rsidRPr="006D4C7C" w14:paraId="1E6DD35F"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3A0FBBA" w14:textId="77777777"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General_Specific_Mains_a. &lt;=180mm</w:t>
                  </w:r>
                </w:p>
              </w:tc>
              <w:tc>
                <w:tcPr>
                  <w:tcW w:w="1025" w:type="pct"/>
                  <w:tcBorders>
                    <w:top w:val="nil"/>
                    <w:left w:val="nil"/>
                    <w:bottom w:val="single" w:sz="4" w:space="0" w:color="auto"/>
                    <w:right w:val="single" w:sz="4" w:space="0" w:color="auto"/>
                  </w:tcBorders>
                  <w:shd w:val="clear" w:color="auto" w:fill="auto"/>
                  <w:noWrap/>
                  <w:vAlign w:val="bottom"/>
                  <w:hideMark/>
                </w:tcPr>
                <w:p w14:paraId="01E60FE7" w14:textId="21CADFA9"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309</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408</w:t>
                  </w:r>
                </w:p>
              </w:tc>
              <w:tc>
                <w:tcPr>
                  <w:tcW w:w="1308" w:type="pct"/>
                  <w:tcBorders>
                    <w:top w:val="nil"/>
                    <w:left w:val="nil"/>
                    <w:bottom w:val="single" w:sz="4" w:space="0" w:color="auto"/>
                    <w:right w:val="single" w:sz="4" w:space="0" w:color="auto"/>
                  </w:tcBorders>
                  <w:shd w:val="clear" w:color="auto" w:fill="auto"/>
                  <w:noWrap/>
                  <w:vAlign w:val="bottom"/>
                  <w:hideMark/>
                </w:tcPr>
                <w:p w14:paraId="71FCB1CF" w14:textId="432ADB8D"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303</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836</w:t>
                  </w:r>
                </w:p>
              </w:tc>
              <w:tc>
                <w:tcPr>
                  <w:tcW w:w="660" w:type="pct"/>
                  <w:tcBorders>
                    <w:top w:val="nil"/>
                    <w:left w:val="nil"/>
                    <w:bottom w:val="single" w:sz="4" w:space="0" w:color="auto"/>
                    <w:right w:val="single" w:sz="4" w:space="0" w:color="auto"/>
                  </w:tcBorders>
                  <w:shd w:val="clear" w:color="auto" w:fill="auto"/>
                  <w:noWrap/>
                  <w:vAlign w:val="bottom"/>
                  <w:hideMark/>
                </w:tcPr>
                <w:p w14:paraId="063E4871" w14:textId="45D645E4"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-5</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571</w:t>
                  </w:r>
                </w:p>
              </w:tc>
            </w:tr>
            <w:tr w:rsidR="006D4C7C" w:rsidRPr="006D4C7C" w14:paraId="65E6D8FC"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6529F74" w14:textId="77777777" w:rsidR="006D4C7C" w:rsidRPr="006D4C7C" w:rsidRDefault="006D4C7C" w:rsidP="006D4C7C">
                  <w:pPr>
                    <w:spacing w:after="0" w:line="240" w:lineRule="auto"/>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General_Specific_Mains_b. &gt;180mm</w:t>
                  </w:r>
                </w:p>
              </w:tc>
              <w:tc>
                <w:tcPr>
                  <w:tcW w:w="1025" w:type="pct"/>
                  <w:tcBorders>
                    <w:top w:val="nil"/>
                    <w:left w:val="nil"/>
                    <w:bottom w:val="single" w:sz="4" w:space="0" w:color="auto"/>
                    <w:right w:val="single" w:sz="4" w:space="0" w:color="auto"/>
                  </w:tcBorders>
                  <w:shd w:val="clear" w:color="auto" w:fill="auto"/>
                  <w:noWrap/>
                  <w:vAlign w:val="bottom"/>
                  <w:hideMark/>
                </w:tcPr>
                <w:p w14:paraId="5ABC0AF8" w14:textId="7EF31422"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452</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789</w:t>
                  </w:r>
                </w:p>
              </w:tc>
              <w:tc>
                <w:tcPr>
                  <w:tcW w:w="1308" w:type="pct"/>
                  <w:tcBorders>
                    <w:top w:val="nil"/>
                    <w:left w:val="nil"/>
                    <w:bottom w:val="single" w:sz="4" w:space="0" w:color="auto"/>
                    <w:right w:val="single" w:sz="4" w:space="0" w:color="auto"/>
                  </w:tcBorders>
                  <w:shd w:val="clear" w:color="auto" w:fill="auto"/>
                  <w:noWrap/>
                  <w:vAlign w:val="bottom"/>
                  <w:hideMark/>
                </w:tcPr>
                <w:p w14:paraId="7AFDA03C" w14:textId="7633FAD6"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454</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864</w:t>
                  </w:r>
                </w:p>
              </w:tc>
              <w:tc>
                <w:tcPr>
                  <w:tcW w:w="660" w:type="pct"/>
                  <w:tcBorders>
                    <w:top w:val="nil"/>
                    <w:left w:val="nil"/>
                    <w:bottom w:val="single" w:sz="4" w:space="0" w:color="auto"/>
                    <w:right w:val="single" w:sz="4" w:space="0" w:color="auto"/>
                  </w:tcBorders>
                  <w:shd w:val="clear" w:color="auto" w:fill="auto"/>
                  <w:noWrap/>
                  <w:vAlign w:val="bottom"/>
                  <w:hideMark/>
                </w:tcPr>
                <w:p w14:paraId="6EF91D53" w14:textId="48441C8F" w:rsidR="006D4C7C" w:rsidRPr="006D4C7C" w:rsidRDefault="006D4C7C" w:rsidP="006D4C7C">
                  <w:pPr>
                    <w:spacing w:after="0" w:line="240" w:lineRule="auto"/>
                    <w:jc w:val="right"/>
                    <w:rPr>
                      <w:rFonts w:ascii="Calibri" w:eastAsia="Times New Roman" w:hAnsi="Calibri" w:cs="Calibri"/>
                      <w:b/>
                      <w:bCs/>
                      <w:color w:val="000000"/>
                      <w:sz w:val="18"/>
                      <w:szCs w:val="18"/>
                      <w:lang w:eastAsia="en-GB"/>
                    </w:rPr>
                  </w:pPr>
                  <w:r w:rsidRPr="006D4C7C">
                    <w:rPr>
                      <w:rFonts w:ascii="Calibri" w:eastAsia="Times New Roman" w:hAnsi="Calibri" w:cs="Calibri"/>
                      <w:b/>
                      <w:bCs/>
                      <w:color w:val="000000"/>
                      <w:sz w:val="18"/>
                      <w:szCs w:val="18"/>
                      <w:lang w:eastAsia="en-GB"/>
                    </w:rPr>
                    <w:t>2</w:t>
                  </w:r>
                  <w:r>
                    <w:rPr>
                      <w:rFonts w:ascii="Calibri" w:eastAsia="Times New Roman" w:hAnsi="Calibri" w:cs="Calibri"/>
                      <w:b/>
                      <w:bCs/>
                      <w:color w:val="000000"/>
                      <w:sz w:val="18"/>
                      <w:szCs w:val="18"/>
                      <w:lang w:eastAsia="en-GB"/>
                    </w:rPr>
                    <w:t>,</w:t>
                  </w:r>
                  <w:r w:rsidRPr="006D4C7C">
                    <w:rPr>
                      <w:rFonts w:ascii="Calibri" w:eastAsia="Times New Roman" w:hAnsi="Calibri" w:cs="Calibri"/>
                      <w:b/>
                      <w:bCs/>
                      <w:color w:val="000000"/>
                      <w:sz w:val="18"/>
                      <w:szCs w:val="18"/>
                      <w:lang w:eastAsia="en-GB"/>
                    </w:rPr>
                    <w:t>075</w:t>
                  </w:r>
                </w:p>
              </w:tc>
            </w:tr>
            <w:tr w:rsidR="006D4C7C" w:rsidRPr="006D4C7C" w14:paraId="4439920A"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641F21AC" w14:textId="77777777" w:rsidR="006D4C7C" w:rsidRPr="006D4C7C" w:rsidRDefault="006D4C7C" w:rsidP="006D4C7C">
                  <w:pPr>
                    <w:spacing w:after="0" w:line="240" w:lineRule="auto"/>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Specific_Mains_a. &lt;=180mm</w:t>
                  </w:r>
                </w:p>
              </w:tc>
              <w:tc>
                <w:tcPr>
                  <w:tcW w:w="1025" w:type="pct"/>
                  <w:tcBorders>
                    <w:top w:val="nil"/>
                    <w:left w:val="nil"/>
                    <w:bottom w:val="single" w:sz="4" w:space="0" w:color="auto"/>
                    <w:right w:val="single" w:sz="4" w:space="0" w:color="auto"/>
                  </w:tcBorders>
                  <w:shd w:val="clear" w:color="auto" w:fill="auto"/>
                  <w:noWrap/>
                  <w:vAlign w:val="bottom"/>
                  <w:hideMark/>
                </w:tcPr>
                <w:p w14:paraId="195BB36E" w14:textId="4E584FF7"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312</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221</w:t>
                  </w:r>
                </w:p>
              </w:tc>
              <w:tc>
                <w:tcPr>
                  <w:tcW w:w="1308" w:type="pct"/>
                  <w:tcBorders>
                    <w:top w:val="nil"/>
                    <w:left w:val="nil"/>
                    <w:bottom w:val="single" w:sz="4" w:space="0" w:color="auto"/>
                    <w:right w:val="single" w:sz="4" w:space="0" w:color="auto"/>
                  </w:tcBorders>
                  <w:shd w:val="clear" w:color="auto" w:fill="auto"/>
                  <w:noWrap/>
                  <w:vAlign w:val="bottom"/>
                  <w:hideMark/>
                </w:tcPr>
                <w:p w14:paraId="6DFF44AC" w14:textId="1B71C234"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312</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221</w:t>
                  </w:r>
                </w:p>
              </w:tc>
              <w:tc>
                <w:tcPr>
                  <w:tcW w:w="660" w:type="pct"/>
                  <w:tcBorders>
                    <w:top w:val="nil"/>
                    <w:left w:val="nil"/>
                    <w:bottom w:val="single" w:sz="4" w:space="0" w:color="auto"/>
                    <w:right w:val="single" w:sz="4" w:space="0" w:color="auto"/>
                  </w:tcBorders>
                  <w:shd w:val="clear" w:color="auto" w:fill="auto"/>
                  <w:noWrap/>
                  <w:vAlign w:val="bottom"/>
                  <w:hideMark/>
                </w:tcPr>
                <w:p w14:paraId="74FA5FC9" w14:textId="77777777"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0</w:t>
                  </w:r>
                </w:p>
              </w:tc>
            </w:tr>
            <w:tr w:rsidR="006D4C7C" w:rsidRPr="006D4C7C" w14:paraId="627C3722" w14:textId="77777777" w:rsidTr="006D4C7C">
              <w:trPr>
                <w:trHeight w:val="240"/>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6FA45263" w14:textId="77777777" w:rsidR="006D4C7C" w:rsidRPr="006D4C7C" w:rsidRDefault="006D4C7C" w:rsidP="006D4C7C">
                  <w:pPr>
                    <w:spacing w:after="0" w:line="240" w:lineRule="auto"/>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Specific_Mains_b. &gt;180mm</w:t>
                  </w:r>
                </w:p>
              </w:tc>
              <w:tc>
                <w:tcPr>
                  <w:tcW w:w="1025" w:type="pct"/>
                  <w:tcBorders>
                    <w:top w:val="nil"/>
                    <w:left w:val="nil"/>
                    <w:bottom w:val="single" w:sz="4" w:space="0" w:color="auto"/>
                    <w:right w:val="single" w:sz="4" w:space="0" w:color="auto"/>
                  </w:tcBorders>
                  <w:shd w:val="clear" w:color="auto" w:fill="auto"/>
                  <w:noWrap/>
                  <w:vAlign w:val="bottom"/>
                  <w:hideMark/>
                </w:tcPr>
                <w:p w14:paraId="0DF9881E" w14:textId="2D009B10"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499</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071</w:t>
                  </w:r>
                </w:p>
              </w:tc>
              <w:tc>
                <w:tcPr>
                  <w:tcW w:w="1308" w:type="pct"/>
                  <w:tcBorders>
                    <w:top w:val="nil"/>
                    <w:left w:val="nil"/>
                    <w:bottom w:val="single" w:sz="4" w:space="0" w:color="auto"/>
                    <w:right w:val="single" w:sz="4" w:space="0" w:color="auto"/>
                  </w:tcBorders>
                  <w:shd w:val="clear" w:color="auto" w:fill="auto"/>
                  <w:noWrap/>
                  <w:vAlign w:val="bottom"/>
                  <w:hideMark/>
                </w:tcPr>
                <w:p w14:paraId="38E7ACF5" w14:textId="0B49709C"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499</w:t>
                  </w:r>
                  <w:r>
                    <w:rPr>
                      <w:rFonts w:ascii="Calibri" w:eastAsia="Times New Roman" w:hAnsi="Calibri" w:cs="Calibri"/>
                      <w:color w:val="000000"/>
                      <w:sz w:val="18"/>
                      <w:szCs w:val="18"/>
                      <w:lang w:eastAsia="en-GB"/>
                    </w:rPr>
                    <w:t>,</w:t>
                  </w:r>
                  <w:r w:rsidRPr="006D4C7C">
                    <w:rPr>
                      <w:rFonts w:ascii="Calibri" w:eastAsia="Times New Roman" w:hAnsi="Calibri" w:cs="Calibri"/>
                      <w:color w:val="000000"/>
                      <w:sz w:val="18"/>
                      <w:szCs w:val="18"/>
                      <w:lang w:eastAsia="en-GB"/>
                    </w:rPr>
                    <w:t>071</w:t>
                  </w:r>
                </w:p>
              </w:tc>
              <w:tc>
                <w:tcPr>
                  <w:tcW w:w="660" w:type="pct"/>
                  <w:tcBorders>
                    <w:top w:val="nil"/>
                    <w:left w:val="nil"/>
                    <w:bottom w:val="single" w:sz="4" w:space="0" w:color="auto"/>
                    <w:right w:val="single" w:sz="4" w:space="0" w:color="auto"/>
                  </w:tcBorders>
                  <w:shd w:val="clear" w:color="auto" w:fill="auto"/>
                  <w:noWrap/>
                  <w:vAlign w:val="bottom"/>
                  <w:hideMark/>
                </w:tcPr>
                <w:p w14:paraId="2AE3067A" w14:textId="77777777" w:rsidR="006D4C7C" w:rsidRPr="006D4C7C" w:rsidRDefault="006D4C7C" w:rsidP="006D4C7C">
                  <w:pPr>
                    <w:spacing w:after="0" w:line="240" w:lineRule="auto"/>
                    <w:jc w:val="right"/>
                    <w:rPr>
                      <w:rFonts w:ascii="Calibri" w:eastAsia="Times New Roman" w:hAnsi="Calibri" w:cs="Calibri"/>
                      <w:color w:val="000000"/>
                      <w:sz w:val="18"/>
                      <w:szCs w:val="18"/>
                      <w:lang w:eastAsia="en-GB"/>
                    </w:rPr>
                  </w:pPr>
                  <w:r w:rsidRPr="006D4C7C">
                    <w:rPr>
                      <w:rFonts w:ascii="Calibri" w:eastAsia="Times New Roman" w:hAnsi="Calibri" w:cs="Calibri"/>
                      <w:color w:val="000000"/>
                      <w:sz w:val="18"/>
                      <w:szCs w:val="18"/>
                      <w:lang w:eastAsia="en-GB"/>
                    </w:rPr>
                    <w:t>0</w:t>
                  </w:r>
                </w:p>
              </w:tc>
            </w:tr>
          </w:tbl>
          <w:p w14:paraId="68C8B588" w14:textId="7FF2D4C0" w:rsidR="00D37604" w:rsidRDefault="00D37604">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We have not yet estimated the impact of this error on the regression model, but we expect given the size of the change that it is likely to </w:t>
            </w:r>
            <w:r w:rsidR="00FD399D">
              <w:rPr>
                <w:rFonts w:ascii="Verdana" w:hAnsi="Verdana"/>
                <w:sz w:val="20"/>
                <w:szCs w:val="20"/>
                <w:lang w:eastAsia="en-US"/>
              </w:rPr>
              <w:t>have only a small impact.</w:t>
            </w:r>
          </w:p>
          <w:p w14:paraId="1FBF41C2" w14:textId="7C926F3E" w:rsidR="00153C87" w:rsidRDefault="00153C87" w:rsidP="00153C87">
            <w:pPr>
              <w:pStyle w:val="NormalWeb"/>
              <w:spacing w:before="0" w:beforeAutospacing="0" w:after="200" w:afterAutospacing="0" w:line="276" w:lineRule="auto"/>
              <w:rPr>
                <w:rFonts w:ascii="Verdana" w:hAnsi="Verdana" w:cs="Arial"/>
                <w:b/>
                <w:bCs/>
                <w:sz w:val="20"/>
                <w:szCs w:val="20"/>
                <w:lang w:eastAsia="en-US"/>
              </w:rPr>
            </w:pPr>
            <w:r>
              <w:rPr>
                <w:rFonts w:ascii="Verdana" w:hAnsi="Verdana" w:cs="Arial"/>
                <w:b/>
                <w:bCs/>
                <w:sz w:val="20"/>
                <w:szCs w:val="20"/>
                <w:lang w:eastAsia="en-US"/>
              </w:rPr>
              <w:t>2</w:t>
            </w:r>
            <w:r w:rsidRPr="00BF1E33">
              <w:rPr>
                <w:rFonts w:ascii="Verdana" w:hAnsi="Verdana" w:cs="Arial"/>
                <w:b/>
                <w:bCs/>
                <w:sz w:val="20"/>
                <w:szCs w:val="20"/>
                <w:lang w:eastAsia="en-US"/>
              </w:rPr>
              <w:t xml:space="preserve">) </w:t>
            </w:r>
            <w:r>
              <w:rPr>
                <w:rFonts w:ascii="Verdana" w:hAnsi="Verdana" w:cs="Arial"/>
                <w:b/>
                <w:bCs/>
                <w:sz w:val="20"/>
                <w:szCs w:val="20"/>
                <w:lang w:eastAsia="en-US"/>
              </w:rPr>
              <w:t>Methodology for connection synthetic unit costs</w:t>
            </w:r>
          </w:p>
          <w:p w14:paraId="18C29B08" w14:textId="105A8220" w:rsidR="00153C87" w:rsidRDefault="00153C87" w:rsidP="00153C87">
            <w:pPr>
              <w:pStyle w:val="NormalWeb"/>
              <w:spacing w:before="0" w:beforeAutospacing="0" w:after="200" w:afterAutospacing="0" w:line="276" w:lineRule="auto"/>
              <w:rPr>
                <w:rFonts w:ascii="Verdana" w:hAnsi="Verdana" w:cs="Arial"/>
                <w:sz w:val="20"/>
                <w:szCs w:val="20"/>
                <w:lang w:eastAsia="en-US"/>
              </w:rPr>
            </w:pPr>
            <w:r>
              <w:rPr>
                <w:rFonts w:ascii="Verdana" w:hAnsi="Verdana" w:cs="Arial"/>
                <w:sz w:val="20"/>
                <w:szCs w:val="20"/>
                <w:lang w:eastAsia="en-US"/>
              </w:rPr>
              <w:t xml:space="preserve">In reviewing the </w:t>
            </w:r>
            <w:r w:rsidR="00E47D84" w:rsidRPr="00BF1E33">
              <w:rPr>
                <w:rFonts w:ascii="Verdana" w:hAnsi="Verdana"/>
                <w:sz w:val="20"/>
                <w:szCs w:val="20"/>
                <w:lang w:eastAsia="en-US"/>
              </w:rPr>
              <w:t>Capex_Synthetic_Unit_Cost_Model</w:t>
            </w:r>
            <w:r>
              <w:rPr>
                <w:rFonts w:ascii="Verdana" w:hAnsi="Verdana" w:cs="Arial"/>
                <w:sz w:val="20"/>
                <w:szCs w:val="20"/>
                <w:lang w:eastAsia="en-US"/>
              </w:rPr>
              <w:t>, we have noticed that the approach to estimating synthetic connections unit costs seems to vary slightly to the approach to repex, with rule 2 being run and applied three times before rule is applied. Could you explain the reason for this approach.</w:t>
            </w:r>
          </w:p>
          <w:p w14:paraId="7B3EBC18" w14:textId="77777777" w:rsidR="00E47D84" w:rsidRDefault="00E47D84" w:rsidP="00153C87">
            <w:pPr>
              <w:pStyle w:val="NormalWeb"/>
              <w:spacing w:before="0" w:beforeAutospacing="0" w:after="200" w:afterAutospacing="0" w:line="276" w:lineRule="auto"/>
              <w:rPr>
                <w:rFonts w:ascii="Verdana" w:hAnsi="Verdana" w:cs="Arial"/>
                <w:sz w:val="20"/>
                <w:szCs w:val="20"/>
                <w:lang w:eastAsia="en-US"/>
              </w:rPr>
            </w:pPr>
          </w:p>
          <w:p w14:paraId="0EDE8A95" w14:textId="6B1A7E65" w:rsidR="00153C87" w:rsidRDefault="00153C87" w:rsidP="00153C87">
            <w:pPr>
              <w:pStyle w:val="NormalWeb"/>
              <w:spacing w:before="0" w:beforeAutospacing="0" w:after="200" w:afterAutospacing="0" w:line="276" w:lineRule="auto"/>
              <w:rPr>
                <w:rFonts w:ascii="Verdana" w:hAnsi="Verdana" w:cs="Arial"/>
                <w:b/>
                <w:bCs/>
                <w:sz w:val="20"/>
                <w:szCs w:val="20"/>
                <w:lang w:eastAsia="en-US"/>
              </w:rPr>
            </w:pPr>
            <w:r>
              <w:rPr>
                <w:rFonts w:ascii="Verdana" w:hAnsi="Verdana" w:cs="Arial"/>
                <w:b/>
                <w:bCs/>
                <w:sz w:val="20"/>
                <w:szCs w:val="20"/>
                <w:lang w:eastAsia="en-US"/>
              </w:rPr>
              <w:lastRenderedPageBreak/>
              <w:t>3</w:t>
            </w:r>
            <w:r w:rsidRPr="00BF1E33">
              <w:rPr>
                <w:rFonts w:ascii="Verdana" w:hAnsi="Verdana" w:cs="Arial"/>
                <w:b/>
                <w:bCs/>
                <w:sz w:val="20"/>
                <w:szCs w:val="20"/>
                <w:lang w:eastAsia="en-US"/>
              </w:rPr>
              <w:t xml:space="preserve">) </w:t>
            </w:r>
            <w:r>
              <w:rPr>
                <w:rFonts w:ascii="Verdana" w:hAnsi="Verdana" w:cs="Arial"/>
                <w:b/>
                <w:bCs/>
                <w:sz w:val="20"/>
                <w:szCs w:val="20"/>
                <w:lang w:eastAsia="en-US"/>
              </w:rPr>
              <w:t>Selection of preferred unit costs and application of scaling factors</w:t>
            </w:r>
          </w:p>
          <w:p w14:paraId="38E24387" w14:textId="00B22307" w:rsidR="00153C87" w:rsidRDefault="00513FDF" w:rsidP="00153C87">
            <w:pPr>
              <w:pStyle w:val="NormalWeb"/>
              <w:spacing w:before="0" w:beforeAutospacing="0" w:after="200" w:afterAutospacing="0" w:line="276" w:lineRule="auto"/>
              <w:rPr>
                <w:rFonts w:ascii="Verdana" w:hAnsi="Verdana" w:cs="Arial"/>
                <w:sz w:val="20"/>
                <w:szCs w:val="20"/>
                <w:lang w:eastAsia="en-US"/>
              </w:rPr>
            </w:pPr>
            <w:r>
              <w:rPr>
                <w:rFonts w:ascii="Verdana" w:hAnsi="Verdana" w:cs="Arial"/>
                <w:sz w:val="20"/>
                <w:szCs w:val="20"/>
                <w:lang w:eastAsia="en-US"/>
              </w:rPr>
              <w:t xml:space="preserve">Without repeating the </w:t>
            </w:r>
            <w:r w:rsidR="00441EF8">
              <w:rPr>
                <w:rFonts w:ascii="Verdana" w:hAnsi="Verdana" w:cs="Arial"/>
                <w:sz w:val="20"/>
                <w:szCs w:val="20"/>
                <w:lang w:eastAsia="en-US"/>
              </w:rPr>
              <w:t xml:space="preserve">same queries that </w:t>
            </w:r>
            <w:r>
              <w:rPr>
                <w:rFonts w:ascii="Verdana" w:hAnsi="Verdana" w:cs="Arial"/>
                <w:sz w:val="20"/>
                <w:szCs w:val="20"/>
                <w:lang w:eastAsia="en-US"/>
              </w:rPr>
              <w:t>we have raised in Cadent_FDQ_20</w:t>
            </w:r>
            <w:r w:rsidR="00441EF8">
              <w:rPr>
                <w:rFonts w:ascii="Verdana" w:hAnsi="Verdana" w:cs="Arial"/>
                <w:sz w:val="20"/>
                <w:szCs w:val="20"/>
                <w:lang w:eastAsia="en-US"/>
              </w:rPr>
              <w:t xml:space="preserve"> (</w:t>
            </w:r>
            <w:r>
              <w:rPr>
                <w:rFonts w:ascii="Verdana" w:hAnsi="Verdana" w:cs="Arial"/>
                <w:sz w:val="20"/>
                <w:szCs w:val="20"/>
                <w:lang w:eastAsia="en-US"/>
              </w:rPr>
              <w:t>with regard to the repex synthetic unit cost model</w:t>
            </w:r>
            <w:r w:rsidR="00441EF8">
              <w:rPr>
                <w:rFonts w:ascii="Verdana" w:hAnsi="Verdana" w:cs="Arial"/>
                <w:sz w:val="20"/>
                <w:szCs w:val="20"/>
                <w:lang w:eastAsia="en-US"/>
              </w:rPr>
              <w:t>),</w:t>
            </w:r>
            <w:r>
              <w:rPr>
                <w:rFonts w:ascii="Verdana" w:hAnsi="Verdana" w:cs="Arial"/>
                <w:sz w:val="20"/>
                <w:szCs w:val="20"/>
                <w:lang w:eastAsia="en-US"/>
              </w:rPr>
              <w:t xml:space="preserve"> we have noticed similar issues where it is not always clear why:</w:t>
            </w:r>
          </w:p>
          <w:p w14:paraId="0A306A8D" w14:textId="28325F34" w:rsidR="00513FDF" w:rsidRDefault="00513FDF" w:rsidP="00513FDF">
            <w:pPr>
              <w:pStyle w:val="NormalWeb"/>
              <w:numPr>
                <w:ilvl w:val="0"/>
                <w:numId w:val="6"/>
              </w:numPr>
              <w:spacing w:before="0" w:beforeAutospacing="0" w:after="200" w:afterAutospacing="0" w:line="276" w:lineRule="auto"/>
              <w:rPr>
                <w:rFonts w:ascii="Verdana" w:hAnsi="Verdana" w:cs="Arial"/>
                <w:sz w:val="20"/>
                <w:szCs w:val="20"/>
                <w:lang w:eastAsia="en-US"/>
              </w:rPr>
            </w:pPr>
            <w:r>
              <w:rPr>
                <w:rFonts w:ascii="Verdana" w:hAnsi="Verdana" w:cs="Arial"/>
                <w:sz w:val="20"/>
                <w:szCs w:val="20"/>
                <w:lang w:eastAsia="en-US"/>
              </w:rPr>
              <w:t xml:space="preserve">A unit cost has been selected as the preferred unit cost, for example, in sheet Capex_SUC_selection the unit cost for Connections – Existing Mains &gt;180mm is selected from after rule 2 although rule 3 should be applied as one company’s unit costs fails to meet the 40% threshold. </w:t>
            </w:r>
          </w:p>
          <w:p w14:paraId="4CB44184" w14:textId="0A0F7441" w:rsidR="00513FDF" w:rsidRPr="00153C87" w:rsidRDefault="00513FDF" w:rsidP="00513FDF">
            <w:pPr>
              <w:pStyle w:val="NormalWeb"/>
              <w:numPr>
                <w:ilvl w:val="0"/>
                <w:numId w:val="6"/>
              </w:numPr>
              <w:spacing w:before="0" w:beforeAutospacing="0" w:after="200" w:afterAutospacing="0" w:line="276" w:lineRule="auto"/>
              <w:rPr>
                <w:rFonts w:ascii="Verdana" w:hAnsi="Verdana" w:cs="Arial"/>
                <w:sz w:val="20"/>
                <w:szCs w:val="20"/>
                <w:lang w:eastAsia="en-US"/>
              </w:rPr>
            </w:pPr>
            <w:r>
              <w:rPr>
                <w:rFonts w:ascii="Verdana" w:hAnsi="Verdana" w:cs="Arial"/>
                <w:sz w:val="20"/>
                <w:szCs w:val="20"/>
                <w:lang w:eastAsia="en-US"/>
              </w:rPr>
              <w:t>Why sometimes scaling factors are applied with reference to GD1 synthetic unit costs and in other cases with reference to the newly calculated unit costs.</w:t>
            </w:r>
          </w:p>
          <w:p w14:paraId="15290A39" w14:textId="6A6F2A5C" w:rsidR="006D4C7C" w:rsidRDefault="00513FDF">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In addition, we have also identified one instance where a preferred unit cost has been directly linked to a unit cost rather than applying the formulae logic – see row 103 in the sheet Capex_SUC_selection, where the combined unit cost “Connections New Existing NonDomestic Mains b.&gt;180mm” is directly linked to the post rule 3 unit cost. Could you </w:t>
            </w:r>
            <w:r w:rsidR="00E47D84">
              <w:rPr>
                <w:rFonts w:ascii="Verdana" w:hAnsi="Verdana"/>
                <w:sz w:val="20"/>
                <w:szCs w:val="20"/>
                <w:lang w:eastAsia="en-US"/>
              </w:rPr>
              <w:t>confirm whether this is an error, and if not provide an explanation behind the approach.</w:t>
            </w:r>
          </w:p>
          <w:p w14:paraId="45B908ED" w14:textId="4858648A" w:rsidR="00E47D84" w:rsidRDefault="00E47D84">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4) Use of connection synthetic unit cost in GD2_SyntheticCosts model</w:t>
            </w:r>
          </w:p>
          <w:p w14:paraId="6D70E6CA" w14:textId="6B243F52"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Could you</w:t>
            </w:r>
            <w:r w:rsidR="00027895">
              <w:rPr>
                <w:rFonts w:ascii="Verdana" w:hAnsi="Verdana"/>
                <w:sz w:val="20"/>
                <w:szCs w:val="20"/>
                <w:lang w:eastAsia="en-US"/>
              </w:rPr>
              <w:t xml:space="preserve"> please</w:t>
            </w:r>
            <w:r>
              <w:rPr>
                <w:rFonts w:ascii="Verdana" w:hAnsi="Verdana"/>
                <w:sz w:val="20"/>
                <w:szCs w:val="20"/>
                <w:lang w:eastAsia="en-US"/>
              </w:rPr>
              <w:t xml:space="preserve"> explain </w:t>
            </w:r>
            <w:r w:rsidR="00027895">
              <w:rPr>
                <w:rFonts w:ascii="Verdana" w:hAnsi="Verdana"/>
                <w:sz w:val="20"/>
                <w:szCs w:val="20"/>
                <w:lang w:eastAsia="en-US"/>
              </w:rPr>
              <w:t xml:space="preserve">why </w:t>
            </w:r>
            <w:r>
              <w:rPr>
                <w:rFonts w:ascii="Verdana" w:hAnsi="Verdana"/>
                <w:sz w:val="20"/>
                <w:szCs w:val="20"/>
                <w:lang w:eastAsia="en-US"/>
              </w:rPr>
              <w:t>the reasoning behind the choice of</w:t>
            </w:r>
            <w:r w:rsidR="00027895">
              <w:rPr>
                <w:rFonts w:ascii="Verdana" w:hAnsi="Verdana"/>
                <w:sz w:val="20"/>
                <w:szCs w:val="20"/>
                <w:lang w:eastAsia="en-US"/>
              </w:rPr>
              <w:t xml:space="preserve"> the FPNES</w:t>
            </w:r>
            <w:r>
              <w:rPr>
                <w:rFonts w:ascii="Verdana" w:hAnsi="Verdana"/>
                <w:sz w:val="20"/>
                <w:szCs w:val="20"/>
                <w:lang w:eastAsia="en-US"/>
              </w:rPr>
              <w:t xml:space="preserve"> connections synthetic unit costs used in the GD2_SyntheticCosts model.</w:t>
            </w:r>
          </w:p>
          <w:p w14:paraId="0F191122" w14:textId="04DB55A2" w:rsidR="00F76BD9" w:rsidRPr="00E47D84" w:rsidRDefault="00E47D84"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The GD2_SyntheticCost model uses </w:t>
            </w:r>
            <w:r w:rsidR="00F76BD9">
              <w:rPr>
                <w:rFonts w:ascii="Verdana" w:hAnsi="Verdana"/>
                <w:sz w:val="20"/>
                <w:szCs w:val="20"/>
                <w:lang w:eastAsia="en-US"/>
              </w:rPr>
              <w:t>the following synthetic unit costs against the following workload types.</w:t>
            </w:r>
          </w:p>
          <w:tbl>
            <w:tblPr>
              <w:tblStyle w:val="TableGrid"/>
              <w:tblW w:w="0" w:type="auto"/>
              <w:tblLook w:val="04A0" w:firstRow="1" w:lastRow="0" w:firstColumn="1" w:lastColumn="0" w:noHBand="0" w:noVBand="1"/>
            </w:tblPr>
            <w:tblGrid>
              <w:gridCol w:w="3418"/>
              <w:gridCol w:w="3824"/>
            </w:tblGrid>
            <w:tr w:rsidR="00F76BD9" w14:paraId="34AD3E20" w14:textId="77777777" w:rsidTr="00F76BD9">
              <w:tc>
                <w:tcPr>
                  <w:tcW w:w="3418" w:type="dxa"/>
                </w:tcPr>
                <w:p w14:paraId="51C4BA76" w14:textId="4DC673B0" w:rsidR="00F76BD9" w:rsidRPr="00F76BD9" w:rsidRDefault="00F76BD9" w:rsidP="00F76BD9">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Synthetic unit cost</w:t>
                  </w:r>
                </w:p>
              </w:tc>
              <w:tc>
                <w:tcPr>
                  <w:tcW w:w="3824" w:type="dxa"/>
                </w:tcPr>
                <w:p w14:paraId="03321DC8" w14:textId="6134D3B2" w:rsidR="00F76BD9" w:rsidRPr="00F76BD9" w:rsidRDefault="00F76BD9" w:rsidP="00F76BD9">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Workload</w:t>
                  </w:r>
                </w:p>
              </w:tc>
            </w:tr>
            <w:tr w:rsidR="00F76BD9" w14:paraId="214FE5E5" w14:textId="77777777" w:rsidTr="00F76BD9">
              <w:tc>
                <w:tcPr>
                  <w:tcW w:w="3418" w:type="dxa"/>
                </w:tcPr>
                <w:p w14:paraId="75351B81" w14:textId="235C55F1"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Existing, Non-Domestic Mains ≤180mm</w:t>
                  </w:r>
                </w:p>
              </w:tc>
              <w:tc>
                <w:tcPr>
                  <w:tcW w:w="3824" w:type="dxa"/>
                </w:tcPr>
                <w:p w14:paraId="5F51D93A" w14:textId="59F48A19"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Housing mains ≤180mm</w:t>
                  </w:r>
                </w:p>
                <w:p w14:paraId="62076467" w14:textId="6C64DE26"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Existing Housing Mains ≤180mm</w:t>
                  </w:r>
                </w:p>
                <w:p w14:paraId="116D1874" w14:textId="6EA51011"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Non-Domestic Mains ≤180mm</w:t>
                  </w:r>
                </w:p>
              </w:tc>
            </w:tr>
            <w:tr w:rsidR="00F76BD9" w14:paraId="632F3161" w14:textId="77777777" w:rsidTr="00F76BD9">
              <w:tc>
                <w:tcPr>
                  <w:tcW w:w="3418" w:type="dxa"/>
                </w:tcPr>
                <w:p w14:paraId="11334E2C" w14:textId="2859B806"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Existing, Non-Domestic Mains &gt;180mm</w:t>
                  </w:r>
                </w:p>
              </w:tc>
              <w:tc>
                <w:tcPr>
                  <w:tcW w:w="3824" w:type="dxa"/>
                </w:tcPr>
                <w:p w14:paraId="7334A00F" w14:textId="77777777"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Housing mains &gt;180mm</w:t>
                  </w:r>
                </w:p>
                <w:p w14:paraId="44ED5131" w14:textId="77777777"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Existing Housing Mains &gt;180mm</w:t>
                  </w:r>
                </w:p>
                <w:p w14:paraId="784AA880" w14:textId="5F509473"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Non-Domestic Mains &gt;180mm</w:t>
                  </w:r>
                </w:p>
              </w:tc>
            </w:tr>
            <w:tr w:rsidR="00F76BD9" w14:paraId="4507AEB8" w14:textId="77777777" w:rsidTr="00F76BD9">
              <w:tc>
                <w:tcPr>
                  <w:tcW w:w="3418" w:type="dxa"/>
                </w:tcPr>
                <w:p w14:paraId="2486523F" w14:textId="055A274A"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Existing, Non-Domestic Services</w:t>
                  </w:r>
                </w:p>
              </w:tc>
              <w:tc>
                <w:tcPr>
                  <w:tcW w:w="3824" w:type="dxa"/>
                </w:tcPr>
                <w:p w14:paraId="0778481A" w14:textId="4B2141D0"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Housing mains services</w:t>
                  </w:r>
                </w:p>
                <w:p w14:paraId="2C72B263" w14:textId="1DCAE6F7"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Existing Housing Mains services</w:t>
                  </w:r>
                </w:p>
                <w:p w14:paraId="500E05F7" w14:textId="00BD0EB1"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Non-Domestic Mains services</w:t>
                  </w:r>
                </w:p>
              </w:tc>
            </w:tr>
            <w:tr w:rsidR="00F76BD9" w14:paraId="70A454DB" w14:textId="77777777" w:rsidTr="00F76BD9">
              <w:tc>
                <w:tcPr>
                  <w:tcW w:w="3418" w:type="dxa"/>
                </w:tcPr>
                <w:p w14:paraId="52C6A874" w14:textId="05EA1568"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lastRenderedPageBreak/>
                    <w:t>New, Existing, FPNES ≤180mm</w:t>
                  </w:r>
                </w:p>
              </w:tc>
              <w:tc>
                <w:tcPr>
                  <w:tcW w:w="3824" w:type="dxa"/>
                </w:tcPr>
                <w:p w14:paraId="2A393B4A" w14:textId="702F01F6"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FPNES mains ≤180mm</w:t>
                  </w:r>
                </w:p>
              </w:tc>
            </w:tr>
            <w:tr w:rsidR="00F76BD9" w14:paraId="277014C2" w14:textId="77777777" w:rsidTr="00F76BD9">
              <w:tc>
                <w:tcPr>
                  <w:tcW w:w="3418" w:type="dxa"/>
                </w:tcPr>
                <w:p w14:paraId="6B5840A1" w14:textId="2ABBB081" w:rsidR="00F76BD9" w:rsidRP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Existing, FPNES &gt;180mm</w:t>
                  </w:r>
                </w:p>
              </w:tc>
              <w:tc>
                <w:tcPr>
                  <w:tcW w:w="3824" w:type="dxa"/>
                </w:tcPr>
                <w:p w14:paraId="33B4500F" w14:textId="79AE07AB"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FPNES mains &gt;180mm</w:t>
                  </w:r>
                </w:p>
              </w:tc>
            </w:tr>
            <w:tr w:rsidR="00F76BD9" w14:paraId="33F0027D" w14:textId="77777777" w:rsidTr="00F76BD9">
              <w:tc>
                <w:tcPr>
                  <w:tcW w:w="3418" w:type="dxa"/>
                </w:tcPr>
                <w:p w14:paraId="11D930FE" w14:textId="5BF3FF2B"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New, Existing, FPNES Services</w:t>
                  </w:r>
                </w:p>
              </w:tc>
              <w:tc>
                <w:tcPr>
                  <w:tcW w:w="3824" w:type="dxa"/>
                </w:tcPr>
                <w:p w14:paraId="543943EF" w14:textId="0B51012E" w:rsidR="00F76BD9" w:rsidRDefault="00F76BD9" w:rsidP="00F76BD9">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FPNES services</w:t>
                  </w:r>
                </w:p>
              </w:tc>
            </w:tr>
          </w:tbl>
          <w:p w14:paraId="59205595" w14:textId="25412670" w:rsidR="006D4C7C" w:rsidRDefault="006D4C7C" w:rsidP="00F76BD9">
            <w:pPr>
              <w:pStyle w:val="NormalWeb"/>
              <w:spacing w:before="0" w:beforeAutospacing="0" w:after="200" w:afterAutospacing="0" w:line="276" w:lineRule="auto"/>
              <w:rPr>
                <w:rFonts w:ascii="Verdana" w:hAnsi="Verdana"/>
                <w:sz w:val="20"/>
                <w:szCs w:val="20"/>
                <w:lang w:eastAsia="en-US"/>
              </w:rPr>
            </w:pPr>
          </w:p>
          <w:p w14:paraId="4E32D44A" w14:textId="73A6DB7D" w:rsidR="00F76BD9" w:rsidRPr="00BF1E33" w:rsidRDefault="00F76BD9" w:rsidP="00027895">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As can be seen from the table above, while there is a combined unit cost for New, Existing and Non-Domestic connections that is applied to the relevant workload, the model also uses a combined unit cost for FPNES but only applies it to the FPNES workload. Could you explain </w:t>
            </w:r>
            <w:r w:rsidR="00027895">
              <w:rPr>
                <w:rFonts w:ascii="Verdana" w:hAnsi="Verdana"/>
                <w:sz w:val="20"/>
                <w:szCs w:val="20"/>
                <w:lang w:eastAsia="en-US"/>
              </w:rPr>
              <w:t>the reason behind this approach, rather than using an FPNES only unit cost.</w:t>
            </w: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238B941F" w:rsidR="00EA1559" w:rsidRPr="00EA1559" w:rsidRDefault="00027895">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0E3929A3" w:rsidR="00EA1559" w:rsidRPr="00EA1559" w:rsidRDefault="00027895">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0BBFB7CB" w:rsidR="00EA1559" w:rsidRPr="00EA1559" w:rsidRDefault="00027895">
            <w:pPr>
              <w:pStyle w:val="NormalWeb"/>
              <w:spacing w:after="200" w:afterAutospacing="0" w:line="276" w:lineRule="auto"/>
              <w:rPr>
                <w:rFonts w:ascii="Verdana" w:hAnsi="Verdana"/>
                <w:sz w:val="20"/>
                <w:szCs w:val="20"/>
                <w:lang w:eastAsia="en-US"/>
              </w:rPr>
            </w:pPr>
            <w:r>
              <w:rPr>
                <w:rFonts w:ascii="Verdana" w:hAnsi="Verdana"/>
                <w:sz w:val="20"/>
                <w:szCs w:val="20"/>
                <w:lang w:eastAsia="en-US"/>
              </w:rPr>
              <w:t>8 January 2021</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3077B049" w:rsidR="00EA1559" w:rsidRPr="00EA1559" w:rsidRDefault="00027895">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12 </w:t>
            </w:r>
            <w:r w:rsidR="00441EF8">
              <w:rPr>
                <w:rFonts w:ascii="Verdana" w:hAnsi="Verdana"/>
                <w:sz w:val="20"/>
                <w:szCs w:val="20"/>
                <w:lang w:eastAsia="en-US"/>
              </w:rPr>
              <w:t>January</w:t>
            </w:r>
            <w:r>
              <w:rPr>
                <w:rFonts w:ascii="Verdana" w:hAnsi="Verdana"/>
                <w:sz w:val="20"/>
                <w:szCs w:val="20"/>
                <w:lang w:eastAsia="en-US"/>
              </w:rPr>
              <w:t xml:space="preserve">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6AAD9F"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0CDFC835" w14:textId="5882CDEF" w:rsidR="00E73145" w:rsidRPr="00E73145" w:rsidRDefault="00E73145">
            <w:pPr>
              <w:rPr>
                <w:rFonts w:ascii="Arial" w:hAnsi="Arial" w:cs="Arial"/>
                <w:szCs w:val="20"/>
              </w:rPr>
            </w:pPr>
            <w:r w:rsidRPr="00E73145">
              <w:rPr>
                <w:rFonts w:ascii="Arial" w:hAnsi="Arial" w:cs="Arial"/>
                <w:szCs w:val="20"/>
              </w:rPr>
              <w:t xml:space="preserve">1. </w:t>
            </w:r>
            <w:r w:rsidR="00B43CE0">
              <w:rPr>
                <w:rFonts w:ascii="Arial" w:hAnsi="Arial" w:cs="Arial"/>
                <w:szCs w:val="20"/>
              </w:rPr>
              <w:t xml:space="preserve">Thanks for pointing this error in picking up reinforcement costs from BPDTs. We will add the error to the issues log and correct for it in the final model update. </w:t>
            </w:r>
          </w:p>
          <w:p w14:paraId="0D089B7B" w14:textId="5AAB4324" w:rsidR="00A72409" w:rsidRDefault="00E73145" w:rsidP="00A72409">
            <w:pPr>
              <w:rPr>
                <w:rFonts w:ascii="Arial Nova" w:eastAsia="Times New Roman" w:hAnsi="Arial Nova"/>
              </w:rPr>
            </w:pPr>
            <w:r w:rsidRPr="00E73145">
              <w:rPr>
                <w:rFonts w:ascii="Arial" w:hAnsi="Arial" w:cs="Arial"/>
                <w:szCs w:val="20"/>
              </w:rPr>
              <w:t>2.</w:t>
            </w:r>
            <w:r w:rsidR="00AC2EA2">
              <w:rPr>
                <w:rFonts w:ascii="Arial" w:hAnsi="Arial" w:cs="Arial"/>
                <w:szCs w:val="20"/>
              </w:rPr>
              <w:t xml:space="preserve"> In assessing synthetic unit costs for connections, we tested different levels of aggregation, which </w:t>
            </w:r>
            <w:r w:rsidR="00FB4B55">
              <w:rPr>
                <w:rFonts w:ascii="Arial" w:hAnsi="Arial" w:cs="Arial"/>
                <w:szCs w:val="20"/>
              </w:rPr>
              <w:t>resulted in the iterative application of rule 2</w:t>
            </w:r>
            <w:r w:rsidR="00AC2EA2">
              <w:rPr>
                <w:rFonts w:ascii="Arial" w:hAnsi="Arial" w:cs="Arial"/>
                <w:szCs w:val="20"/>
              </w:rPr>
              <w:t>.</w:t>
            </w:r>
            <w:r w:rsidR="00A72409">
              <w:rPr>
                <w:rFonts w:ascii="Arial" w:hAnsi="Arial" w:cs="Arial"/>
                <w:szCs w:val="20"/>
              </w:rPr>
              <w:t xml:space="preserve"> T</w:t>
            </w:r>
            <w:r w:rsidR="00A72409">
              <w:rPr>
                <w:rFonts w:ascii="Arial Nova" w:eastAsia="Times New Roman" w:hAnsi="Arial Nova"/>
              </w:rPr>
              <w:t>he model iterates rule 2 until all connections synthetic unit costs pass it.</w:t>
            </w:r>
          </w:p>
          <w:p w14:paraId="010F1D4D" w14:textId="7D7E2BB9" w:rsidR="00A72409" w:rsidRDefault="00A72409" w:rsidP="00A72409">
            <w:pPr>
              <w:rPr>
                <w:rFonts w:ascii="Arial Nova" w:eastAsia="Times New Roman" w:hAnsi="Arial Nova"/>
              </w:rPr>
            </w:pPr>
            <w:r>
              <w:rPr>
                <w:rFonts w:ascii="Arial Nova" w:eastAsia="Times New Roman" w:hAnsi="Arial Nova"/>
              </w:rPr>
              <w:t xml:space="preserve">3. </w:t>
            </w:r>
            <w:r w:rsidRPr="00A72409">
              <w:rPr>
                <w:rFonts w:ascii="Arial Nova" w:eastAsia="Times New Roman" w:hAnsi="Arial Nova"/>
              </w:rPr>
              <w:t xml:space="preserve">The logic of the formulae in the </w:t>
            </w:r>
            <w:r>
              <w:rPr>
                <w:rFonts w:ascii="Arial Nova" w:eastAsia="Times New Roman" w:hAnsi="Arial Nova"/>
              </w:rPr>
              <w:t>synthetic unit costs</w:t>
            </w:r>
            <w:r w:rsidRPr="00A72409">
              <w:rPr>
                <w:rFonts w:ascii="Arial Nova" w:eastAsia="Times New Roman" w:hAnsi="Arial Nova"/>
              </w:rPr>
              <w:t xml:space="preserve"> selection sheet </w:t>
            </w:r>
            <w:r w:rsidR="00EE0A45">
              <w:rPr>
                <w:rFonts w:ascii="Arial Nova" w:eastAsia="Times New Roman" w:hAnsi="Arial Nova"/>
              </w:rPr>
              <w:t>is</w:t>
            </w:r>
            <w:r w:rsidRPr="00A72409">
              <w:rPr>
                <w:rFonts w:ascii="Arial Nova" w:eastAsia="Times New Roman" w:hAnsi="Arial Nova"/>
              </w:rPr>
              <w:t xml:space="preserve">: </w:t>
            </w:r>
          </w:p>
          <w:p w14:paraId="2C1EACFA" w14:textId="6F311CF0" w:rsidR="00A72409" w:rsidRDefault="00A72409" w:rsidP="00A72409">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the </w:t>
            </w:r>
            <w:r>
              <w:rPr>
                <w:rFonts w:ascii="Arial Nova" w:eastAsia="Times New Roman" w:hAnsi="Arial Nova"/>
              </w:rPr>
              <w:t>synthetic unit cost</w:t>
            </w:r>
            <w:r w:rsidRPr="00A72409">
              <w:rPr>
                <w:rFonts w:ascii="Arial Nova" w:eastAsia="Times New Roman" w:hAnsi="Arial Nova"/>
              </w:rPr>
              <w:t xml:space="preserve"> calculated after applying </w:t>
            </w:r>
            <w:r>
              <w:rPr>
                <w:rFonts w:ascii="Arial Nova" w:eastAsia="Times New Roman" w:hAnsi="Arial Nova"/>
              </w:rPr>
              <w:t>r</w:t>
            </w:r>
            <w:r w:rsidRPr="00A72409">
              <w:rPr>
                <w:rFonts w:ascii="Arial Nova" w:eastAsia="Times New Roman" w:hAnsi="Arial Nova"/>
              </w:rPr>
              <w:t xml:space="preserve">ule 2 passes </w:t>
            </w:r>
            <w:r>
              <w:rPr>
                <w:rFonts w:ascii="Arial Nova" w:eastAsia="Times New Roman" w:hAnsi="Arial Nova"/>
              </w:rPr>
              <w:t>r</w:t>
            </w:r>
            <w:r w:rsidRPr="00A72409">
              <w:rPr>
                <w:rFonts w:ascii="Arial Nova" w:eastAsia="Times New Roman" w:hAnsi="Arial Nova"/>
              </w:rPr>
              <w:t xml:space="preserve">ules 1-4, use that as the </w:t>
            </w:r>
            <w:r>
              <w:rPr>
                <w:rFonts w:ascii="Arial Nova" w:eastAsia="Times New Roman" w:hAnsi="Arial Nova"/>
              </w:rPr>
              <w:t>synthetic unit cost</w:t>
            </w:r>
            <w:r w:rsidRPr="00A72409">
              <w:rPr>
                <w:rFonts w:ascii="Arial Nova" w:eastAsia="Times New Roman" w:hAnsi="Arial Nova"/>
              </w:rPr>
              <w:t xml:space="preserve">; </w:t>
            </w:r>
          </w:p>
          <w:p w14:paraId="4B8653FE" w14:textId="77777777" w:rsidR="00A72409" w:rsidRDefault="00A72409" w:rsidP="00A72409">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it doesn’t, but the </w:t>
            </w:r>
            <w:r>
              <w:rPr>
                <w:rFonts w:ascii="Arial Nova" w:eastAsia="Times New Roman" w:hAnsi="Arial Nova"/>
              </w:rPr>
              <w:t>synthetic unit cost</w:t>
            </w:r>
            <w:r w:rsidRPr="00A72409">
              <w:rPr>
                <w:rFonts w:ascii="Arial Nova" w:eastAsia="Times New Roman" w:hAnsi="Arial Nova"/>
              </w:rPr>
              <w:t xml:space="preserve"> calculated after applying Rule 3 does, then use that as the </w:t>
            </w:r>
            <w:r>
              <w:rPr>
                <w:rFonts w:ascii="Arial Nova" w:eastAsia="Times New Roman" w:hAnsi="Arial Nova"/>
              </w:rPr>
              <w:t>synthetic unit cost</w:t>
            </w:r>
            <w:r w:rsidRPr="00A72409">
              <w:rPr>
                <w:rFonts w:ascii="Arial Nova" w:eastAsia="Times New Roman" w:hAnsi="Arial Nova"/>
              </w:rPr>
              <w:t xml:space="preserve">; </w:t>
            </w:r>
          </w:p>
          <w:p w14:paraId="49ED6497" w14:textId="19043117" w:rsidR="00E73145" w:rsidRPr="00A72409" w:rsidRDefault="00A72409">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even that doesn’t pass some of the rules, then the model </w:t>
            </w:r>
            <w:r>
              <w:rPr>
                <w:rFonts w:ascii="Arial Nova" w:eastAsia="Times New Roman" w:hAnsi="Arial Nova"/>
              </w:rPr>
              <w:t xml:space="preserve">requires </w:t>
            </w:r>
            <w:r w:rsidRPr="00A72409">
              <w:rPr>
                <w:rFonts w:ascii="Arial Nova" w:eastAsia="Times New Roman" w:hAnsi="Arial Nova"/>
              </w:rPr>
              <w:t xml:space="preserve">to input the </w:t>
            </w:r>
            <w:r>
              <w:rPr>
                <w:rFonts w:ascii="Arial Nova" w:eastAsia="Times New Roman" w:hAnsi="Arial Nova"/>
              </w:rPr>
              <w:t xml:space="preserve">synthetic unit cost </w:t>
            </w:r>
            <w:r w:rsidRPr="00A72409">
              <w:rPr>
                <w:rFonts w:ascii="Arial Nova" w:eastAsia="Times New Roman" w:hAnsi="Arial Nova"/>
              </w:rPr>
              <w:t>manually.</w:t>
            </w:r>
            <w:r w:rsidR="00A25834">
              <w:rPr>
                <w:rFonts w:ascii="Arial Nova" w:eastAsia="Times New Roman" w:hAnsi="Arial Nova"/>
              </w:rPr>
              <w:t xml:space="preserve"> For the manual update, we either used scaling factors based on RIIO-GD1 synthetic unit costs or, where no obvious scaling factor could be identified, based on a set of synthetic unit costs that passed the rules.</w:t>
            </w:r>
          </w:p>
          <w:p w14:paraId="7E80A00E" w14:textId="7075DB3C" w:rsidR="00E73145" w:rsidRPr="00EA1559" w:rsidRDefault="00E73145">
            <w:pPr>
              <w:rPr>
                <w:rFonts w:ascii="Arial" w:hAnsi="Arial" w:cs="Arial"/>
                <w:szCs w:val="20"/>
              </w:rPr>
            </w:pPr>
            <w:r>
              <w:rPr>
                <w:rFonts w:ascii="Arial" w:hAnsi="Arial" w:cs="Arial"/>
                <w:szCs w:val="20"/>
              </w:rPr>
              <w:t xml:space="preserve">4. </w:t>
            </w:r>
            <w:r w:rsidR="00EE0A45">
              <w:rPr>
                <w:rFonts w:ascii="Arial" w:hAnsi="Arial" w:cs="Arial"/>
                <w:szCs w:val="20"/>
              </w:rPr>
              <w:t>Although only applied to FPNES mains and services, we derived FPNES synthetic unit costs based on the aggregation of new/existing housing and FPNES activities in order to get unit costs</w:t>
            </w:r>
            <w:r w:rsidR="0011513C">
              <w:rPr>
                <w:rFonts w:ascii="Arial" w:hAnsi="Arial" w:cs="Arial"/>
                <w:szCs w:val="20"/>
              </w:rPr>
              <w:t xml:space="preserve"> more robust from an engineering perspective</w:t>
            </w:r>
            <w:r w:rsidR="00EE0A45">
              <w:rPr>
                <w:rFonts w:ascii="Arial" w:hAnsi="Arial" w:cs="Arial"/>
                <w:szCs w:val="20"/>
              </w:rPr>
              <w:t xml:space="preserve">. </w:t>
            </w:r>
            <w:r w:rsidR="0062615C">
              <w:rPr>
                <w:rFonts w:ascii="Arial" w:hAnsi="Arial" w:cs="Arial"/>
                <w:szCs w:val="20"/>
              </w:rPr>
              <w:t>Overall, our approach to setting synthetic unit costs was based on a combination of both quantitative and qualitative selection criteria.</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27A66" w14:textId="77777777" w:rsidR="002E5B53" w:rsidRDefault="002E5B53" w:rsidP="00526623">
      <w:pPr>
        <w:spacing w:after="0" w:line="240" w:lineRule="auto"/>
      </w:pPr>
      <w:r>
        <w:separator/>
      </w:r>
    </w:p>
  </w:endnote>
  <w:endnote w:type="continuationSeparator" w:id="0">
    <w:p w14:paraId="1CBBD609" w14:textId="77777777" w:rsidR="002E5B53" w:rsidRDefault="002E5B5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ova">
    <w:altName w:val="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D3FB5" w14:textId="77777777" w:rsidR="002E5B53" w:rsidRDefault="002E5B53" w:rsidP="00526623">
      <w:pPr>
        <w:spacing w:after="0" w:line="240" w:lineRule="auto"/>
      </w:pPr>
      <w:r>
        <w:separator/>
      </w:r>
    </w:p>
  </w:footnote>
  <w:footnote w:type="continuationSeparator" w:id="0">
    <w:p w14:paraId="43DBD096" w14:textId="77777777" w:rsidR="002E5B53" w:rsidRDefault="002E5B5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5676A"/>
    <w:multiLevelType w:val="hybridMultilevel"/>
    <w:tmpl w:val="4BF8C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B1EA9"/>
    <w:multiLevelType w:val="hybridMultilevel"/>
    <w:tmpl w:val="E1308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DC0A78"/>
    <w:multiLevelType w:val="hybridMultilevel"/>
    <w:tmpl w:val="A1327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7B74834"/>
    <w:multiLevelType w:val="hybridMultilevel"/>
    <w:tmpl w:val="81004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6"/>
  </w:num>
  <w:num w:numId="5">
    <w:abstractNumId w:val="5"/>
  </w:num>
  <w:num w:numId="6">
    <w:abstractNumId w:val="1"/>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1733E"/>
    <w:rsid w:val="00027895"/>
    <w:rsid w:val="00041711"/>
    <w:rsid w:val="000436C2"/>
    <w:rsid w:val="000473D3"/>
    <w:rsid w:val="00050C54"/>
    <w:rsid w:val="000B0536"/>
    <w:rsid w:val="000E5B6D"/>
    <w:rsid w:val="0010126C"/>
    <w:rsid w:val="00107296"/>
    <w:rsid w:val="0011513C"/>
    <w:rsid w:val="00133BD9"/>
    <w:rsid w:val="00133CFC"/>
    <w:rsid w:val="00133EF1"/>
    <w:rsid w:val="00153C87"/>
    <w:rsid w:val="00172809"/>
    <w:rsid w:val="001D0151"/>
    <w:rsid w:val="00206D5F"/>
    <w:rsid w:val="002707B1"/>
    <w:rsid w:val="00281066"/>
    <w:rsid w:val="00291D51"/>
    <w:rsid w:val="00293724"/>
    <w:rsid w:val="002A4AD8"/>
    <w:rsid w:val="002B4955"/>
    <w:rsid w:val="002E3EFB"/>
    <w:rsid w:val="002E5B53"/>
    <w:rsid w:val="00300FB4"/>
    <w:rsid w:val="003043A4"/>
    <w:rsid w:val="00342E6F"/>
    <w:rsid w:val="003452B0"/>
    <w:rsid w:val="00360385"/>
    <w:rsid w:val="00385085"/>
    <w:rsid w:val="003B3576"/>
    <w:rsid w:val="003F465C"/>
    <w:rsid w:val="00400822"/>
    <w:rsid w:val="00441EF8"/>
    <w:rsid w:val="0047108D"/>
    <w:rsid w:val="004C4D2B"/>
    <w:rsid w:val="004D0311"/>
    <w:rsid w:val="004D1F2F"/>
    <w:rsid w:val="00503895"/>
    <w:rsid w:val="00513FDF"/>
    <w:rsid w:val="00526623"/>
    <w:rsid w:val="00526A8E"/>
    <w:rsid w:val="0053468C"/>
    <w:rsid w:val="00534E92"/>
    <w:rsid w:val="00536220"/>
    <w:rsid w:val="00570273"/>
    <w:rsid w:val="00584F30"/>
    <w:rsid w:val="00586A8E"/>
    <w:rsid w:val="005927B6"/>
    <w:rsid w:val="005A506C"/>
    <w:rsid w:val="005A74DE"/>
    <w:rsid w:val="005E2894"/>
    <w:rsid w:val="0060723D"/>
    <w:rsid w:val="006224F4"/>
    <w:rsid w:val="0062615C"/>
    <w:rsid w:val="006279ED"/>
    <w:rsid w:val="006847DA"/>
    <w:rsid w:val="006B26DE"/>
    <w:rsid w:val="006D4C7C"/>
    <w:rsid w:val="006E4411"/>
    <w:rsid w:val="00716508"/>
    <w:rsid w:val="00721734"/>
    <w:rsid w:val="007400B7"/>
    <w:rsid w:val="00753976"/>
    <w:rsid w:val="007572D8"/>
    <w:rsid w:val="007649AC"/>
    <w:rsid w:val="00772D1E"/>
    <w:rsid w:val="007974DA"/>
    <w:rsid w:val="007B151B"/>
    <w:rsid w:val="007B29A9"/>
    <w:rsid w:val="007C2E37"/>
    <w:rsid w:val="007D7648"/>
    <w:rsid w:val="007E30C4"/>
    <w:rsid w:val="008068AC"/>
    <w:rsid w:val="008170C7"/>
    <w:rsid w:val="00845396"/>
    <w:rsid w:val="0085400C"/>
    <w:rsid w:val="008A5062"/>
    <w:rsid w:val="008B3636"/>
    <w:rsid w:val="008B7043"/>
    <w:rsid w:val="008C5A35"/>
    <w:rsid w:val="00924DEC"/>
    <w:rsid w:val="00935000"/>
    <w:rsid w:val="009374B7"/>
    <w:rsid w:val="00937BF5"/>
    <w:rsid w:val="00942721"/>
    <w:rsid w:val="00945C7C"/>
    <w:rsid w:val="00946125"/>
    <w:rsid w:val="009762C9"/>
    <w:rsid w:val="009845A8"/>
    <w:rsid w:val="009B26A0"/>
    <w:rsid w:val="009B7577"/>
    <w:rsid w:val="009D4F56"/>
    <w:rsid w:val="00A054D1"/>
    <w:rsid w:val="00A0584E"/>
    <w:rsid w:val="00A06191"/>
    <w:rsid w:val="00A25834"/>
    <w:rsid w:val="00A56CF3"/>
    <w:rsid w:val="00A72409"/>
    <w:rsid w:val="00A77899"/>
    <w:rsid w:val="00A922CF"/>
    <w:rsid w:val="00AC2EA2"/>
    <w:rsid w:val="00AC6418"/>
    <w:rsid w:val="00AE2C71"/>
    <w:rsid w:val="00AF2854"/>
    <w:rsid w:val="00B153D7"/>
    <w:rsid w:val="00B31196"/>
    <w:rsid w:val="00B33B74"/>
    <w:rsid w:val="00B33BDA"/>
    <w:rsid w:val="00B35E40"/>
    <w:rsid w:val="00B378CC"/>
    <w:rsid w:val="00B41AEB"/>
    <w:rsid w:val="00B43CE0"/>
    <w:rsid w:val="00B82400"/>
    <w:rsid w:val="00B86DDF"/>
    <w:rsid w:val="00B97205"/>
    <w:rsid w:val="00BA4154"/>
    <w:rsid w:val="00BA5A79"/>
    <w:rsid w:val="00BB4793"/>
    <w:rsid w:val="00BB56A8"/>
    <w:rsid w:val="00BB682C"/>
    <w:rsid w:val="00BD48A8"/>
    <w:rsid w:val="00BE3460"/>
    <w:rsid w:val="00BF1E33"/>
    <w:rsid w:val="00C10D99"/>
    <w:rsid w:val="00C57345"/>
    <w:rsid w:val="00C814D0"/>
    <w:rsid w:val="00C81B4C"/>
    <w:rsid w:val="00CA4297"/>
    <w:rsid w:val="00CC7214"/>
    <w:rsid w:val="00CF22EF"/>
    <w:rsid w:val="00D1736D"/>
    <w:rsid w:val="00D37604"/>
    <w:rsid w:val="00D50036"/>
    <w:rsid w:val="00D53135"/>
    <w:rsid w:val="00D81399"/>
    <w:rsid w:val="00D815E6"/>
    <w:rsid w:val="00DA4D94"/>
    <w:rsid w:val="00DA67E5"/>
    <w:rsid w:val="00E040EA"/>
    <w:rsid w:val="00E11C0E"/>
    <w:rsid w:val="00E346B6"/>
    <w:rsid w:val="00E47D84"/>
    <w:rsid w:val="00E525E0"/>
    <w:rsid w:val="00E55A7F"/>
    <w:rsid w:val="00E566F5"/>
    <w:rsid w:val="00E56D1E"/>
    <w:rsid w:val="00E73145"/>
    <w:rsid w:val="00EA1559"/>
    <w:rsid w:val="00EB123E"/>
    <w:rsid w:val="00EB179A"/>
    <w:rsid w:val="00EB2613"/>
    <w:rsid w:val="00EE0A45"/>
    <w:rsid w:val="00EE1C79"/>
    <w:rsid w:val="00EE2493"/>
    <w:rsid w:val="00F129C1"/>
    <w:rsid w:val="00F20F23"/>
    <w:rsid w:val="00F23B18"/>
    <w:rsid w:val="00F31270"/>
    <w:rsid w:val="00F66DE7"/>
    <w:rsid w:val="00F678C1"/>
    <w:rsid w:val="00F723D3"/>
    <w:rsid w:val="00F76BD9"/>
    <w:rsid w:val="00F82AB4"/>
    <w:rsid w:val="00FB0EC9"/>
    <w:rsid w:val="00FB4B55"/>
    <w:rsid w:val="00FD39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table" w:styleId="TableGrid">
    <w:name w:val="Table Grid"/>
    <w:basedOn w:val="TableNormal"/>
    <w:uiPriority w:val="59"/>
    <w:rsid w:val="00F76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02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2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063943477">
      <w:bodyDiv w:val="1"/>
      <w:marLeft w:val="0"/>
      <w:marRight w:val="0"/>
      <w:marTop w:val="0"/>
      <w:marBottom w:val="0"/>
      <w:divBdr>
        <w:top w:val="none" w:sz="0" w:space="0" w:color="auto"/>
        <w:left w:val="none" w:sz="0" w:space="0" w:color="auto"/>
        <w:bottom w:val="none" w:sz="0" w:space="0" w:color="auto"/>
        <w:right w:val="none" w:sz="0" w:space="0" w:color="auto"/>
      </w:divBdr>
    </w:div>
    <w:div w:id="110280455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342515055">
      <w:bodyDiv w:val="1"/>
      <w:marLeft w:val="0"/>
      <w:marRight w:val="0"/>
      <w:marTop w:val="0"/>
      <w:marBottom w:val="0"/>
      <w:divBdr>
        <w:top w:val="none" w:sz="0" w:space="0" w:color="auto"/>
        <w:left w:val="none" w:sz="0" w:space="0" w:color="auto"/>
        <w:bottom w:val="none" w:sz="0" w:space="0" w:color="auto"/>
        <w:right w:val="none" w:sz="0" w:space="0" w:color="auto"/>
      </w:divBdr>
    </w:div>
    <w:div w:id="135318736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11701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2020-07-28T23:00:00+00:00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http://www.w3.org/XML/1998/namespace"/>
    <ds:schemaRef ds:uri="http://purl.org/dc/terms/"/>
    <ds:schemaRef ds:uri="http://schemas.microsoft.com/office/2006/documentManagement/types"/>
    <ds:schemaRef ds:uri="http://purl.org/dc/dcmitype/"/>
    <ds:schemaRef ds:uri="http://purl.org/dc/elements/1.1/"/>
    <ds:schemaRef ds:uri="http://schemas.microsoft.com/sharepoint/v3/fields"/>
    <ds:schemaRef ds:uri="http://schemas.microsoft.com/office/infopath/2007/PartnerControls"/>
    <ds:schemaRef ds:uri="http://schemas.openxmlformats.org/package/2006/metadata/core-properties"/>
    <ds:schemaRef ds:uri="631298fc-6a88-4548-b7d9-3b164918c4a3"/>
  </ds:schemaRefs>
</ds:datastoreItem>
</file>

<file path=customXml/itemProps3.xml><?xml version="1.0" encoding="utf-8"?>
<ds:datastoreItem xmlns:ds="http://schemas.openxmlformats.org/officeDocument/2006/customXml" ds:itemID="{4C19B147-47B5-43F5-ACD3-F75E0BAF3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9B9F9-0042-4C24-9885-4BE251329721}">
  <ds:schemaRefs>
    <ds:schemaRef ds:uri="Microsoft.SharePoint.Taxonomy.ContentTypeSync"/>
  </ds:schemaRefs>
</ds:datastoreItem>
</file>

<file path=customXml/itemProps5.xml><?xml version="1.0" encoding="utf-8"?>
<ds:datastoreItem xmlns:ds="http://schemas.openxmlformats.org/officeDocument/2006/customXml" ds:itemID="{B57DE402-1A89-4EC6-A6A8-008AFF49D3B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12</cp:revision>
  <dcterms:created xsi:type="dcterms:W3CDTF">2021-01-08T14:14:00Z</dcterms:created>
  <dcterms:modified xsi:type="dcterms:W3CDTF">2021-01-13T16:47:00Z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5376a8cc-cda4-4cfa-a5ac-bd8da62ae5e6</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