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9648AB" w:rsidRPr="009C3515" w14:paraId="373E21CB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4DF5BBF3" w:rsidR="00133BD9" w:rsidRPr="009C3515" w:rsidRDefault="00C87C24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SGN </w:t>
            </w:r>
            <w:r w:rsidR="000511F1">
              <w:rPr>
                <w:rFonts w:asciiTheme="minorHAnsi" w:hAnsiTheme="minorHAnsi"/>
                <w:b/>
                <w:bCs/>
                <w:szCs w:val="24"/>
              </w:rPr>
              <w:t>Final Determination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</w:tr>
      <w:tr w:rsidR="009648AB" w:rsidRPr="009C3515" w14:paraId="373E21CD" w14:textId="77777777" w:rsidTr="00A45AE8">
        <w:trPr>
          <w:trHeight w:hRule="exact" w:val="397"/>
        </w:trPr>
        <w:tc>
          <w:tcPr>
            <w:tcW w:w="104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77FDE572" w:rsidR="00BB682C" w:rsidRPr="009C3515" w:rsidRDefault="000511F1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Query</w:t>
            </w:r>
          </w:p>
        </w:tc>
      </w:tr>
      <w:tr w:rsidR="009648AB" w:rsidRPr="009C3515" w14:paraId="373E21D0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  <w:hideMark/>
          </w:tcPr>
          <w:p w14:paraId="373E21CE" w14:textId="2AA7F661" w:rsidR="00133BD9" w:rsidRPr="009C3515" w:rsidRDefault="00A0584E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SQ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Reference</w:t>
            </w:r>
            <w:r w:rsidR="00A06191" w:rsidRPr="009C3515">
              <w:rPr>
                <w:rFonts w:asciiTheme="minorHAnsi" w:hAnsiTheme="minorHAnsi"/>
                <w:b/>
                <w:bCs/>
                <w:szCs w:val="24"/>
              </w:rPr>
              <w:t xml:space="preserve"> number</w:t>
            </w:r>
          </w:p>
        </w:tc>
        <w:tc>
          <w:tcPr>
            <w:tcW w:w="7655" w:type="dxa"/>
            <w:shd w:val="clear" w:color="auto" w:fill="auto"/>
          </w:tcPr>
          <w:p w14:paraId="373E21CF" w14:textId="65E894A2" w:rsidR="00133BD9" w:rsidRPr="009C3515" w:rsidRDefault="006673BA" w:rsidP="00D64880">
            <w:pPr>
              <w:rPr>
                <w:rFonts w:asciiTheme="minorHAnsi" w:hAnsiTheme="minorHAnsi"/>
                <w:szCs w:val="24"/>
              </w:rPr>
            </w:pPr>
            <w:r w:rsidRPr="009C3515">
              <w:rPr>
                <w:rFonts w:asciiTheme="minorHAnsi" w:hAnsiTheme="minorHAnsi"/>
                <w:szCs w:val="24"/>
              </w:rPr>
              <w:t>SGN_</w:t>
            </w:r>
            <w:r w:rsidR="009344A8" w:rsidRPr="009C3515">
              <w:rPr>
                <w:rFonts w:asciiTheme="minorHAnsi" w:hAnsiTheme="minorHAnsi"/>
                <w:szCs w:val="24"/>
              </w:rPr>
              <w:t>FD</w:t>
            </w:r>
            <w:r w:rsidRPr="009C3515">
              <w:rPr>
                <w:rFonts w:asciiTheme="minorHAnsi" w:hAnsiTheme="minorHAnsi"/>
                <w:szCs w:val="24"/>
              </w:rPr>
              <w:t>Q_</w:t>
            </w:r>
            <w:r w:rsidR="000511F1">
              <w:rPr>
                <w:rFonts w:asciiTheme="minorHAnsi" w:hAnsiTheme="minorHAnsi"/>
                <w:szCs w:val="24"/>
              </w:rPr>
              <w:t>0</w:t>
            </w:r>
            <w:r w:rsidR="00E668AE">
              <w:rPr>
                <w:rFonts w:asciiTheme="minorHAnsi" w:hAnsiTheme="minorHAnsi"/>
                <w:szCs w:val="24"/>
              </w:rPr>
              <w:t>1</w:t>
            </w:r>
            <w:r w:rsidR="00ED466E">
              <w:rPr>
                <w:rFonts w:asciiTheme="minorHAnsi" w:hAnsiTheme="minorHAnsi"/>
                <w:szCs w:val="24"/>
              </w:rPr>
              <w:t>2</w:t>
            </w:r>
          </w:p>
        </w:tc>
      </w:tr>
      <w:tr w:rsidR="009648AB" w:rsidRPr="009C3515" w14:paraId="373E21D3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1" w14:textId="4B4CA9B7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Document name</w:t>
            </w:r>
          </w:p>
        </w:tc>
        <w:tc>
          <w:tcPr>
            <w:tcW w:w="7655" w:type="dxa"/>
            <w:shd w:val="clear" w:color="auto" w:fill="auto"/>
          </w:tcPr>
          <w:p w14:paraId="373E21D2" w14:textId="3810ED2E" w:rsidR="00A06191" w:rsidRPr="009C3515" w:rsidRDefault="00E668AE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NARMS Annex</w:t>
            </w:r>
          </w:p>
        </w:tc>
      </w:tr>
      <w:tr w:rsidR="009648AB" w:rsidRPr="009C3515" w14:paraId="373E21D6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4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Topic/Activity:</w:t>
            </w:r>
          </w:p>
        </w:tc>
        <w:tc>
          <w:tcPr>
            <w:tcW w:w="7655" w:type="dxa"/>
            <w:shd w:val="clear" w:color="auto" w:fill="auto"/>
          </w:tcPr>
          <w:p w14:paraId="373E21D5" w14:textId="2C8F0699" w:rsidR="00A06191" w:rsidRPr="009C3515" w:rsidRDefault="00E668AE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NARMs </w:t>
            </w:r>
          </w:p>
        </w:tc>
      </w:tr>
      <w:tr w:rsidR="009648AB" w:rsidRPr="009C3515" w14:paraId="373E21D9" w14:textId="77777777" w:rsidTr="00D64880">
        <w:trPr>
          <w:trHeight w:val="1134"/>
        </w:trPr>
        <w:tc>
          <w:tcPr>
            <w:tcW w:w="2836" w:type="dxa"/>
            <w:shd w:val="clear" w:color="auto" w:fill="auto"/>
          </w:tcPr>
          <w:p w14:paraId="373E21D7" w14:textId="77777777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>Question:</w:t>
            </w:r>
          </w:p>
        </w:tc>
        <w:tc>
          <w:tcPr>
            <w:tcW w:w="7655" w:type="dxa"/>
            <w:shd w:val="clear" w:color="auto" w:fill="auto"/>
          </w:tcPr>
          <w:p w14:paraId="2083F2DA" w14:textId="6338E69F" w:rsidR="00ED466E" w:rsidRDefault="00C97D04" w:rsidP="00ED466E">
            <w:pPr>
              <w:spacing w:after="160" w:line="259" w:lineRule="auto"/>
            </w:pPr>
            <w:r>
              <w:t>The f</w:t>
            </w:r>
            <w:r w:rsidR="00ED466E">
              <w:t xml:space="preserve">ollowing errors have been identified in Ofgem’s NARMs model: </w:t>
            </w:r>
          </w:p>
          <w:p w14:paraId="20C3D617" w14:textId="15228040" w:rsidR="00ED466E" w:rsidRPr="00694691" w:rsidRDefault="00ED466E" w:rsidP="00ED466E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>Monetised risk for Riser in Ofgem’s model tab 4.5 does not reflect the numbers submitted by SGN. See table 1.</w:t>
            </w:r>
          </w:p>
          <w:p w14:paraId="13F8ECE7" w14:textId="4AB8C3EA" w:rsidR="00ED466E" w:rsidRDefault="00ED466E" w:rsidP="00ED466E">
            <w:pPr>
              <w:pStyle w:val="ListParagraph"/>
              <w:numPr>
                <w:ilvl w:val="1"/>
                <w:numId w:val="14"/>
              </w:numPr>
              <w:spacing w:after="160" w:line="259" w:lineRule="auto"/>
            </w:pPr>
            <w:r>
              <w:t>MR for MOBs incorrectly captured in Ofgem’s NARMs model (tab 4.5) from our submission post DD</w:t>
            </w:r>
          </w:p>
          <w:p w14:paraId="7B4E4C2B" w14:textId="1F0BC394" w:rsidR="00ED466E" w:rsidRDefault="00ED466E" w:rsidP="00ED466E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>For mains and services Ofgem have used incorrect workload volume to derive the Monetised risk output. See table 2 and 3</w:t>
            </w:r>
          </w:p>
          <w:p w14:paraId="05CD19D1" w14:textId="12AC37A9" w:rsidR="00ED466E" w:rsidRDefault="00ED466E" w:rsidP="00ED466E">
            <w:pPr>
              <w:pStyle w:val="ListParagraph"/>
              <w:numPr>
                <w:ilvl w:val="1"/>
                <w:numId w:val="14"/>
              </w:numPr>
              <w:spacing w:after="160" w:line="259" w:lineRule="auto"/>
            </w:pPr>
            <w:r>
              <w:t xml:space="preserve">Ofgem has used workload volume from September version of BPDT however, the monetised risk submitted was based on December (BP) workload. </w:t>
            </w:r>
          </w:p>
          <w:p w14:paraId="4F175D50" w14:textId="77777777" w:rsidR="00ED466E" w:rsidRDefault="00ED466E" w:rsidP="00ED466E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 xml:space="preserve">For PRS and Offtake the Monetised risk output is incorrectly calculated, Ofgem has multiplied the unit risk with ‘1’ rather than the number of systems in NARMs model. </w:t>
            </w:r>
          </w:p>
          <w:p w14:paraId="4E63AF30" w14:textId="77777777" w:rsidR="00ED466E" w:rsidRDefault="00ED466E" w:rsidP="00ED466E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 xml:space="preserve">Cost allowance associated with NARMs are captured incorrectly under the NARW workbook and NARMs annex. </w:t>
            </w:r>
          </w:p>
          <w:p w14:paraId="48582699" w14:textId="77777777" w:rsidR="00E668AE" w:rsidRDefault="00ED466E" w:rsidP="00D64880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 xml:space="preserve">Steel &lt;= 2” under Tier 1 tab is categorised as A3 and we believe this should be captured under A1. </w:t>
            </w:r>
          </w:p>
          <w:p w14:paraId="373E21D8" w14:textId="19F1825E" w:rsidR="005120F4" w:rsidRPr="00E668AE" w:rsidRDefault="005120F4" w:rsidP="005120F4">
            <w:pPr>
              <w:spacing w:after="160" w:line="259" w:lineRule="auto"/>
            </w:pPr>
            <w:r>
              <w:t>Can you please confirm you agree with our identification of errors, how they will be corrected, and if they are not being corrected, why not?</w:t>
            </w:r>
          </w:p>
        </w:tc>
      </w:tr>
      <w:tr w:rsidR="009648AB" w:rsidRPr="009C3515" w14:paraId="373E21DC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A" w14:textId="0BEE60E0" w:rsidR="00A06191" w:rsidRPr="009C3515" w:rsidRDefault="00B61E2C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Confidential</w:t>
            </w:r>
            <w:r w:rsidR="00A0584E" w:rsidRPr="009C3515"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</w:p>
        </w:tc>
        <w:tc>
          <w:tcPr>
            <w:tcW w:w="7655" w:type="dxa"/>
            <w:shd w:val="clear" w:color="auto" w:fill="auto"/>
          </w:tcPr>
          <w:p w14:paraId="373E21DB" w14:textId="5CB5262D" w:rsidR="00A06191" w:rsidRPr="009C3515" w:rsidRDefault="00E668AE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No</w:t>
            </w:r>
          </w:p>
        </w:tc>
      </w:tr>
      <w:tr w:rsidR="00D46682" w:rsidRPr="009C3515" w14:paraId="5FA7EDFA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67F30DBE" w14:textId="5D181879" w:rsidR="00D46682" w:rsidRDefault="00D46682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FDQ Raised by</w:t>
            </w:r>
          </w:p>
        </w:tc>
        <w:tc>
          <w:tcPr>
            <w:tcW w:w="7655" w:type="dxa"/>
            <w:shd w:val="clear" w:color="auto" w:fill="auto"/>
          </w:tcPr>
          <w:p w14:paraId="72631EF7" w14:textId="3AEE28BA" w:rsidR="00D46682" w:rsidRDefault="00D46682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SGN </w:t>
            </w:r>
            <w:r w:rsidR="00D64880">
              <w:rPr>
                <w:rFonts w:asciiTheme="minorHAnsi" w:hAnsiTheme="minorHAnsi"/>
                <w:szCs w:val="24"/>
              </w:rPr>
              <w:t>–</w:t>
            </w:r>
            <w:r>
              <w:rPr>
                <w:rFonts w:asciiTheme="minorHAnsi" w:hAnsiTheme="minorHAnsi"/>
                <w:szCs w:val="24"/>
              </w:rPr>
              <w:t xml:space="preserve"> </w:t>
            </w:r>
            <w:r w:rsidR="00D64880">
              <w:rPr>
                <w:rFonts w:asciiTheme="minorHAnsi" w:hAnsiTheme="minorHAnsi"/>
                <w:szCs w:val="24"/>
              </w:rPr>
              <w:t>[</w:t>
            </w:r>
            <w:r w:rsidR="00E668AE">
              <w:rPr>
                <w:rFonts w:asciiTheme="minorHAnsi" w:hAnsiTheme="minorHAnsi"/>
                <w:szCs w:val="24"/>
              </w:rPr>
              <w:t>Naveen Panwar</w:t>
            </w:r>
            <w:r w:rsidR="00D64880">
              <w:rPr>
                <w:rFonts w:asciiTheme="minorHAnsi" w:hAnsiTheme="minorHAnsi"/>
                <w:szCs w:val="24"/>
              </w:rPr>
              <w:t>]</w:t>
            </w:r>
          </w:p>
        </w:tc>
      </w:tr>
      <w:tr w:rsidR="009648AB" w:rsidRPr="009C3515" w14:paraId="373E21DF" w14:textId="77777777" w:rsidTr="00D64880">
        <w:trPr>
          <w:trHeight w:hRule="exact" w:val="397"/>
        </w:trPr>
        <w:tc>
          <w:tcPr>
            <w:tcW w:w="2836" w:type="dxa"/>
            <w:shd w:val="clear" w:color="auto" w:fill="auto"/>
          </w:tcPr>
          <w:p w14:paraId="373E21DD" w14:textId="7073A150" w:rsidR="00A06191" w:rsidRPr="009C3515" w:rsidRDefault="00A06191" w:rsidP="00D64880">
            <w:pPr>
              <w:rPr>
                <w:rFonts w:asciiTheme="minorHAnsi" w:hAnsiTheme="minorHAnsi"/>
                <w:b/>
                <w:bCs/>
                <w:szCs w:val="24"/>
              </w:rPr>
            </w:pPr>
            <w:r w:rsidRPr="009C3515">
              <w:rPr>
                <w:rFonts w:asciiTheme="minorHAnsi" w:hAnsiTheme="minorHAnsi"/>
                <w:b/>
                <w:bCs/>
                <w:szCs w:val="24"/>
              </w:rPr>
              <w:t xml:space="preserve">Date </w:t>
            </w:r>
            <w:r w:rsidR="00D64880">
              <w:rPr>
                <w:rFonts w:asciiTheme="minorHAnsi" w:hAnsiTheme="minorHAnsi"/>
                <w:b/>
                <w:bCs/>
                <w:szCs w:val="24"/>
              </w:rPr>
              <w:t>sent</w:t>
            </w:r>
          </w:p>
        </w:tc>
        <w:tc>
          <w:tcPr>
            <w:tcW w:w="7655" w:type="dxa"/>
            <w:shd w:val="clear" w:color="auto" w:fill="auto"/>
          </w:tcPr>
          <w:p w14:paraId="373E21DE" w14:textId="05290B7A" w:rsidR="00A06191" w:rsidRPr="009C3515" w:rsidRDefault="00ED466E" w:rsidP="00D6488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15</w:t>
            </w:r>
            <w:r w:rsidR="006673BA" w:rsidRPr="009C3515">
              <w:rPr>
                <w:rFonts w:asciiTheme="minorHAnsi" w:hAnsiTheme="minorHAnsi"/>
                <w:szCs w:val="24"/>
              </w:rPr>
              <w:t>/</w:t>
            </w:r>
            <w:r>
              <w:rPr>
                <w:rFonts w:asciiTheme="minorHAnsi" w:hAnsiTheme="minorHAnsi"/>
                <w:szCs w:val="24"/>
              </w:rPr>
              <w:t>12</w:t>
            </w:r>
            <w:r w:rsidR="006673BA" w:rsidRPr="009C3515">
              <w:rPr>
                <w:rFonts w:asciiTheme="minorHAnsi" w:hAnsiTheme="minorHAnsi"/>
                <w:szCs w:val="24"/>
              </w:rPr>
              <w:t>/202</w:t>
            </w: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9648AB" w:rsidRPr="009C3515" w14:paraId="373E21F0" w14:textId="77777777" w:rsidTr="4553DA0D">
        <w:trPr>
          <w:trHeight w:val="2967"/>
        </w:trPr>
        <w:tc>
          <w:tcPr>
            <w:tcW w:w="10491" w:type="dxa"/>
            <w:gridSpan w:val="2"/>
            <w:shd w:val="clear" w:color="auto" w:fill="auto"/>
            <w:hideMark/>
          </w:tcPr>
          <w:p w14:paraId="2EFA96A5" w14:textId="77777777" w:rsidR="006B189E" w:rsidRDefault="00D64880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Ofgem </w:t>
            </w:r>
            <w:r w:rsidR="00133BD9" w:rsidRPr="009C3515">
              <w:rPr>
                <w:rFonts w:asciiTheme="minorHAnsi" w:hAnsiTheme="minorHAnsi"/>
                <w:b/>
                <w:bCs/>
                <w:szCs w:val="24"/>
              </w:rPr>
              <w:t>Response:</w:t>
            </w:r>
          </w:p>
          <w:p w14:paraId="58C4FB77" w14:textId="67FFDB99" w:rsidR="00ED466E" w:rsidRDefault="00BD3A02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discussed in meeting of 16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December, this issue should be resolved through the process for GDN recalculation of NARM outputs and allowances.  </w:t>
            </w:r>
          </w:p>
          <w:p w14:paraId="6A99CE04" w14:textId="77777777" w:rsidR="00ED466E" w:rsidRDefault="00ED466E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</w:p>
          <w:p w14:paraId="632CEE27" w14:textId="77777777" w:rsidR="00ED466E" w:rsidRDefault="00ED466E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</w:p>
          <w:p w14:paraId="56D2BD46" w14:textId="77777777" w:rsidR="00ED466E" w:rsidRDefault="00ED466E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</w:p>
          <w:p w14:paraId="2C7E341F" w14:textId="77777777" w:rsidR="00ED466E" w:rsidRDefault="00ED466E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</w:p>
          <w:p w14:paraId="373E21EF" w14:textId="6DB3F9AC" w:rsidR="00ED466E" w:rsidRPr="00ED466E" w:rsidRDefault="00ED466E" w:rsidP="008E4E42">
            <w:pPr>
              <w:rPr>
                <w:rFonts w:asciiTheme="minorHAnsi" w:hAnsiTheme="minorHAnsi"/>
                <w:b/>
                <w:bCs/>
                <w:szCs w:val="24"/>
              </w:rPr>
            </w:pPr>
          </w:p>
        </w:tc>
      </w:tr>
      <w:tr w:rsidR="009648AB" w:rsidRPr="009C3515" w14:paraId="373E21F2" w14:textId="77777777" w:rsidTr="4553DA0D">
        <w:trPr>
          <w:trHeight w:val="2226"/>
        </w:trPr>
        <w:tc>
          <w:tcPr>
            <w:tcW w:w="10491" w:type="dxa"/>
            <w:gridSpan w:val="2"/>
            <w:shd w:val="clear" w:color="auto" w:fill="auto"/>
            <w:noWrap/>
            <w:hideMark/>
          </w:tcPr>
          <w:p w14:paraId="746FA475" w14:textId="54C71557" w:rsidR="00ED466E" w:rsidRDefault="00AC6418" w:rsidP="008E4E42">
            <w:pPr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</w:pPr>
            <w:r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lastRenderedPageBreak/>
              <w:t>A</w:t>
            </w:r>
            <w:r w:rsidR="00133BD9" w:rsidRPr="009C3515">
              <w:rPr>
                <w:rFonts w:asciiTheme="minorHAnsi" w:hAnsiTheme="minorHAnsi"/>
                <w:b/>
                <w:bCs/>
                <w:noProof/>
                <w:szCs w:val="24"/>
                <w:lang w:eastAsia="en-GB"/>
              </w:rPr>
              <w:t xml:space="preserve">ttachments: </w:t>
            </w:r>
          </w:p>
          <w:p w14:paraId="514A5477" w14:textId="3EDE4AAD" w:rsidR="00ED466E" w:rsidRDefault="00ED466E" w:rsidP="00ED466E">
            <w:pPr>
              <w:pStyle w:val="Caption"/>
              <w:keepNext/>
              <w:jc w:val="center"/>
            </w:pPr>
            <w:r>
              <w:t xml:space="preserve">Table </w:t>
            </w:r>
            <w:fldSimple w:instr=" SEQ Table \* ARABIC ">
              <w:r>
                <w:rPr>
                  <w:noProof/>
                </w:rPr>
                <w:t>1</w:t>
              </w:r>
            </w:fldSimple>
            <w:r>
              <w:t>: Riser Error</w:t>
            </w:r>
          </w:p>
          <w:tbl>
            <w:tblPr>
              <w:tblStyle w:val="ListTable3-Accent6"/>
              <w:tblW w:w="7345" w:type="dxa"/>
              <w:jc w:val="center"/>
              <w:tblLook w:val="04A0" w:firstRow="1" w:lastRow="0" w:firstColumn="1" w:lastColumn="0" w:noHBand="0" w:noVBand="1"/>
            </w:tblPr>
            <w:tblGrid>
              <w:gridCol w:w="2208"/>
              <w:gridCol w:w="1504"/>
              <w:gridCol w:w="1945"/>
              <w:gridCol w:w="1688"/>
            </w:tblGrid>
            <w:tr w:rsidR="00ED466E" w:rsidRPr="00B21707" w14:paraId="7EDFAC76" w14:textId="77777777" w:rsidTr="00ED466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15"/>
                <w:jc w:val="center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2208" w:type="dxa"/>
                  <w:hideMark/>
                </w:tcPr>
                <w:p w14:paraId="6230C399" w14:textId="2C5167A5" w:rsidR="00ED466E" w:rsidRPr="00B21707" w:rsidRDefault="00ED466E" w:rsidP="00ED466E">
                  <w:pPr>
                    <w:jc w:val="center"/>
                    <w:rPr>
                      <w:rFonts w:eastAsia="Times New Roman" w:cs="Calibri"/>
                      <w:b w:val="0"/>
                      <w:bCs w:val="0"/>
                      <w:color w:val="FFFFFF"/>
                      <w:lang w:eastAsia="en-GB"/>
                    </w:rPr>
                  </w:pPr>
                  <w:r w:rsidRPr="00B21707">
                    <w:rPr>
                      <w:rFonts w:eastAsia="Times New Roman" w:cs="Calibri"/>
                      <w:color w:val="FFFFFF"/>
                      <w:lang w:eastAsia="en-GB"/>
                    </w:rPr>
                    <w:t>NARM Intervention</w:t>
                  </w:r>
                </w:p>
              </w:tc>
              <w:tc>
                <w:tcPr>
                  <w:tcW w:w="1504" w:type="dxa"/>
                  <w:hideMark/>
                </w:tcPr>
                <w:p w14:paraId="03CCAD7C" w14:textId="77777777" w:rsidR="00ED466E" w:rsidRPr="00B21707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b w:val="0"/>
                      <w:bCs w:val="0"/>
                      <w:color w:val="FFFFFF"/>
                      <w:lang w:eastAsia="en-GB"/>
                    </w:rPr>
                  </w:pPr>
                  <w:r w:rsidRPr="00B21707">
                    <w:rPr>
                      <w:rFonts w:eastAsia="Times New Roman" w:cs="Calibri"/>
                      <w:color w:val="FFFFFF"/>
                      <w:lang w:eastAsia="en-GB"/>
                    </w:rPr>
                    <w:t xml:space="preserve">Intervention Volumes </w:t>
                  </w:r>
                </w:p>
              </w:tc>
              <w:tc>
                <w:tcPr>
                  <w:tcW w:w="1945" w:type="dxa"/>
                  <w:hideMark/>
                </w:tcPr>
                <w:p w14:paraId="5E282CE9" w14:textId="77777777" w:rsidR="00ED466E" w:rsidRPr="00B21707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b w:val="0"/>
                      <w:bCs w:val="0"/>
                      <w:color w:val="FFFFFF"/>
                      <w:lang w:eastAsia="en-GB"/>
                    </w:rPr>
                  </w:pPr>
                  <w:r w:rsidRPr="00B21707">
                    <w:rPr>
                      <w:rFonts w:eastAsia="Times New Roman" w:cs="Calibri"/>
                      <w:color w:val="FFFFFF"/>
                      <w:lang w:eastAsia="en-GB"/>
                    </w:rPr>
                    <w:t xml:space="preserve">Monetised Risk Delta (R£m) </w:t>
                  </w:r>
                  <w:r>
                    <w:rPr>
                      <w:rFonts w:eastAsia="Times New Roman" w:cs="Calibri"/>
                      <w:color w:val="FFFFFF"/>
                      <w:lang w:eastAsia="en-GB"/>
                    </w:rPr>
                    <w:t>– SGN submission</w:t>
                  </w:r>
                </w:p>
              </w:tc>
              <w:tc>
                <w:tcPr>
                  <w:tcW w:w="1688" w:type="dxa"/>
                </w:tcPr>
                <w:p w14:paraId="464FCFB2" w14:textId="77777777" w:rsidR="00ED466E" w:rsidRPr="00B21707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b w:val="0"/>
                      <w:bCs w:val="0"/>
                      <w:color w:val="FFFFFF"/>
                      <w:lang w:eastAsia="en-GB"/>
                    </w:rPr>
                  </w:pPr>
                  <w:r w:rsidRPr="00B21707">
                    <w:rPr>
                      <w:rFonts w:eastAsia="Times New Roman" w:cs="Calibri"/>
                      <w:color w:val="FFFFFF"/>
                      <w:lang w:eastAsia="en-GB"/>
                    </w:rPr>
                    <w:t>Monetised Risk Delta (R£m) - FD</w:t>
                  </w:r>
                </w:p>
              </w:tc>
            </w:tr>
            <w:tr w:rsidR="00ED466E" w:rsidRPr="00B21707" w14:paraId="3FE1F3B6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51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08" w:type="dxa"/>
                  <w:noWrap/>
                  <w:hideMark/>
                </w:tcPr>
                <w:p w14:paraId="65E83209" w14:textId="77777777" w:rsidR="00ED466E" w:rsidRPr="00B21707" w:rsidRDefault="00ED466E" w:rsidP="00ED466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4441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  <w:t xml:space="preserve">SO </w:t>
                  </w:r>
                  <w:r w:rsidRPr="00B2170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  <w:t>Replacement</w:t>
                  </w:r>
                  <w:r w:rsidRPr="00B4441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  <w:t xml:space="preserve"> and refurb Riser </w:t>
                  </w:r>
                </w:p>
              </w:tc>
              <w:tc>
                <w:tcPr>
                  <w:tcW w:w="1504" w:type="dxa"/>
                  <w:noWrap/>
                  <w:hideMark/>
                </w:tcPr>
                <w:p w14:paraId="17D47730" w14:textId="77777777" w:rsidR="00ED466E" w:rsidRPr="00B21707" w:rsidRDefault="00ED466E" w:rsidP="00ED466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B4441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4125.000</w:t>
                  </w:r>
                </w:p>
              </w:tc>
              <w:tc>
                <w:tcPr>
                  <w:tcW w:w="1945" w:type="dxa"/>
                  <w:noWrap/>
                  <w:hideMark/>
                </w:tcPr>
                <w:p w14:paraId="4CED1FD6" w14:textId="77777777" w:rsidR="00ED466E" w:rsidRPr="00B21707" w:rsidRDefault="00ED466E" w:rsidP="00ED466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4441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1.008</w:t>
                  </w:r>
                </w:p>
              </w:tc>
              <w:tc>
                <w:tcPr>
                  <w:tcW w:w="1688" w:type="dxa"/>
                </w:tcPr>
                <w:p w14:paraId="3FEB45CF" w14:textId="77777777" w:rsidR="00ED466E" w:rsidRPr="00B44411" w:rsidRDefault="00ED466E" w:rsidP="00ED466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4441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  <w:t>0.879</w:t>
                  </w:r>
                </w:p>
              </w:tc>
            </w:tr>
            <w:tr w:rsidR="00ED466E" w:rsidRPr="00B21707" w14:paraId="7A2D54AD" w14:textId="77777777" w:rsidTr="00ED466E">
              <w:trPr>
                <w:trHeight w:val="151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08" w:type="dxa"/>
                  <w:noWrap/>
                </w:tcPr>
                <w:p w14:paraId="5A4F5AF7" w14:textId="77777777" w:rsidR="00ED466E" w:rsidRPr="00B44411" w:rsidRDefault="00ED466E" w:rsidP="00ED466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44411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  <w:t>SC – Replacement and refurb riser</w:t>
                  </w:r>
                </w:p>
              </w:tc>
              <w:tc>
                <w:tcPr>
                  <w:tcW w:w="1504" w:type="dxa"/>
                  <w:noWrap/>
                </w:tcPr>
                <w:p w14:paraId="3161AB5E" w14:textId="77777777" w:rsidR="00ED466E" w:rsidRPr="00B44411" w:rsidRDefault="00ED466E" w:rsidP="00ED466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B4441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825</w:t>
                  </w:r>
                </w:p>
              </w:tc>
              <w:tc>
                <w:tcPr>
                  <w:tcW w:w="1945" w:type="dxa"/>
                  <w:noWrap/>
                </w:tcPr>
                <w:p w14:paraId="0AF815BC" w14:textId="77777777" w:rsidR="00ED466E" w:rsidRPr="00B44411" w:rsidRDefault="00ED466E" w:rsidP="00ED466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B4441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0.1675416</w:t>
                  </w:r>
                </w:p>
              </w:tc>
              <w:tc>
                <w:tcPr>
                  <w:tcW w:w="1688" w:type="dxa"/>
                </w:tcPr>
                <w:p w14:paraId="6A6685F1" w14:textId="77777777" w:rsidR="00ED466E" w:rsidRPr="00B44411" w:rsidRDefault="00ED466E" w:rsidP="00ED466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B44411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0.628</w:t>
                  </w:r>
                </w:p>
              </w:tc>
            </w:tr>
          </w:tbl>
          <w:p w14:paraId="6634E87C" w14:textId="107C6AF9" w:rsidR="009C3515" w:rsidRDefault="009C3515" w:rsidP="008E4E42">
            <w:pPr>
              <w:rPr>
                <w:rFonts w:asciiTheme="minorHAnsi" w:hAnsiTheme="minorHAnsi"/>
                <w:szCs w:val="24"/>
              </w:rPr>
            </w:pPr>
          </w:p>
          <w:p w14:paraId="7AA97EA4" w14:textId="5485B4F9" w:rsidR="00ED466E" w:rsidRDefault="00ED466E" w:rsidP="00ED466E">
            <w:pPr>
              <w:pStyle w:val="Caption"/>
              <w:keepNext/>
              <w:jc w:val="center"/>
            </w:pPr>
            <w:r>
              <w:t xml:space="preserve">Table </w:t>
            </w:r>
            <w:fldSimple w:instr=" SEQ Table \* ARABIC ">
              <w:r>
                <w:rPr>
                  <w:noProof/>
                </w:rPr>
                <w:t>2</w:t>
              </w:r>
            </w:fldSimple>
            <w:r>
              <w:t>: Southern Volume error - Repex</w:t>
            </w:r>
          </w:p>
          <w:tbl>
            <w:tblPr>
              <w:tblStyle w:val="ListTable3-Accent6"/>
              <w:tblW w:w="10100" w:type="dxa"/>
              <w:tblLook w:val="04E0" w:firstRow="1" w:lastRow="1" w:firstColumn="1" w:lastColumn="0" w:noHBand="0" w:noVBand="1"/>
            </w:tblPr>
            <w:tblGrid>
              <w:gridCol w:w="3268"/>
              <w:gridCol w:w="1155"/>
              <w:gridCol w:w="1113"/>
              <w:gridCol w:w="1169"/>
              <w:gridCol w:w="1113"/>
              <w:gridCol w:w="1113"/>
              <w:gridCol w:w="1169"/>
            </w:tblGrid>
            <w:tr w:rsidR="00ED466E" w:rsidRPr="00CC4049" w14:paraId="4F501130" w14:textId="77777777" w:rsidTr="00ED466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893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3268" w:type="dxa"/>
                  <w:hideMark/>
                </w:tcPr>
                <w:p w14:paraId="4D8D932A" w14:textId="77777777" w:rsidR="00ED466E" w:rsidRPr="00CC4049" w:rsidRDefault="00ED466E" w:rsidP="00ED466E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GB"/>
                    </w:rPr>
                  </w:pPr>
                  <w:r w:rsidRPr="00CC4049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GB"/>
                    </w:rPr>
                    <w:t>Southern</w:t>
                  </w:r>
                </w:p>
              </w:tc>
              <w:tc>
                <w:tcPr>
                  <w:tcW w:w="1155" w:type="dxa"/>
                  <w:hideMark/>
                </w:tcPr>
                <w:p w14:paraId="4B539131" w14:textId="77777777" w:rsidR="00ED466E" w:rsidRPr="00CC4049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color w:val="auto"/>
                      <w:lang w:eastAsia="en-GB"/>
                    </w:rPr>
                    <w:t>volume submitted post DD</w:t>
                  </w:r>
                </w:p>
              </w:tc>
              <w:tc>
                <w:tcPr>
                  <w:tcW w:w="1113" w:type="dxa"/>
                  <w:hideMark/>
                </w:tcPr>
                <w:p w14:paraId="5FF5E3F5" w14:textId="77777777" w:rsidR="00ED466E" w:rsidRPr="00CC4049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color w:val="auto"/>
                      <w:lang w:eastAsia="en-GB"/>
                    </w:rPr>
                    <w:t>Volume used in Ofgem's Model</w:t>
                  </w:r>
                </w:p>
              </w:tc>
              <w:tc>
                <w:tcPr>
                  <w:tcW w:w="1169" w:type="dxa"/>
                  <w:hideMark/>
                </w:tcPr>
                <w:p w14:paraId="77372211" w14:textId="77777777" w:rsidR="00ED466E" w:rsidRPr="00CC4049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color w:val="auto"/>
                      <w:lang w:eastAsia="en-GB"/>
                    </w:rPr>
                    <w:t>Difference</w:t>
                  </w:r>
                </w:p>
              </w:tc>
              <w:tc>
                <w:tcPr>
                  <w:tcW w:w="1113" w:type="dxa"/>
                  <w:hideMark/>
                </w:tcPr>
                <w:p w14:paraId="1922CDE1" w14:textId="77777777" w:rsidR="00ED466E" w:rsidRPr="00CC4049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color w:val="auto"/>
                      <w:lang w:eastAsia="en-GB"/>
                    </w:rPr>
                    <w:t>Allowed volume - Ofgem's Model</w:t>
                  </w:r>
                </w:p>
              </w:tc>
              <w:tc>
                <w:tcPr>
                  <w:tcW w:w="1113" w:type="dxa"/>
                  <w:hideMark/>
                </w:tcPr>
                <w:p w14:paraId="6740F333" w14:textId="77777777" w:rsidR="00ED466E" w:rsidRPr="00CC4049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color w:val="auto"/>
                      <w:lang w:eastAsia="en-GB"/>
                    </w:rPr>
                    <w:t xml:space="preserve">Allowed volume - Repex Model </w:t>
                  </w:r>
                </w:p>
              </w:tc>
              <w:tc>
                <w:tcPr>
                  <w:tcW w:w="1169" w:type="dxa"/>
                  <w:hideMark/>
                </w:tcPr>
                <w:p w14:paraId="41BEC9CA" w14:textId="77777777" w:rsidR="00ED466E" w:rsidRPr="00CC4049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color w:val="auto"/>
                      <w:lang w:eastAsia="en-GB"/>
                    </w:rPr>
                    <w:t>Difference</w:t>
                  </w:r>
                </w:p>
              </w:tc>
            </w:tr>
            <w:tr w:rsidR="00ED466E" w:rsidRPr="00CC4049" w14:paraId="39E2CA8E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4DB0513A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mains other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00290267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254.84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04DE536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208.27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75F2083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46.57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76F05EC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253.36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94321C0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209.16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F7295A0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44.20</w:t>
                  </w:r>
                </w:p>
              </w:tc>
            </w:tr>
            <w:tr w:rsidR="00ED466E" w:rsidRPr="00CC4049" w14:paraId="0D3E7A66" w14:textId="77777777" w:rsidTr="00ED466E">
              <w:trPr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4C81829A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 governors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F7C1FB2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2,600.00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7D8A9A8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2,600.00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DF18280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52834B4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2,600.00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27AACD1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2,600.00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27449615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CC4049" w14:paraId="42A4BF96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30EA5B92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 not associated with mains replacement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29C7B294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35,650.84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D1A96A1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35,650.29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3011878A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0.55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B898616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35,085.54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5E9C25F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35,650.84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3D2A230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-565.30</w:t>
                  </w:r>
                </w:p>
              </w:tc>
            </w:tr>
            <w:tr w:rsidR="00ED466E" w:rsidRPr="00CC4049" w14:paraId="695A59C4" w14:textId="77777777" w:rsidTr="00ED466E">
              <w:trPr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4556C784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services_mains other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2D30ED9E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1,393.26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91897FF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1,393.60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F8BE40F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-0.34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4B8E5CC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2,228.51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4548E7E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2,264.17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3AEB20E9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-35.66</w:t>
                  </w:r>
                </w:p>
              </w:tc>
            </w:tr>
            <w:tr w:rsidR="00ED466E" w:rsidRPr="00CC4049" w14:paraId="4BE43952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4A32AD36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services_steel mains &lt;=2"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52BD7DF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3,565.17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E054507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3,564.80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3B35EE2B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0.37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EFEAC2F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3,508.36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B204245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3,565.17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F9B1794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-56.81</w:t>
                  </w:r>
                </w:p>
              </w:tc>
            </w:tr>
            <w:tr w:rsidR="00ED466E" w:rsidRPr="00CC4049" w14:paraId="78CFF55F" w14:textId="77777777" w:rsidTr="00ED466E">
              <w:trPr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0D77CD3E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services_tier 1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48097DD1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F2CA0E8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E259FEC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475110D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A1C0446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1FDCE87E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CC4049" w14:paraId="1EFE6CE0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5D054847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services_tier 2a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2EB2B4EB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8D36F25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25B94C5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E66F122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E3D553C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31FBABE6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CC4049" w14:paraId="6FF37B71" w14:textId="77777777" w:rsidTr="00ED466E">
              <w:trPr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21A38A72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services_tier 2b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A02EC51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2,544.36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D309C0A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579.20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CDF29D0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1,965.16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853E5E8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2,503.23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5A7CADA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684.88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11DD14F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1,818.34</w:t>
                  </w:r>
                </w:p>
              </w:tc>
            </w:tr>
            <w:tr w:rsidR="00ED466E" w:rsidRPr="00CC4049" w14:paraId="4D47DEF0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6AD3A3A6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services_tier 3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5439F796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11.24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EDC1F11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11.00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6DA0A664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0.24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71C34A7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10.83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01CBAEB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11.24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93B9175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-0.42</w:t>
                  </w:r>
                </w:p>
              </w:tc>
            </w:tr>
            <w:tr w:rsidR="00ED466E" w:rsidRPr="00CC4049" w14:paraId="587AC95F" w14:textId="77777777" w:rsidTr="00ED466E">
              <w:trPr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5940882F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steel mains =&lt;2"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BB55B9A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0.20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787E556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375C52B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0.20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819F3E9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6AF240F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0.51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8073B4D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-0.51</w:t>
                  </w:r>
                </w:p>
              </w:tc>
            </w:tr>
            <w:tr w:rsidR="00ED466E" w:rsidRPr="00CC4049" w14:paraId="7A26019D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798C1787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tier 1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0E6F83F7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7266030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644F9E3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F335B3F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0405B4C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FFB6387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CC4049" w14:paraId="4AEEB369" w14:textId="77777777" w:rsidTr="00ED466E">
              <w:trPr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1F18E07E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tier 2a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8691060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1A5FB1C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279F188C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D7D6F41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021D386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CBC9D62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CC4049" w14:paraId="51982C89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426591D2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tier 2b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4D97F47D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38.70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98B3906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31.00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D177E4F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7.70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9558274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37.36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07A693F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31.36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732445D7" w14:textId="77777777" w:rsidR="00ED466E" w:rsidRPr="00CC4049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6.00</w:t>
                  </w:r>
                </w:p>
              </w:tc>
            </w:tr>
            <w:tr w:rsidR="00ED466E" w:rsidRPr="00CC4049" w14:paraId="314787D3" w14:textId="77777777" w:rsidTr="00ED466E">
              <w:trPr>
                <w:trHeight w:val="2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68" w:type="dxa"/>
                  <w:noWrap/>
                  <w:hideMark/>
                </w:tcPr>
                <w:p w14:paraId="55F16AA5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tier 3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299524D8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22.44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9B33155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22.77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A7872EE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-0.33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9DDE144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23.00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017A826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23.12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69A875B" w14:textId="77777777" w:rsidR="00ED466E" w:rsidRPr="00CC4049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-0.12</w:t>
                  </w:r>
                </w:p>
              </w:tc>
            </w:tr>
            <w:tr w:rsidR="00ED466E" w:rsidRPr="00CC4049" w14:paraId="4DE3150E" w14:textId="77777777" w:rsidTr="00ED466E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218"/>
              </w:trPr>
              <w:tc>
                <w:tcPr>
      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      <w:tcW w:w="3268" w:type="dxa"/>
                  <w:noWrap/>
                  <w:hideMark/>
                </w:tcPr>
                <w:p w14:paraId="2032745C" w14:textId="77777777" w:rsidR="00ED466E" w:rsidRPr="00CC4049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TOTAL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4AA6A492" w14:textId="77777777" w:rsidR="00ED466E" w:rsidRPr="00CC4049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50,519.04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60442E3" w14:textId="77777777" w:rsidR="00ED466E" w:rsidRPr="00CC4049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48,498.91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1C86F41B" w14:textId="77777777" w:rsidR="00ED466E" w:rsidRPr="00CC4049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2,020.13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04F6A2F" w14:textId="77777777" w:rsidR="00ED466E" w:rsidRPr="00CC4049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50,672.02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1A92D4C" w14:textId="77777777" w:rsidR="00ED466E" w:rsidRPr="00CC4049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49,477.46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23B7422" w14:textId="77777777" w:rsidR="00ED466E" w:rsidRPr="00CC4049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CC4049">
                    <w:rPr>
                      <w:rFonts w:eastAsia="Times New Roman" w:cs="Calibri"/>
                      <w:lang w:eastAsia="en-GB"/>
                    </w:rPr>
                    <w:t>1,194.56</w:t>
                  </w:r>
                </w:p>
              </w:tc>
            </w:tr>
          </w:tbl>
          <w:p w14:paraId="102098AB" w14:textId="09930814" w:rsidR="00ED466E" w:rsidRDefault="00ED466E" w:rsidP="008E4E42">
            <w:pPr>
              <w:rPr>
                <w:rFonts w:asciiTheme="minorHAnsi" w:hAnsiTheme="minorHAnsi"/>
                <w:szCs w:val="24"/>
              </w:rPr>
            </w:pPr>
          </w:p>
          <w:p w14:paraId="7591E69B" w14:textId="1F9730D6" w:rsidR="00ED466E" w:rsidRDefault="00ED466E" w:rsidP="00ED466E">
            <w:pPr>
              <w:pStyle w:val="Caption"/>
              <w:keepNext/>
              <w:jc w:val="center"/>
            </w:pPr>
            <w:r>
              <w:t xml:space="preserve">Table </w:t>
            </w:r>
            <w:fldSimple w:instr=" SEQ Table \* ARABIC ">
              <w:r>
                <w:rPr>
                  <w:noProof/>
                </w:rPr>
                <w:t>3</w:t>
              </w:r>
            </w:fldSimple>
            <w:r>
              <w:t>: Scotland Volume Error - Repex</w:t>
            </w:r>
          </w:p>
          <w:tbl>
            <w:tblPr>
              <w:tblStyle w:val="ListTable3-Accent6"/>
              <w:tblW w:w="10238" w:type="dxa"/>
              <w:tblLook w:val="04E0" w:firstRow="1" w:lastRow="1" w:firstColumn="1" w:lastColumn="0" w:noHBand="0" w:noVBand="1"/>
            </w:tblPr>
            <w:tblGrid>
              <w:gridCol w:w="3258"/>
              <w:gridCol w:w="1155"/>
              <w:gridCol w:w="1113"/>
              <w:gridCol w:w="1169"/>
              <w:gridCol w:w="1113"/>
              <w:gridCol w:w="1113"/>
              <w:gridCol w:w="1317"/>
            </w:tblGrid>
            <w:tr w:rsidR="00ED466E" w:rsidRPr="002C4ADB" w14:paraId="2208A373" w14:textId="77777777" w:rsidTr="00ED466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29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3258" w:type="dxa"/>
                  <w:noWrap/>
                  <w:hideMark/>
                </w:tcPr>
                <w:p w14:paraId="65C1EE4B" w14:textId="77777777" w:rsidR="00ED466E" w:rsidRPr="002C4ADB" w:rsidRDefault="00ED466E" w:rsidP="00ED466E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GB"/>
                    </w:rPr>
                  </w:pPr>
                  <w:r w:rsidRPr="002C4AD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GB"/>
                    </w:rPr>
                    <w:t>Scotland</w:t>
                  </w:r>
                </w:p>
              </w:tc>
              <w:tc>
                <w:tcPr>
                  <w:tcW w:w="1155" w:type="dxa"/>
                  <w:hideMark/>
                </w:tcPr>
                <w:p w14:paraId="5BDFA656" w14:textId="77777777" w:rsidR="00ED466E" w:rsidRPr="002C4ADB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color w:val="auto"/>
                      <w:lang w:eastAsia="en-GB"/>
                    </w:rPr>
                    <w:t>volume submitted post DD</w:t>
                  </w:r>
                </w:p>
              </w:tc>
              <w:tc>
                <w:tcPr>
                  <w:tcW w:w="1113" w:type="dxa"/>
                  <w:hideMark/>
                </w:tcPr>
                <w:p w14:paraId="2DFD0B15" w14:textId="77777777" w:rsidR="00ED466E" w:rsidRPr="002C4ADB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color w:val="auto"/>
                      <w:lang w:eastAsia="en-GB"/>
                    </w:rPr>
                    <w:t>Volume used in Ofgem's Model</w:t>
                  </w:r>
                </w:p>
              </w:tc>
              <w:tc>
                <w:tcPr>
                  <w:tcW w:w="1169" w:type="dxa"/>
                  <w:hideMark/>
                </w:tcPr>
                <w:p w14:paraId="5F9EF64D" w14:textId="77777777" w:rsidR="00ED466E" w:rsidRPr="002C4ADB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color w:val="auto"/>
                      <w:lang w:eastAsia="en-GB"/>
                    </w:rPr>
                    <w:t>Difference</w:t>
                  </w:r>
                </w:p>
              </w:tc>
              <w:tc>
                <w:tcPr>
                  <w:tcW w:w="1113" w:type="dxa"/>
                  <w:hideMark/>
                </w:tcPr>
                <w:p w14:paraId="705BC15C" w14:textId="77777777" w:rsidR="00ED466E" w:rsidRPr="002C4ADB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color w:val="auto"/>
                      <w:lang w:eastAsia="en-GB"/>
                    </w:rPr>
                    <w:t>Allowed volume - Ofgem's Model</w:t>
                  </w:r>
                </w:p>
              </w:tc>
              <w:tc>
                <w:tcPr>
                  <w:tcW w:w="1113" w:type="dxa"/>
                  <w:hideMark/>
                </w:tcPr>
                <w:p w14:paraId="0B15DB04" w14:textId="77777777" w:rsidR="00ED466E" w:rsidRPr="002C4ADB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color w:val="auto"/>
                      <w:lang w:eastAsia="en-GB"/>
                    </w:rPr>
                    <w:t>Allowed volume - Repex Model</w:t>
                  </w:r>
                </w:p>
              </w:tc>
              <w:tc>
                <w:tcPr>
                  <w:tcW w:w="1317" w:type="dxa"/>
                  <w:hideMark/>
                </w:tcPr>
                <w:p w14:paraId="607FCDD7" w14:textId="77777777" w:rsidR="00ED466E" w:rsidRPr="002C4ADB" w:rsidRDefault="00ED466E" w:rsidP="00ED466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color w:val="auto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color w:val="auto"/>
                      <w:lang w:eastAsia="en-GB"/>
                    </w:rPr>
                    <w:t>Difference</w:t>
                  </w:r>
                </w:p>
              </w:tc>
            </w:tr>
            <w:tr w:rsidR="00ED466E" w:rsidRPr="002C4ADB" w14:paraId="4571F583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40732D4C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mains other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D9D9122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142.07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0D574A2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118.07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7E835EE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23.99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269C574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140.86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EC8AC63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119.58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638A231D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21.28</w:t>
                  </w:r>
                </w:p>
              </w:tc>
            </w:tr>
            <w:tr w:rsidR="00ED466E" w:rsidRPr="002C4ADB" w14:paraId="64C0F50C" w14:textId="77777777" w:rsidTr="00ED466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3FE48499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 governors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3CBFAB89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360.00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0248B53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360.00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3501BFDA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F29D9BA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360.00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3926BA5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360.00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43385FD3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2C4ADB" w14:paraId="2E789AAA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5985AD91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services not associated with mains replacement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78607634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7,757.15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7A3A3A0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6,682.31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BC8F8FB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1,074.84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8049670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6,549.57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30C3E0C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7,757.15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67B539D5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-1,207.57</w:t>
                  </w:r>
                </w:p>
              </w:tc>
            </w:tr>
            <w:tr w:rsidR="00ED466E" w:rsidRPr="002C4ADB" w14:paraId="4987901A" w14:textId="77777777" w:rsidTr="00ED466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63D23004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services_mains other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1188F581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373.42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E3F067E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373.59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62E8E531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-0.16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BAD6557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641.85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66157A98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654.96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610CF7B4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-13.11</w:t>
                  </w:r>
                </w:p>
              </w:tc>
            </w:tr>
            <w:tr w:rsidR="00ED466E" w:rsidRPr="002C4ADB" w14:paraId="1C4796C5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70B01BDF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services_steel mains &lt;=2"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2F2A1F77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7,133.96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E05EFF8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7,133.88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44D3F1D5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0.08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1F15239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6,991.57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1EC0003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7,133.96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05C972D9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-142.39</w:t>
                  </w:r>
                </w:p>
              </w:tc>
            </w:tr>
            <w:tr w:rsidR="00ED466E" w:rsidRPr="002C4ADB" w14:paraId="74BFFAB2" w14:textId="77777777" w:rsidTr="00ED466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016FD64B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services_tier 1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3A7C9CBD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995DFEB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65BC16D5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BC4C8C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756C37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6694C7C0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2C4ADB" w14:paraId="6DD527BA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040178BA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services_tier 2a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47812700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40C20404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6E20DF33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E1F87E2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AACD9B9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742941FB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2C4ADB" w14:paraId="15F7EB3C" w14:textId="77777777" w:rsidTr="00ED466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2561F9FE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lastRenderedPageBreak/>
                    <w:t>services_tier 2b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3AC03CA5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560.25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BE368B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169.69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E345DF0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390.56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A04A1F9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548.57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EC6828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179.24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60897FC7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369.34</w:t>
                  </w:r>
                </w:p>
              </w:tc>
            </w:tr>
            <w:tr w:rsidR="00ED466E" w:rsidRPr="002C4ADB" w14:paraId="268F56FF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63080C86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services_tier 3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46D56591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30.63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3A6534E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17.83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1ED692D5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12.81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8CBB166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28.81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9615C7D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17.83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1725F75D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10.99</w:t>
                  </w:r>
                </w:p>
              </w:tc>
            </w:tr>
            <w:tr w:rsidR="00ED466E" w:rsidRPr="002C4ADB" w14:paraId="3B1ECBEF" w14:textId="77777777" w:rsidTr="00ED466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64092E8E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steel mains =&lt;2"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4F4BE716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DED073E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793B9D9A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F1A131B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65BDDE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0.45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2D5BF04F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-0.45</w:t>
                  </w:r>
                </w:p>
              </w:tc>
            </w:tr>
            <w:tr w:rsidR="00ED466E" w:rsidRPr="002C4ADB" w14:paraId="325FFADA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2782635F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tier 1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502AFB4B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BF7468A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7859CAE3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27C94D7E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0AEAB52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77EF4CBE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2C4ADB" w14:paraId="60DEC210" w14:textId="77777777" w:rsidTr="00ED466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27275157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tier 2a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2A684FC6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EC9183F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03B4275F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1570C01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374477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4EE5CC63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0.00</w:t>
                  </w:r>
                </w:p>
              </w:tc>
            </w:tr>
            <w:tr w:rsidR="00ED466E" w:rsidRPr="002C4ADB" w14:paraId="50D1BE00" w14:textId="77777777" w:rsidTr="00ED466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5CC7C052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tier 2b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7629E1D4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25.04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FC96C44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17.75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2D4B360F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7.29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965B09F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23.61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0D358F11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18.74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5ABE47B4" w14:textId="77777777" w:rsidR="00ED466E" w:rsidRPr="002C4ADB" w:rsidRDefault="00ED466E" w:rsidP="00ED466E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4.87</w:t>
                  </w:r>
                </w:p>
              </w:tc>
            </w:tr>
            <w:tr w:rsidR="00ED466E" w:rsidRPr="002C4ADB" w14:paraId="20C0A9D0" w14:textId="77777777" w:rsidTr="00ED466E">
              <w:trPr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8" w:type="dxa"/>
                  <w:noWrap/>
                  <w:hideMark/>
                </w:tcPr>
                <w:p w14:paraId="1972D846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tier 3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65DFB9D6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8.63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2E940BA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5.82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5964EE52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2.81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101795F6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9.73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3E0AD7F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5.82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0D6CC4A5" w14:textId="77777777" w:rsidR="00ED466E" w:rsidRPr="002C4ADB" w:rsidRDefault="00ED466E" w:rsidP="00ED466E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3.91</w:t>
                  </w:r>
                </w:p>
              </w:tc>
            </w:tr>
            <w:tr w:rsidR="00ED466E" w:rsidRPr="002C4ADB" w14:paraId="4E866A47" w14:textId="77777777" w:rsidTr="00ED466E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15"/>
              </w:trPr>
              <w:tc>
                <w:tcPr>
      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      <w:tcW w:w="3258" w:type="dxa"/>
                  <w:noWrap/>
                  <w:hideMark/>
                </w:tcPr>
                <w:p w14:paraId="1A3F4910" w14:textId="77777777" w:rsidR="00ED466E" w:rsidRPr="002C4ADB" w:rsidRDefault="00ED466E" w:rsidP="00ED466E">
                  <w:pPr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TOTAL</w:t>
                  </w:r>
                </w:p>
              </w:tc>
              <w:tc>
                <w:tcPr>
                  <w:tcW w:w="1155" w:type="dxa"/>
                  <w:noWrap/>
                  <w:hideMark/>
                </w:tcPr>
                <w:p w14:paraId="08E29CA5" w14:textId="77777777" w:rsidR="00ED466E" w:rsidRPr="002C4ADB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17,392.15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78A01166" w14:textId="77777777" w:rsidR="00ED466E" w:rsidRPr="002C4ADB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15,879.94</w:t>
                  </w:r>
                </w:p>
              </w:tc>
              <w:tc>
                <w:tcPr>
                  <w:tcW w:w="1169" w:type="dxa"/>
                  <w:noWrap/>
                  <w:hideMark/>
                </w:tcPr>
                <w:p w14:paraId="2FC85D62" w14:textId="77777777" w:rsidR="00ED466E" w:rsidRPr="002C4ADB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1,512.21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34B33EA9" w14:textId="77777777" w:rsidR="00ED466E" w:rsidRPr="002C4ADB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16,278.02</w:t>
                  </w:r>
                </w:p>
              </w:tc>
              <w:tc>
                <w:tcPr>
                  <w:tcW w:w="1113" w:type="dxa"/>
                  <w:noWrap/>
                  <w:hideMark/>
                </w:tcPr>
                <w:p w14:paraId="5B77ACDD" w14:textId="77777777" w:rsidR="00ED466E" w:rsidRPr="002C4ADB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17,245.73</w:t>
                  </w:r>
                </w:p>
              </w:tc>
              <w:tc>
                <w:tcPr>
                  <w:tcW w:w="1317" w:type="dxa"/>
                  <w:noWrap/>
                  <w:hideMark/>
                </w:tcPr>
                <w:p w14:paraId="192F8177" w14:textId="77777777" w:rsidR="00ED466E" w:rsidRPr="002C4ADB" w:rsidRDefault="00ED466E" w:rsidP="00ED466E">
                  <w:pPr>
                    <w:jc w:val="right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lang w:eastAsia="en-GB"/>
                    </w:rPr>
                  </w:pPr>
                  <w:r w:rsidRPr="002C4ADB">
                    <w:rPr>
                      <w:rFonts w:eastAsia="Times New Roman" w:cs="Calibri"/>
                      <w:lang w:eastAsia="en-GB"/>
                    </w:rPr>
                    <w:t>-967.71</w:t>
                  </w:r>
                </w:p>
              </w:tc>
            </w:tr>
          </w:tbl>
          <w:p w14:paraId="68A9AEE5" w14:textId="77777777" w:rsidR="00ED466E" w:rsidRDefault="00ED466E" w:rsidP="008E4E42">
            <w:pPr>
              <w:rPr>
                <w:rFonts w:asciiTheme="minorHAnsi" w:hAnsiTheme="minorHAnsi"/>
                <w:szCs w:val="24"/>
              </w:rPr>
            </w:pPr>
          </w:p>
          <w:p w14:paraId="335CE117" w14:textId="77777777" w:rsidR="00E668AE" w:rsidRPr="000226BA" w:rsidRDefault="00E668AE" w:rsidP="008E4E42">
            <w:pPr>
              <w:rPr>
                <w:rFonts w:asciiTheme="minorHAnsi" w:hAnsiTheme="minorHAnsi"/>
                <w:szCs w:val="24"/>
              </w:rPr>
            </w:pPr>
          </w:p>
          <w:p w14:paraId="373E21F1" w14:textId="0D058296" w:rsidR="00133BD9" w:rsidRPr="009C3515" w:rsidRDefault="00133BD9" w:rsidP="008E4E42">
            <w:pPr>
              <w:rPr>
                <w:rFonts w:asciiTheme="minorHAnsi" w:hAnsiTheme="minorHAnsi"/>
                <w:szCs w:val="24"/>
                <w:lang w:eastAsia="en-GB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A0F79" w14:textId="77777777" w:rsidR="00733282" w:rsidRDefault="00733282" w:rsidP="00526623">
      <w:pPr>
        <w:spacing w:after="0" w:line="240" w:lineRule="auto"/>
      </w:pPr>
      <w:r>
        <w:separator/>
      </w:r>
    </w:p>
  </w:endnote>
  <w:endnote w:type="continuationSeparator" w:id="0">
    <w:p w14:paraId="46C26136" w14:textId="77777777" w:rsidR="00733282" w:rsidRDefault="00733282" w:rsidP="00526623">
      <w:pPr>
        <w:spacing w:after="0" w:line="240" w:lineRule="auto"/>
      </w:pPr>
      <w:r>
        <w:continuationSeparator/>
      </w:r>
    </w:p>
  </w:endnote>
  <w:endnote w:type="continuationNotice" w:id="1">
    <w:p w14:paraId="7D6A6849" w14:textId="77777777" w:rsidR="00733282" w:rsidRDefault="007332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161CE" w14:textId="1CF3EC10" w:rsidR="00FE2BBC" w:rsidRDefault="00FE2B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B3EF4A" wp14:editId="542C2B3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36c648cd851ed6e27e8ed0ef" descr="{&quot;HashCode&quot;:11616191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3A2327" w14:textId="19BE7ED0" w:rsidR="00FE2BBC" w:rsidRPr="002E1A79" w:rsidRDefault="002E1A79" w:rsidP="002E1A7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2E1A79">
                            <w:rPr>
                              <w:color w:val="000000"/>
                              <w:sz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3EF4A" id="_x0000_t202" coordsize="21600,21600" o:spt="202" path="m,l,21600r21600,l21600,xe">
              <v:stroke joinstyle="miter"/>
              <v:path gradientshapeok="t" o:connecttype="rect"/>
            </v:shapetype>
            <v:shape id="MSIPCM36c648cd851ed6e27e8ed0ef" o:spid="_x0000_s1026" type="#_x0000_t202" alt="{&quot;HashCode&quot;:1161619106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" o:allowincell="f" filled="f" stroked="f" strokeweight=".5pt">
              <v:textbox inset="20pt,0,,0">
                <w:txbxContent>
                  <w:p w14:paraId="5C3A2327" w14:textId="19BE7ED0" w:rsidR="00FE2BBC" w:rsidRPr="002E1A79" w:rsidRDefault="002E1A79" w:rsidP="002E1A7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2E1A79">
                      <w:rPr>
                        <w:color w:val="000000"/>
                        <w:sz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2D48B" w14:textId="77777777" w:rsidR="00733282" w:rsidRDefault="00733282" w:rsidP="00526623">
      <w:pPr>
        <w:spacing w:after="0" w:line="240" w:lineRule="auto"/>
      </w:pPr>
      <w:r>
        <w:separator/>
      </w:r>
    </w:p>
  </w:footnote>
  <w:footnote w:type="continuationSeparator" w:id="0">
    <w:p w14:paraId="013F6E9B" w14:textId="77777777" w:rsidR="00733282" w:rsidRDefault="00733282" w:rsidP="00526623">
      <w:pPr>
        <w:spacing w:after="0" w:line="240" w:lineRule="auto"/>
      </w:pPr>
      <w:r>
        <w:continuationSeparator/>
      </w:r>
    </w:p>
  </w:footnote>
  <w:footnote w:type="continuationNotice" w:id="1">
    <w:p w14:paraId="2F047533" w14:textId="77777777" w:rsidR="00733282" w:rsidRDefault="007332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F4C17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6FCD"/>
    <w:multiLevelType w:val="hybridMultilevel"/>
    <w:tmpl w:val="FAA41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5238"/>
    <w:multiLevelType w:val="multilevel"/>
    <w:tmpl w:val="E398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7A0CB8"/>
    <w:multiLevelType w:val="hybridMultilevel"/>
    <w:tmpl w:val="53A42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6224F"/>
    <w:multiLevelType w:val="hybridMultilevel"/>
    <w:tmpl w:val="26226B72"/>
    <w:lvl w:ilvl="0" w:tplc="11F67B42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F0080E"/>
    <w:multiLevelType w:val="hybridMultilevel"/>
    <w:tmpl w:val="2ECA5F6C"/>
    <w:lvl w:ilvl="0" w:tplc="6B9EE98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A10E9"/>
    <w:multiLevelType w:val="hybridMultilevel"/>
    <w:tmpl w:val="E6805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60ABE"/>
    <w:multiLevelType w:val="hybridMultilevel"/>
    <w:tmpl w:val="6D98C6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C0E60"/>
    <w:multiLevelType w:val="multilevel"/>
    <w:tmpl w:val="5666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05D0FEB"/>
    <w:multiLevelType w:val="hybridMultilevel"/>
    <w:tmpl w:val="68D2CCD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727FA5"/>
    <w:multiLevelType w:val="hybridMultilevel"/>
    <w:tmpl w:val="829AC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4415B"/>
    <w:multiLevelType w:val="multilevel"/>
    <w:tmpl w:val="1F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2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2801"/>
    <w:rsid w:val="00007AB6"/>
    <w:rsid w:val="000226BA"/>
    <w:rsid w:val="00030B52"/>
    <w:rsid w:val="000436C2"/>
    <w:rsid w:val="0004747B"/>
    <w:rsid w:val="000511F1"/>
    <w:rsid w:val="000612BD"/>
    <w:rsid w:val="000D7C5B"/>
    <w:rsid w:val="000E4769"/>
    <w:rsid w:val="0010126C"/>
    <w:rsid w:val="00133BD9"/>
    <w:rsid w:val="00133CFC"/>
    <w:rsid w:val="00146532"/>
    <w:rsid w:val="0017052A"/>
    <w:rsid w:val="001A7058"/>
    <w:rsid w:val="001C62F1"/>
    <w:rsid w:val="001C72A4"/>
    <w:rsid w:val="001D6422"/>
    <w:rsid w:val="001F4B77"/>
    <w:rsid w:val="00206D5F"/>
    <w:rsid w:val="00237FF8"/>
    <w:rsid w:val="00252F94"/>
    <w:rsid w:val="002707B1"/>
    <w:rsid w:val="00291D51"/>
    <w:rsid w:val="002968B8"/>
    <w:rsid w:val="002A4AD8"/>
    <w:rsid w:val="002B461F"/>
    <w:rsid w:val="002B4955"/>
    <w:rsid w:val="002B5B44"/>
    <w:rsid w:val="002C0591"/>
    <w:rsid w:val="002E1A79"/>
    <w:rsid w:val="003043A4"/>
    <w:rsid w:val="0033621D"/>
    <w:rsid w:val="003452B0"/>
    <w:rsid w:val="00363BFA"/>
    <w:rsid w:val="00377CF9"/>
    <w:rsid w:val="003B3576"/>
    <w:rsid w:val="003D5173"/>
    <w:rsid w:val="004A587A"/>
    <w:rsid w:val="004E108D"/>
    <w:rsid w:val="00503895"/>
    <w:rsid w:val="005120F4"/>
    <w:rsid w:val="00526623"/>
    <w:rsid w:val="00526A8E"/>
    <w:rsid w:val="005841DF"/>
    <w:rsid w:val="005A506C"/>
    <w:rsid w:val="005E2894"/>
    <w:rsid w:val="0060723D"/>
    <w:rsid w:val="00650F0F"/>
    <w:rsid w:val="00660A18"/>
    <w:rsid w:val="006673BA"/>
    <w:rsid w:val="00667958"/>
    <w:rsid w:val="0067557A"/>
    <w:rsid w:val="006847DA"/>
    <w:rsid w:val="006B189E"/>
    <w:rsid w:val="006C7910"/>
    <w:rsid w:val="0072799D"/>
    <w:rsid w:val="00733282"/>
    <w:rsid w:val="007649AC"/>
    <w:rsid w:val="00774C6F"/>
    <w:rsid w:val="007772F0"/>
    <w:rsid w:val="00795DFE"/>
    <w:rsid w:val="007974DA"/>
    <w:rsid w:val="007A508F"/>
    <w:rsid w:val="007B29A9"/>
    <w:rsid w:val="007D7648"/>
    <w:rsid w:val="0082375A"/>
    <w:rsid w:val="00831C40"/>
    <w:rsid w:val="0085400C"/>
    <w:rsid w:val="008870B4"/>
    <w:rsid w:val="008B3636"/>
    <w:rsid w:val="008B4E52"/>
    <w:rsid w:val="008B5B48"/>
    <w:rsid w:val="008C5A35"/>
    <w:rsid w:val="008D1E15"/>
    <w:rsid w:val="008E4E42"/>
    <w:rsid w:val="0092194A"/>
    <w:rsid w:val="00924DEC"/>
    <w:rsid w:val="00932D6C"/>
    <w:rsid w:val="009344A8"/>
    <w:rsid w:val="00942721"/>
    <w:rsid w:val="009452E6"/>
    <w:rsid w:val="00945C7C"/>
    <w:rsid w:val="009611AA"/>
    <w:rsid w:val="009648AB"/>
    <w:rsid w:val="00970AF3"/>
    <w:rsid w:val="009A12AB"/>
    <w:rsid w:val="009C3515"/>
    <w:rsid w:val="009F792E"/>
    <w:rsid w:val="00A054D1"/>
    <w:rsid w:val="00A0584E"/>
    <w:rsid w:val="00A06191"/>
    <w:rsid w:val="00A24870"/>
    <w:rsid w:val="00A45AE8"/>
    <w:rsid w:val="00A7408A"/>
    <w:rsid w:val="00A922CF"/>
    <w:rsid w:val="00A92FE7"/>
    <w:rsid w:val="00AC6418"/>
    <w:rsid w:val="00AE75F0"/>
    <w:rsid w:val="00B139FB"/>
    <w:rsid w:val="00B61E2C"/>
    <w:rsid w:val="00B82400"/>
    <w:rsid w:val="00B90E05"/>
    <w:rsid w:val="00BA4154"/>
    <w:rsid w:val="00BB2D72"/>
    <w:rsid w:val="00BB682C"/>
    <w:rsid w:val="00BD3A02"/>
    <w:rsid w:val="00BE1862"/>
    <w:rsid w:val="00C05030"/>
    <w:rsid w:val="00C24DD5"/>
    <w:rsid w:val="00C57345"/>
    <w:rsid w:val="00C87C24"/>
    <w:rsid w:val="00C97D04"/>
    <w:rsid w:val="00CA4297"/>
    <w:rsid w:val="00CC7214"/>
    <w:rsid w:val="00CE2AD3"/>
    <w:rsid w:val="00D46682"/>
    <w:rsid w:val="00D64880"/>
    <w:rsid w:val="00D70B5D"/>
    <w:rsid w:val="00DB6C52"/>
    <w:rsid w:val="00E040EA"/>
    <w:rsid w:val="00E06AF2"/>
    <w:rsid w:val="00E24166"/>
    <w:rsid w:val="00E35F6A"/>
    <w:rsid w:val="00E44772"/>
    <w:rsid w:val="00E525E0"/>
    <w:rsid w:val="00E668AE"/>
    <w:rsid w:val="00ED43FF"/>
    <w:rsid w:val="00ED466E"/>
    <w:rsid w:val="00F129C1"/>
    <w:rsid w:val="00F23B18"/>
    <w:rsid w:val="00F252B9"/>
    <w:rsid w:val="00F678C1"/>
    <w:rsid w:val="00F76EF3"/>
    <w:rsid w:val="00F92344"/>
    <w:rsid w:val="00FB0EC9"/>
    <w:rsid w:val="00FC3EC9"/>
    <w:rsid w:val="00FC7E9B"/>
    <w:rsid w:val="00FE2BBC"/>
    <w:rsid w:val="0100415F"/>
    <w:rsid w:val="01DC002D"/>
    <w:rsid w:val="04B010ED"/>
    <w:rsid w:val="06BE1B1F"/>
    <w:rsid w:val="096842FC"/>
    <w:rsid w:val="09FB251E"/>
    <w:rsid w:val="0AC8886D"/>
    <w:rsid w:val="0C2530C3"/>
    <w:rsid w:val="0EFF598C"/>
    <w:rsid w:val="0F5FFD80"/>
    <w:rsid w:val="10B92188"/>
    <w:rsid w:val="1174C5E4"/>
    <w:rsid w:val="11BDBF97"/>
    <w:rsid w:val="1471BF42"/>
    <w:rsid w:val="18FBCF7A"/>
    <w:rsid w:val="198CCB76"/>
    <w:rsid w:val="1A0D19BB"/>
    <w:rsid w:val="1D1F6BE6"/>
    <w:rsid w:val="1FE97776"/>
    <w:rsid w:val="202FDC83"/>
    <w:rsid w:val="20DDBA11"/>
    <w:rsid w:val="23A738CC"/>
    <w:rsid w:val="24A32C4D"/>
    <w:rsid w:val="287F1024"/>
    <w:rsid w:val="289F14A9"/>
    <w:rsid w:val="2BF2C030"/>
    <w:rsid w:val="2C7CB212"/>
    <w:rsid w:val="2CDE062F"/>
    <w:rsid w:val="2FFAC0CC"/>
    <w:rsid w:val="306CB683"/>
    <w:rsid w:val="33CD17B0"/>
    <w:rsid w:val="3422F52B"/>
    <w:rsid w:val="376A9B59"/>
    <w:rsid w:val="3AA8081E"/>
    <w:rsid w:val="3B76FF0A"/>
    <w:rsid w:val="3B8CC5CE"/>
    <w:rsid w:val="3D33F8E9"/>
    <w:rsid w:val="3F185966"/>
    <w:rsid w:val="41822654"/>
    <w:rsid w:val="42A8890F"/>
    <w:rsid w:val="4302B032"/>
    <w:rsid w:val="44864820"/>
    <w:rsid w:val="44C1124C"/>
    <w:rsid w:val="453707B0"/>
    <w:rsid w:val="4553DA0D"/>
    <w:rsid w:val="4563E165"/>
    <w:rsid w:val="4747D3C5"/>
    <w:rsid w:val="483E9407"/>
    <w:rsid w:val="48739C6D"/>
    <w:rsid w:val="48DFAF18"/>
    <w:rsid w:val="4B132572"/>
    <w:rsid w:val="500493CF"/>
    <w:rsid w:val="52BCA5FD"/>
    <w:rsid w:val="52E696C5"/>
    <w:rsid w:val="5462FC3F"/>
    <w:rsid w:val="54B79C6F"/>
    <w:rsid w:val="55B5E258"/>
    <w:rsid w:val="56716255"/>
    <w:rsid w:val="576A7B44"/>
    <w:rsid w:val="583B038F"/>
    <w:rsid w:val="5853F9AD"/>
    <w:rsid w:val="58B8B27D"/>
    <w:rsid w:val="59BC19BB"/>
    <w:rsid w:val="5A1DF27E"/>
    <w:rsid w:val="5EE80E45"/>
    <w:rsid w:val="629B6614"/>
    <w:rsid w:val="63967A8F"/>
    <w:rsid w:val="64C350C5"/>
    <w:rsid w:val="64EA0A95"/>
    <w:rsid w:val="65C24675"/>
    <w:rsid w:val="67889BDE"/>
    <w:rsid w:val="699117E2"/>
    <w:rsid w:val="69DB2AD4"/>
    <w:rsid w:val="6BD45ED3"/>
    <w:rsid w:val="6C4AF655"/>
    <w:rsid w:val="6C6E0A79"/>
    <w:rsid w:val="6DEA0DDE"/>
    <w:rsid w:val="6EADD0A5"/>
    <w:rsid w:val="70DD3272"/>
    <w:rsid w:val="71AD888F"/>
    <w:rsid w:val="71D68968"/>
    <w:rsid w:val="71EEC7EE"/>
    <w:rsid w:val="72CA5AD2"/>
    <w:rsid w:val="73F30BCE"/>
    <w:rsid w:val="74246113"/>
    <w:rsid w:val="74686D2C"/>
    <w:rsid w:val="7706127E"/>
    <w:rsid w:val="7816FA20"/>
    <w:rsid w:val="78D848DE"/>
    <w:rsid w:val="7B2792B6"/>
    <w:rsid w:val="7BE464CE"/>
    <w:rsid w:val="7C6583D8"/>
    <w:rsid w:val="7F3A0EE6"/>
    <w:rsid w:val="7FD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D6E67A22-D389-4801-9D0D-1FE635D7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6BA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6BA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6BA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648AB"/>
    <w:rPr>
      <w:color w:val="0563C1"/>
      <w:u w:val="single"/>
    </w:rPr>
  </w:style>
  <w:style w:type="table" w:styleId="TableGrid">
    <w:name w:val="Table Grid"/>
    <w:basedOn w:val="TableNormal"/>
    <w:uiPriority w:val="59"/>
    <w:rsid w:val="001C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26BA"/>
    <w:pPr>
      <w:spacing w:after="0" w:line="240" w:lineRule="auto"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uiPriority w:val="9"/>
    <w:rsid w:val="000226BA"/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6BA"/>
    <w:rPr>
      <w:rFonts w:ascii="Calibri" w:eastAsiaTheme="majorEastAsia" w:hAnsi="Calibr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226B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6BA"/>
    <w:rPr>
      <w:rFonts w:ascii="Calibri" w:eastAsiaTheme="majorEastAsia" w:hAnsi="Calibr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B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26B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0226BA"/>
    <w:rPr>
      <w:rFonts w:ascii="Calibri" w:hAnsi="Calibri"/>
      <w:b/>
      <w:i/>
      <w:iCs/>
      <w:color w:val="404040" w:themeColor="text1" w:themeTint="BF"/>
      <w:sz w:val="22"/>
    </w:rPr>
  </w:style>
  <w:style w:type="table" w:styleId="ListTable4-Accent2">
    <w:name w:val="List Table 4 Accent 2"/>
    <w:basedOn w:val="TableNormal"/>
    <w:uiPriority w:val="49"/>
    <w:rsid w:val="00E668A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E668A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D466E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ListTable3-Accent6">
    <w:name w:val="List Table 3 Accent 6"/>
    <w:basedOn w:val="TableNormal"/>
    <w:uiPriority w:val="48"/>
    <w:rsid w:val="00ED466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D5F21-B349-456D-BEA3-D2D374C41541}"/>
</file>

<file path=customXml/itemProps4.xml><?xml version="1.0" encoding="utf-8"?>
<ds:datastoreItem xmlns:ds="http://schemas.openxmlformats.org/officeDocument/2006/customXml" ds:itemID="{917EAD7F-E91A-4245-81EC-D1C5FF21815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B6D9266-624F-4203-8771-C201B35C8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keywords/>
  <cp:lastModifiedBy>Leyun Kong</cp:lastModifiedBy>
  <cp:revision>6</cp:revision>
  <dcterms:created xsi:type="dcterms:W3CDTF">2020-12-15T16:49:00Z</dcterms:created>
  <dcterms:modified xsi:type="dcterms:W3CDTF">2020-12-18T15:41:00Z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1e7ee7c0-1b23-4192-821d-a3aec519f229_Enabled">
    <vt:lpwstr>true</vt:lpwstr>
  </property>
  <property fmtid="{D5CDD505-2E9C-101B-9397-08002B2CF9AE}" pid="37" name="MSIP_Label_1e7ee7c0-1b23-4192-821d-a3aec519f229_SetDate">
    <vt:lpwstr>2020-12-02T08:05:08Z</vt:lpwstr>
  </property>
  <property fmtid="{D5CDD505-2E9C-101B-9397-08002B2CF9AE}" pid="38" name="MSIP_Label_1e7ee7c0-1b23-4192-821d-a3aec519f229_Method">
    <vt:lpwstr>Privileged</vt:lpwstr>
  </property>
  <property fmtid="{D5CDD505-2E9C-101B-9397-08002B2CF9AE}" pid="39" name="MSIP_Label_1e7ee7c0-1b23-4192-821d-a3aec519f229_Name">
    <vt:lpwstr>1e7ee7c0-1b23-4192-821d-a3aec519f229</vt:lpwstr>
  </property>
  <property fmtid="{D5CDD505-2E9C-101B-9397-08002B2CF9AE}" pid="40" name="MSIP_Label_1e7ee7c0-1b23-4192-821d-a3aec519f229_SiteId">
    <vt:lpwstr>b9563cbc-9874-41ab-b448-7e0f61aff3eb</vt:lpwstr>
  </property>
  <property fmtid="{D5CDD505-2E9C-101B-9397-08002B2CF9AE}" pid="41" name="MSIP_Label_1e7ee7c0-1b23-4192-821d-a3aec519f229_ActionId">
    <vt:lpwstr>f1508219-a745-40c1-8c5a-0000659a600d</vt:lpwstr>
  </property>
  <property fmtid="{D5CDD505-2E9C-101B-9397-08002B2CF9AE}" pid="42" name="MSIP_Label_1e7ee7c0-1b23-4192-821d-a3aec519f229_ContentBits">
    <vt:lpwstr>2</vt:lpwstr>
  </property>
  <property fmtid="{D5CDD505-2E9C-101B-9397-08002B2CF9AE}" pid="43" name="bjClsUserRVM">
    <vt:lpwstr>[]</vt:lpwstr>
  </property>
</Properties>
</file>