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349"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
        <w:gridCol w:w="1951"/>
        <w:gridCol w:w="7723"/>
        <w:gridCol w:w="216"/>
      </w:tblGrid>
      <w:tr w:rsidR="00133BD9" w:rsidRPr="00DE28D2" w14:paraId="373E21CB" w14:textId="77777777" w:rsidTr="00104D49">
        <w:trPr>
          <w:gridBefore w:val="1"/>
          <w:gridAfter w:val="1"/>
          <w:wBefore w:w="459" w:type="dxa"/>
          <w:wAfter w:w="216" w:type="dxa"/>
          <w:trHeight w:val="315"/>
        </w:trPr>
        <w:tc>
          <w:tcPr>
            <w:tcW w:w="9674" w:type="dxa"/>
            <w:gridSpan w:val="2"/>
            <w:tcBorders>
              <w:top w:val="nil"/>
              <w:left w:val="nil"/>
              <w:bottom w:val="nil"/>
              <w:right w:val="nil"/>
            </w:tcBorders>
            <w:shd w:val="clear" w:color="auto" w:fill="auto"/>
            <w:noWrap/>
            <w:vAlign w:val="center"/>
            <w:hideMark/>
          </w:tcPr>
          <w:p w14:paraId="373E21CA" w14:textId="7D842FC4" w:rsidR="00133BD9" w:rsidRPr="00DE28D2" w:rsidRDefault="00386B68" w:rsidP="00B378CC">
            <w:pPr>
              <w:rPr>
                <w:rFonts w:asciiTheme="minorHAnsi" w:hAnsiTheme="minorHAnsi" w:cs="Arial"/>
                <w:b/>
                <w:bCs/>
                <w:sz w:val="22"/>
              </w:rPr>
            </w:pPr>
            <w:r w:rsidRPr="00DE28D2">
              <w:rPr>
                <w:rFonts w:asciiTheme="minorHAnsi" w:hAnsiTheme="minorHAnsi" w:cs="Arial"/>
                <w:b/>
                <w:bCs/>
                <w:sz w:val="22"/>
              </w:rPr>
              <w:t>SGN</w:t>
            </w:r>
            <w:r w:rsidR="00B378CC" w:rsidRPr="00DE28D2">
              <w:rPr>
                <w:rFonts w:asciiTheme="minorHAnsi" w:hAnsiTheme="minorHAnsi" w:cs="Arial"/>
                <w:b/>
                <w:bCs/>
                <w:sz w:val="22"/>
              </w:rPr>
              <w:t xml:space="preserve"> </w:t>
            </w:r>
            <w:r w:rsidR="000E5B6D" w:rsidRPr="00DE28D2">
              <w:rPr>
                <w:rFonts w:asciiTheme="minorHAnsi" w:hAnsiTheme="minorHAnsi" w:cs="Arial"/>
                <w:b/>
                <w:bCs/>
                <w:sz w:val="22"/>
              </w:rPr>
              <w:t>Final</w:t>
            </w:r>
            <w:r w:rsidR="002E3EFB" w:rsidRPr="00DE28D2">
              <w:rPr>
                <w:rFonts w:asciiTheme="minorHAnsi" w:hAnsiTheme="minorHAnsi" w:cs="Arial"/>
                <w:b/>
                <w:bCs/>
                <w:sz w:val="22"/>
              </w:rPr>
              <w:t xml:space="preserve"> Determination</w:t>
            </w:r>
            <w:r w:rsidR="00A0584E" w:rsidRPr="00DE28D2">
              <w:rPr>
                <w:rFonts w:asciiTheme="minorHAnsi" w:hAnsiTheme="minorHAnsi" w:cs="Arial"/>
                <w:b/>
                <w:bCs/>
                <w:sz w:val="22"/>
              </w:rPr>
              <w:t xml:space="preserve"> </w:t>
            </w:r>
          </w:p>
        </w:tc>
      </w:tr>
      <w:tr w:rsidR="00133BD9" w:rsidRPr="00DE28D2" w14:paraId="373E21CD" w14:textId="77777777" w:rsidTr="00104D49">
        <w:trPr>
          <w:trHeight w:val="315"/>
        </w:trPr>
        <w:tc>
          <w:tcPr>
            <w:tcW w:w="10349" w:type="dxa"/>
            <w:gridSpan w:val="4"/>
            <w:tcBorders>
              <w:top w:val="nil"/>
              <w:left w:val="nil"/>
              <w:right w:val="nil"/>
            </w:tcBorders>
            <w:shd w:val="clear" w:color="auto" w:fill="auto"/>
            <w:noWrap/>
            <w:vAlign w:val="center"/>
            <w:hideMark/>
          </w:tcPr>
          <w:p w14:paraId="373E21CC" w14:textId="1E41FD06" w:rsidR="00BB682C" w:rsidRPr="00DE28D2" w:rsidRDefault="003F465C" w:rsidP="002E3EFB">
            <w:pPr>
              <w:rPr>
                <w:rFonts w:asciiTheme="minorHAnsi" w:hAnsiTheme="minorHAnsi" w:cs="Arial"/>
                <w:b/>
                <w:bCs/>
                <w:sz w:val="22"/>
              </w:rPr>
            </w:pPr>
            <w:r w:rsidRPr="00DE28D2">
              <w:rPr>
                <w:rFonts w:asciiTheme="minorHAnsi" w:hAnsiTheme="minorHAnsi" w:cs="Arial"/>
                <w:b/>
                <w:bCs/>
                <w:sz w:val="22"/>
              </w:rPr>
              <w:t>F</w:t>
            </w:r>
            <w:r w:rsidR="00D81399" w:rsidRPr="00DE28D2">
              <w:rPr>
                <w:rFonts w:asciiTheme="minorHAnsi" w:hAnsiTheme="minorHAnsi" w:cs="Arial"/>
                <w:b/>
                <w:bCs/>
                <w:sz w:val="22"/>
              </w:rPr>
              <w:t>D</w:t>
            </w:r>
            <w:r w:rsidRPr="00DE28D2">
              <w:rPr>
                <w:rFonts w:asciiTheme="minorHAnsi" w:hAnsiTheme="minorHAnsi" w:cs="Arial"/>
                <w:b/>
                <w:bCs/>
                <w:sz w:val="22"/>
              </w:rPr>
              <w:t>Q</w:t>
            </w:r>
            <w:r w:rsidR="00D81399" w:rsidRPr="00DE28D2">
              <w:rPr>
                <w:rFonts w:asciiTheme="minorHAnsi" w:hAnsiTheme="minorHAnsi" w:cs="Arial"/>
                <w:b/>
                <w:bCs/>
                <w:sz w:val="22"/>
              </w:rPr>
              <w:t xml:space="preserve"> Q</w:t>
            </w:r>
            <w:r w:rsidR="00133BD9" w:rsidRPr="00DE28D2">
              <w:rPr>
                <w:rFonts w:asciiTheme="minorHAnsi" w:hAnsiTheme="minorHAnsi" w:cs="Arial"/>
                <w:b/>
                <w:bCs/>
                <w:sz w:val="22"/>
              </w:rPr>
              <w:t>u</w:t>
            </w:r>
            <w:r w:rsidR="00F20F23" w:rsidRPr="00DE28D2">
              <w:rPr>
                <w:rFonts w:asciiTheme="minorHAnsi" w:hAnsiTheme="minorHAnsi" w:cs="Arial"/>
                <w:b/>
                <w:bCs/>
                <w:sz w:val="22"/>
              </w:rPr>
              <w:t>ery</w:t>
            </w:r>
            <w:r w:rsidR="00133BD9" w:rsidRPr="00DE28D2">
              <w:rPr>
                <w:rFonts w:asciiTheme="minorHAnsi" w:hAnsiTheme="minorHAnsi" w:cs="Arial"/>
                <w:b/>
                <w:bCs/>
                <w:sz w:val="22"/>
              </w:rPr>
              <w:t xml:space="preserve"> </w:t>
            </w:r>
          </w:p>
        </w:tc>
      </w:tr>
      <w:tr w:rsidR="00133BD9" w:rsidRPr="00DE28D2" w14:paraId="373E21D0" w14:textId="77777777" w:rsidTr="00104D49">
        <w:trPr>
          <w:trHeight w:hRule="exact" w:val="340"/>
        </w:trPr>
        <w:tc>
          <w:tcPr>
            <w:tcW w:w="2410" w:type="dxa"/>
            <w:gridSpan w:val="2"/>
            <w:shd w:val="clear" w:color="auto" w:fill="auto"/>
            <w:vAlign w:val="center"/>
            <w:hideMark/>
          </w:tcPr>
          <w:p w14:paraId="373E21CE" w14:textId="2E946EF1" w:rsidR="00133BD9" w:rsidRPr="00DE28D2" w:rsidRDefault="00133BD9" w:rsidP="00A06191">
            <w:pPr>
              <w:rPr>
                <w:rFonts w:asciiTheme="minorHAnsi" w:hAnsiTheme="minorHAnsi" w:cs="Arial"/>
                <w:b/>
                <w:bCs/>
                <w:sz w:val="22"/>
              </w:rPr>
            </w:pPr>
            <w:r w:rsidRPr="00DE28D2">
              <w:rPr>
                <w:rFonts w:asciiTheme="minorHAnsi" w:hAnsiTheme="minorHAnsi" w:cs="Arial"/>
                <w:b/>
                <w:bCs/>
                <w:sz w:val="22"/>
              </w:rPr>
              <w:t>Reference</w:t>
            </w:r>
            <w:r w:rsidR="00A06191" w:rsidRPr="00DE28D2">
              <w:rPr>
                <w:rFonts w:asciiTheme="minorHAnsi" w:hAnsiTheme="minorHAnsi" w:cs="Arial"/>
                <w:b/>
                <w:bCs/>
                <w:sz w:val="22"/>
              </w:rPr>
              <w:t xml:space="preserve"> number</w:t>
            </w:r>
          </w:p>
        </w:tc>
        <w:tc>
          <w:tcPr>
            <w:tcW w:w="7939" w:type="dxa"/>
            <w:gridSpan w:val="2"/>
            <w:shd w:val="clear" w:color="auto" w:fill="auto"/>
            <w:vAlign w:val="center"/>
          </w:tcPr>
          <w:p w14:paraId="373E21CF" w14:textId="723E4275" w:rsidR="00F266D1" w:rsidRPr="00DE28D2" w:rsidRDefault="00F266D1" w:rsidP="00A0584E">
            <w:pPr>
              <w:rPr>
                <w:rFonts w:asciiTheme="minorHAnsi" w:hAnsiTheme="minorHAnsi" w:cs="Arial"/>
                <w:color w:val="FF0000"/>
                <w:sz w:val="22"/>
              </w:rPr>
            </w:pPr>
            <w:r w:rsidRPr="00521A46">
              <w:rPr>
                <w:rFonts w:asciiTheme="minorHAnsi" w:hAnsiTheme="minorHAnsi"/>
                <w:sz w:val="22"/>
              </w:rPr>
              <w:t>SGN_FDQ_001</w:t>
            </w:r>
          </w:p>
        </w:tc>
      </w:tr>
      <w:tr w:rsidR="00A06191" w:rsidRPr="00DE28D2" w14:paraId="373E21D3" w14:textId="77777777" w:rsidTr="00104D49">
        <w:trPr>
          <w:trHeight w:hRule="exact" w:val="340"/>
        </w:trPr>
        <w:tc>
          <w:tcPr>
            <w:tcW w:w="2410" w:type="dxa"/>
            <w:gridSpan w:val="2"/>
            <w:shd w:val="clear" w:color="auto" w:fill="auto"/>
            <w:vAlign w:val="center"/>
          </w:tcPr>
          <w:p w14:paraId="373E21D1" w14:textId="66662880" w:rsidR="00A06191" w:rsidRPr="00DE28D2" w:rsidRDefault="00EE1C79" w:rsidP="00A0584E">
            <w:pPr>
              <w:rPr>
                <w:rFonts w:asciiTheme="minorHAnsi" w:hAnsiTheme="minorHAnsi" w:cs="Arial"/>
                <w:b/>
                <w:bCs/>
                <w:sz w:val="22"/>
              </w:rPr>
            </w:pPr>
            <w:r w:rsidRPr="00DE28D2">
              <w:rPr>
                <w:rFonts w:asciiTheme="minorHAnsi" w:hAnsiTheme="minorHAnsi" w:cs="Arial"/>
                <w:b/>
                <w:bCs/>
                <w:sz w:val="22"/>
              </w:rPr>
              <w:t>Document Name</w:t>
            </w:r>
          </w:p>
        </w:tc>
        <w:tc>
          <w:tcPr>
            <w:tcW w:w="7939" w:type="dxa"/>
            <w:gridSpan w:val="2"/>
            <w:shd w:val="clear" w:color="auto" w:fill="auto"/>
            <w:vAlign w:val="center"/>
          </w:tcPr>
          <w:p w14:paraId="373E21D2" w14:textId="23F93ECB" w:rsidR="00A06191" w:rsidRPr="00DE28D2" w:rsidRDefault="00004B8C" w:rsidP="00A0584E">
            <w:pPr>
              <w:rPr>
                <w:rFonts w:asciiTheme="minorHAnsi" w:hAnsiTheme="minorHAnsi" w:cs="Arial"/>
                <w:sz w:val="22"/>
              </w:rPr>
            </w:pPr>
            <w:r w:rsidRPr="00DE28D2">
              <w:rPr>
                <w:rFonts w:asciiTheme="minorHAnsi" w:hAnsiTheme="minorHAnsi"/>
                <w:sz w:val="22"/>
              </w:rPr>
              <w:t>RIIO-2 Final Determinations – Finance Annex</w:t>
            </w:r>
          </w:p>
        </w:tc>
      </w:tr>
      <w:tr w:rsidR="00A06191" w:rsidRPr="00DE28D2" w14:paraId="373E21D6" w14:textId="77777777" w:rsidTr="00104D49">
        <w:trPr>
          <w:trHeight w:hRule="exact" w:val="340"/>
        </w:trPr>
        <w:tc>
          <w:tcPr>
            <w:tcW w:w="2410" w:type="dxa"/>
            <w:gridSpan w:val="2"/>
            <w:shd w:val="clear" w:color="auto" w:fill="auto"/>
            <w:vAlign w:val="center"/>
          </w:tcPr>
          <w:p w14:paraId="373E21D4" w14:textId="77777777" w:rsidR="00A06191" w:rsidRPr="00DE28D2" w:rsidRDefault="00A06191" w:rsidP="00945C7C">
            <w:pPr>
              <w:rPr>
                <w:rFonts w:asciiTheme="minorHAnsi" w:hAnsiTheme="minorHAnsi" w:cs="Arial"/>
                <w:b/>
                <w:bCs/>
                <w:sz w:val="22"/>
              </w:rPr>
            </w:pPr>
            <w:r w:rsidRPr="00DE28D2">
              <w:rPr>
                <w:rFonts w:asciiTheme="minorHAnsi" w:hAnsiTheme="minorHAnsi" w:cs="Arial"/>
                <w:b/>
                <w:bCs/>
                <w:sz w:val="22"/>
              </w:rPr>
              <w:t>Topic/Activity:</w:t>
            </w:r>
          </w:p>
        </w:tc>
        <w:tc>
          <w:tcPr>
            <w:tcW w:w="7939" w:type="dxa"/>
            <w:gridSpan w:val="2"/>
            <w:shd w:val="clear" w:color="auto" w:fill="auto"/>
            <w:vAlign w:val="center"/>
          </w:tcPr>
          <w:p w14:paraId="373E21D5" w14:textId="2BEAB9D4" w:rsidR="00A06191" w:rsidRPr="00DE28D2" w:rsidRDefault="00D22A70" w:rsidP="0060723D">
            <w:pPr>
              <w:rPr>
                <w:rFonts w:asciiTheme="minorHAnsi" w:hAnsiTheme="minorHAnsi" w:cs="Arial"/>
                <w:sz w:val="22"/>
              </w:rPr>
            </w:pPr>
            <w:r w:rsidRPr="00DE28D2">
              <w:rPr>
                <w:rFonts w:asciiTheme="minorHAnsi" w:hAnsiTheme="minorHAnsi" w:cs="Arial"/>
                <w:sz w:val="22"/>
              </w:rPr>
              <w:t>Financial calculations</w:t>
            </w:r>
          </w:p>
        </w:tc>
      </w:tr>
      <w:tr w:rsidR="00A06191" w:rsidRPr="00DE28D2" w14:paraId="373E21D9" w14:textId="77777777" w:rsidTr="00104D49">
        <w:trPr>
          <w:trHeight w:val="127"/>
        </w:trPr>
        <w:tc>
          <w:tcPr>
            <w:tcW w:w="2410" w:type="dxa"/>
            <w:gridSpan w:val="2"/>
            <w:shd w:val="clear" w:color="auto" w:fill="auto"/>
            <w:vAlign w:val="center"/>
          </w:tcPr>
          <w:p w14:paraId="373E21D7" w14:textId="77777777" w:rsidR="00A06191" w:rsidRPr="00DE28D2" w:rsidRDefault="00A06191" w:rsidP="00945C7C">
            <w:pPr>
              <w:rPr>
                <w:rFonts w:asciiTheme="minorHAnsi" w:hAnsiTheme="minorHAnsi" w:cs="Arial"/>
                <w:b/>
                <w:bCs/>
                <w:sz w:val="22"/>
              </w:rPr>
            </w:pPr>
            <w:r w:rsidRPr="00DE28D2">
              <w:rPr>
                <w:rFonts w:asciiTheme="minorHAnsi" w:hAnsiTheme="minorHAnsi" w:cs="Arial"/>
                <w:b/>
                <w:bCs/>
                <w:sz w:val="22"/>
              </w:rPr>
              <w:t>Question:</w:t>
            </w:r>
          </w:p>
        </w:tc>
        <w:tc>
          <w:tcPr>
            <w:tcW w:w="7939" w:type="dxa"/>
            <w:gridSpan w:val="2"/>
            <w:shd w:val="clear" w:color="auto" w:fill="auto"/>
            <w:vAlign w:val="center"/>
          </w:tcPr>
          <w:p w14:paraId="35C70A1D" w14:textId="77777777" w:rsidR="00004B8C" w:rsidRPr="00DE28D2" w:rsidRDefault="00004B8C" w:rsidP="00004B8C">
            <w:pPr>
              <w:pStyle w:val="xmsonormal"/>
              <w:rPr>
                <w:rFonts w:asciiTheme="minorHAnsi" w:hAnsiTheme="minorHAnsi"/>
              </w:rPr>
            </w:pPr>
            <w:r w:rsidRPr="00DE28D2">
              <w:rPr>
                <w:rFonts w:asciiTheme="minorHAnsi" w:hAnsiTheme="minorHAnsi"/>
              </w:rPr>
              <w:t> </w:t>
            </w:r>
          </w:p>
          <w:p w14:paraId="2FDBC803" w14:textId="77777777" w:rsidR="00004B8C" w:rsidRPr="00DE28D2" w:rsidRDefault="00004B8C" w:rsidP="00004B8C">
            <w:pPr>
              <w:pStyle w:val="xmsonormal"/>
              <w:rPr>
                <w:rFonts w:asciiTheme="minorHAnsi" w:hAnsiTheme="minorHAnsi"/>
              </w:rPr>
            </w:pPr>
            <w:r w:rsidRPr="00DE28D2">
              <w:rPr>
                <w:rFonts w:asciiTheme="minorHAnsi" w:hAnsiTheme="minorHAnsi"/>
              </w:rPr>
              <w:t>Set out in the document ‘</w:t>
            </w:r>
            <w:r w:rsidRPr="00DE28D2">
              <w:rPr>
                <w:rFonts w:asciiTheme="minorHAnsi" w:hAnsiTheme="minorHAnsi"/>
                <w:i/>
                <w:iCs/>
              </w:rPr>
              <w:t>RIIO-2 Final Determinations – Finance Annex</w:t>
            </w:r>
            <w:r w:rsidRPr="00DE28D2">
              <w:rPr>
                <w:rFonts w:asciiTheme="minorHAnsi" w:hAnsiTheme="minorHAnsi"/>
              </w:rPr>
              <w:t>’ (published on 8 December 2020) are a number of Ofgem’s findings and conclusions. We would like to request the underlying files containing the analyses that support those findings listed below:</w:t>
            </w:r>
          </w:p>
          <w:p w14:paraId="1D94EDE3" w14:textId="77777777" w:rsidR="00004B8C" w:rsidRPr="00DE28D2" w:rsidRDefault="00004B8C" w:rsidP="00004B8C">
            <w:pPr>
              <w:pStyle w:val="xmsolistparagraph"/>
              <w:numPr>
                <w:ilvl w:val="0"/>
                <w:numId w:val="6"/>
              </w:numPr>
              <w:rPr>
                <w:rFonts w:asciiTheme="minorHAnsi" w:eastAsia="Times New Roman" w:hAnsiTheme="minorHAnsi"/>
              </w:rPr>
            </w:pPr>
            <w:r w:rsidRPr="00DE28D2">
              <w:rPr>
                <w:rFonts w:asciiTheme="minorHAnsi" w:eastAsia="Times New Roman" w:hAnsiTheme="minorHAnsi"/>
                <w:b/>
                <w:bCs/>
              </w:rPr>
              <w:t>Supporting analysis of the Halo Effect:</w:t>
            </w:r>
            <w:r w:rsidRPr="00DE28D2">
              <w:rPr>
                <w:rFonts w:asciiTheme="minorHAnsi" w:eastAsia="Times New Roman" w:hAnsiTheme="minorHAnsi"/>
              </w:rPr>
              <w:t xml:space="preserve"> ‘</w:t>
            </w:r>
            <w:r w:rsidRPr="00DE28D2">
              <w:rPr>
                <w:rFonts w:asciiTheme="minorHAnsi" w:eastAsia="Times New Roman" w:hAnsiTheme="minorHAnsi"/>
                <w:i/>
                <w:iCs/>
              </w:rPr>
              <w:t>Our own analysis continues to find a small positive halo (i.e. an outperformance of the index rather than an issuance premium)’</w:t>
            </w:r>
            <w:r w:rsidRPr="00DE28D2">
              <w:rPr>
                <w:rFonts w:asciiTheme="minorHAnsi" w:eastAsia="Times New Roman" w:hAnsiTheme="minorHAnsi"/>
              </w:rPr>
              <w:t xml:space="preserve"> (p.13, para.2.22)</w:t>
            </w:r>
          </w:p>
          <w:p w14:paraId="7576EC49" w14:textId="77777777" w:rsidR="00004B8C" w:rsidRPr="00DE28D2" w:rsidRDefault="00004B8C" w:rsidP="00004B8C">
            <w:pPr>
              <w:pStyle w:val="xmsolistparagraph"/>
              <w:numPr>
                <w:ilvl w:val="0"/>
                <w:numId w:val="6"/>
              </w:numPr>
              <w:rPr>
                <w:rFonts w:asciiTheme="minorHAnsi" w:eastAsia="Times New Roman" w:hAnsiTheme="minorHAnsi"/>
              </w:rPr>
            </w:pPr>
            <w:r w:rsidRPr="00DE28D2">
              <w:rPr>
                <w:rFonts w:asciiTheme="minorHAnsi" w:eastAsia="Times New Roman" w:hAnsiTheme="minorHAnsi"/>
                <w:b/>
                <w:bCs/>
              </w:rPr>
              <w:t xml:space="preserve">Conceptual approach cross-check: </w:t>
            </w:r>
            <w:r w:rsidRPr="00DE28D2">
              <w:rPr>
                <w:rFonts w:asciiTheme="minorHAnsi" w:eastAsia="Times New Roman" w:hAnsiTheme="minorHAnsi"/>
              </w:rPr>
              <w:t>‘</w:t>
            </w:r>
            <w:r w:rsidRPr="00DE28D2">
              <w:rPr>
                <w:rFonts w:asciiTheme="minorHAnsi" w:eastAsia="Times New Roman" w:hAnsiTheme="minorHAnsi"/>
                <w:i/>
                <w:iCs/>
              </w:rPr>
              <w:t>The results of this conceptual approach are that if RAV growth is based on the Ofgem FD totex the debt allowance forecast would be 1.84%-1.91% on average over RIIO-2 for 15%-10% floating rate debt assumptions. If RAV growth is based on the Net Zero 2 totex scenario the allowance would be 1.77%-1.84% for 15%-10% floating rate debt assumptions’</w:t>
            </w:r>
            <w:r w:rsidRPr="00DE28D2">
              <w:rPr>
                <w:rFonts w:asciiTheme="minorHAnsi" w:eastAsia="Times New Roman" w:hAnsiTheme="minorHAnsi"/>
              </w:rPr>
              <w:t xml:space="preserve"> (p.21, para. 2.53)</w:t>
            </w:r>
          </w:p>
          <w:p w14:paraId="6E53B004" w14:textId="77777777" w:rsidR="00004B8C" w:rsidRPr="00DE28D2" w:rsidRDefault="00004B8C" w:rsidP="00004B8C">
            <w:pPr>
              <w:pStyle w:val="xmsolistparagraph"/>
              <w:numPr>
                <w:ilvl w:val="0"/>
                <w:numId w:val="6"/>
              </w:numPr>
              <w:rPr>
                <w:rFonts w:asciiTheme="minorHAnsi" w:eastAsia="Times New Roman" w:hAnsiTheme="minorHAnsi"/>
              </w:rPr>
            </w:pPr>
            <w:r w:rsidRPr="00DE28D2">
              <w:rPr>
                <w:rFonts w:asciiTheme="minorHAnsi" w:eastAsia="Times New Roman" w:hAnsiTheme="minorHAnsi"/>
                <w:b/>
                <w:bCs/>
              </w:rPr>
              <w:t>Table 8: RFR estimates (October 2020)</w:t>
            </w:r>
            <w:r w:rsidRPr="00DE28D2">
              <w:rPr>
                <w:rFonts w:asciiTheme="minorHAnsi" w:eastAsia="Times New Roman" w:hAnsiTheme="minorHAnsi"/>
              </w:rPr>
              <w:t xml:space="preserve"> (p.30)</w:t>
            </w:r>
          </w:p>
          <w:p w14:paraId="2B2FD244" w14:textId="1A74E103" w:rsidR="00004B8C" w:rsidRPr="00DE28D2" w:rsidRDefault="00004B8C" w:rsidP="00004B8C">
            <w:pPr>
              <w:pStyle w:val="xmsolistparagraph"/>
              <w:numPr>
                <w:ilvl w:val="0"/>
                <w:numId w:val="6"/>
              </w:numPr>
              <w:rPr>
                <w:rFonts w:asciiTheme="minorHAnsi" w:eastAsia="Times New Roman" w:hAnsiTheme="minorHAnsi"/>
              </w:rPr>
            </w:pPr>
            <w:r w:rsidRPr="00DE28D2">
              <w:rPr>
                <w:rFonts w:asciiTheme="minorHAnsi" w:eastAsia="Times New Roman" w:hAnsiTheme="minorHAnsi"/>
                <w:b/>
                <w:bCs/>
              </w:rPr>
              <w:t>Table 10: Unlevered betas to Oct 2020 using OLS estimation, (debt beta of 0)</w:t>
            </w:r>
            <w:r w:rsidRPr="00DE28D2">
              <w:rPr>
                <w:rFonts w:asciiTheme="minorHAnsi" w:eastAsia="Times New Roman" w:hAnsiTheme="minorHAnsi"/>
              </w:rPr>
              <w:t xml:space="preserve"> (p.42)</w:t>
            </w:r>
          </w:p>
          <w:p w14:paraId="373E21D8" w14:textId="66A655F9" w:rsidR="00A0584E" w:rsidRPr="00DE28D2" w:rsidRDefault="00A0584E" w:rsidP="00004B8C">
            <w:pPr>
              <w:pStyle w:val="xmsonormal"/>
              <w:rPr>
                <w:rFonts w:asciiTheme="minorHAnsi" w:hAnsiTheme="minorHAnsi" w:cs="Arial"/>
              </w:rPr>
            </w:pPr>
          </w:p>
        </w:tc>
      </w:tr>
      <w:tr w:rsidR="005927B6" w:rsidRPr="00DE28D2" w14:paraId="5689E132" w14:textId="77777777" w:rsidTr="00104D49">
        <w:trPr>
          <w:trHeight w:hRule="exact" w:val="340"/>
        </w:trPr>
        <w:tc>
          <w:tcPr>
            <w:tcW w:w="2410" w:type="dxa"/>
            <w:gridSpan w:val="2"/>
            <w:shd w:val="clear" w:color="auto" w:fill="auto"/>
            <w:vAlign w:val="center"/>
          </w:tcPr>
          <w:p w14:paraId="00E00379" w14:textId="0380BCDB" w:rsidR="005927B6" w:rsidRPr="00DE28D2" w:rsidRDefault="005927B6" w:rsidP="00945C7C">
            <w:pPr>
              <w:rPr>
                <w:rFonts w:asciiTheme="minorHAnsi" w:hAnsiTheme="minorHAnsi" w:cs="Arial"/>
                <w:b/>
                <w:bCs/>
                <w:sz w:val="22"/>
              </w:rPr>
            </w:pPr>
            <w:r w:rsidRPr="00DE28D2">
              <w:rPr>
                <w:rFonts w:asciiTheme="minorHAnsi" w:hAnsiTheme="minorHAnsi" w:cs="Arial"/>
                <w:b/>
                <w:bCs/>
                <w:sz w:val="22"/>
              </w:rPr>
              <w:t>Confidential</w:t>
            </w:r>
          </w:p>
        </w:tc>
        <w:tc>
          <w:tcPr>
            <w:tcW w:w="7939" w:type="dxa"/>
            <w:gridSpan w:val="2"/>
            <w:shd w:val="clear" w:color="auto" w:fill="auto"/>
            <w:vAlign w:val="center"/>
          </w:tcPr>
          <w:p w14:paraId="2CF1E278" w14:textId="592A20D9" w:rsidR="005927B6" w:rsidRPr="00DE28D2" w:rsidRDefault="004654BD" w:rsidP="005927B6">
            <w:pPr>
              <w:rPr>
                <w:rFonts w:asciiTheme="minorHAnsi" w:hAnsiTheme="minorHAnsi" w:cs="Arial"/>
                <w:sz w:val="22"/>
              </w:rPr>
            </w:pPr>
            <w:r>
              <w:rPr>
                <w:rFonts w:asciiTheme="minorHAnsi" w:hAnsiTheme="minorHAnsi" w:cs="Arial"/>
                <w:sz w:val="22"/>
              </w:rPr>
              <w:t>No</w:t>
            </w:r>
          </w:p>
        </w:tc>
      </w:tr>
      <w:tr w:rsidR="00A06191" w:rsidRPr="00DE28D2" w14:paraId="373E21DC" w14:textId="77777777" w:rsidTr="00104D49">
        <w:trPr>
          <w:trHeight w:hRule="exact" w:val="340"/>
        </w:trPr>
        <w:tc>
          <w:tcPr>
            <w:tcW w:w="2410" w:type="dxa"/>
            <w:gridSpan w:val="2"/>
            <w:shd w:val="clear" w:color="auto" w:fill="auto"/>
            <w:vAlign w:val="center"/>
          </w:tcPr>
          <w:p w14:paraId="373E21DA" w14:textId="31C9A8AB" w:rsidR="00A06191" w:rsidRPr="00DE28D2" w:rsidRDefault="003F465C" w:rsidP="00A0584E">
            <w:pPr>
              <w:rPr>
                <w:rFonts w:asciiTheme="minorHAnsi" w:hAnsiTheme="minorHAnsi" w:cs="Arial"/>
                <w:b/>
                <w:bCs/>
                <w:sz w:val="22"/>
              </w:rPr>
            </w:pPr>
            <w:r w:rsidRPr="00DE28D2">
              <w:rPr>
                <w:rFonts w:asciiTheme="minorHAnsi" w:hAnsiTheme="minorHAnsi" w:cs="Arial"/>
                <w:b/>
                <w:bCs/>
                <w:sz w:val="22"/>
              </w:rPr>
              <w:t>F</w:t>
            </w:r>
            <w:r w:rsidR="00F20F23" w:rsidRPr="00DE28D2">
              <w:rPr>
                <w:rFonts w:asciiTheme="minorHAnsi" w:hAnsiTheme="minorHAnsi" w:cs="Arial"/>
                <w:b/>
                <w:bCs/>
                <w:sz w:val="22"/>
              </w:rPr>
              <w:t>D</w:t>
            </w:r>
            <w:r w:rsidR="00A0584E" w:rsidRPr="00DE28D2">
              <w:rPr>
                <w:rFonts w:asciiTheme="minorHAnsi" w:hAnsiTheme="minorHAnsi" w:cs="Arial"/>
                <w:b/>
                <w:bCs/>
                <w:sz w:val="22"/>
              </w:rPr>
              <w:t xml:space="preserve">Q raised by </w:t>
            </w:r>
          </w:p>
        </w:tc>
        <w:tc>
          <w:tcPr>
            <w:tcW w:w="7939" w:type="dxa"/>
            <w:gridSpan w:val="2"/>
            <w:shd w:val="clear" w:color="auto" w:fill="auto"/>
            <w:vAlign w:val="center"/>
          </w:tcPr>
          <w:p w14:paraId="373E21DB" w14:textId="3225620E" w:rsidR="00A06191" w:rsidRPr="00DE28D2" w:rsidRDefault="00521A46" w:rsidP="0060723D">
            <w:pPr>
              <w:rPr>
                <w:rFonts w:asciiTheme="minorHAnsi" w:hAnsiTheme="minorHAnsi" w:cs="Arial"/>
                <w:sz w:val="22"/>
              </w:rPr>
            </w:pPr>
            <w:r>
              <w:rPr>
                <w:rFonts w:asciiTheme="minorHAnsi" w:hAnsiTheme="minorHAnsi" w:cs="Arial"/>
                <w:sz w:val="22"/>
              </w:rPr>
              <w:t>SGN</w:t>
            </w:r>
          </w:p>
        </w:tc>
      </w:tr>
      <w:tr w:rsidR="00A06191" w:rsidRPr="00DE28D2" w14:paraId="373E21DF" w14:textId="77777777" w:rsidTr="00104D49">
        <w:trPr>
          <w:trHeight w:hRule="exact" w:val="340"/>
        </w:trPr>
        <w:tc>
          <w:tcPr>
            <w:tcW w:w="2410" w:type="dxa"/>
            <w:gridSpan w:val="2"/>
            <w:shd w:val="clear" w:color="auto" w:fill="auto"/>
            <w:vAlign w:val="center"/>
          </w:tcPr>
          <w:p w14:paraId="373E21DD" w14:textId="43C86628" w:rsidR="00A06191" w:rsidRPr="00DE28D2" w:rsidRDefault="00A06191" w:rsidP="00945C7C">
            <w:pPr>
              <w:rPr>
                <w:rFonts w:asciiTheme="minorHAnsi" w:hAnsiTheme="minorHAnsi" w:cs="Arial"/>
                <w:b/>
                <w:bCs/>
                <w:sz w:val="22"/>
              </w:rPr>
            </w:pPr>
            <w:r w:rsidRPr="00DE28D2">
              <w:rPr>
                <w:rFonts w:asciiTheme="minorHAnsi" w:hAnsiTheme="minorHAnsi" w:cs="Arial"/>
                <w:b/>
                <w:bCs/>
                <w:sz w:val="22"/>
              </w:rPr>
              <w:t xml:space="preserve">Date </w:t>
            </w:r>
            <w:r w:rsidR="00F20F23" w:rsidRPr="00DE28D2">
              <w:rPr>
                <w:rFonts w:asciiTheme="minorHAnsi" w:hAnsiTheme="minorHAnsi" w:cs="Arial"/>
                <w:b/>
                <w:bCs/>
                <w:sz w:val="22"/>
              </w:rPr>
              <w:t>Sent</w:t>
            </w:r>
          </w:p>
        </w:tc>
        <w:tc>
          <w:tcPr>
            <w:tcW w:w="7939" w:type="dxa"/>
            <w:gridSpan w:val="2"/>
            <w:shd w:val="clear" w:color="auto" w:fill="auto"/>
            <w:vAlign w:val="center"/>
          </w:tcPr>
          <w:p w14:paraId="373E21DE" w14:textId="0140E888" w:rsidR="00F82AB4" w:rsidRPr="00DE28D2" w:rsidRDefault="00521A46" w:rsidP="00A0584E">
            <w:pPr>
              <w:rPr>
                <w:rFonts w:asciiTheme="minorHAnsi" w:hAnsiTheme="minorHAnsi" w:cs="Arial"/>
                <w:sz w:val="22"/>
              </w:rPr>
            </w:pPr>
            <w:r>
              <w:rPr>
                <w:rFonts w:asciiTheme="minorHAnsi" w:hAnsiTheme="minorHAnsi" w:cs="Arial"/>
                <w:sz w:val="22"/>
              </w:rPr>
              <w:t>11/12/2020</w:t>
            </w:r>
          </w:p>
        </w:tc>
      </w:tr>
      <w:tr w:rsidR="000E5B6D" w:rsidRPr="00DE28D2" w14:paraId="237714F0" w14:textId="77777777" w:rsidTr="00104D49">
        <w:trPr>
          <w:trHeight w:val="127"/>
        </w:trPr>
        <w:tc>
          <w:tcPr>
            <w:tcW w:w="2410" w:type="dxa"/>
            <w:gridSpan w:val="2"/>
            <w:shd w:val="clear" w:color="auto" w:fill="auto"/>
            <w:vAlign w:val="center"/>
          </w:tcPr>
          <w:p w14:paraId="4CD6EE6F" w14:textId="77777777" w:rsidR="000E5B6D" w:rsidRPr="00DE28D2" w:rsidRDefault="000E5B6D" w:rsidP="00945C7C">
            <w:pPr>
              <w:rPr>
                <w:rFonts w:asciiTheme="minorHAnsi" w:hAnsiTheme="minorHAnsi" w:cs="Arial"/>
                <w:b/>
                <w:bCs/>
                <w:sz w:val="22"/>
              </w:rPr>
            </w:pPr>
            <w:r w:rsidRPr="00DE28D2">
              <w:rPr>
                <w:rFonts w:asciiTheme="minorHAnsi" w:hAnsiTheme="minorHAnsi" w:cs="Arial"/>
                <w:b/>
                <w:bCs/>
                <w:sz w:val="22"/>
              </w:rPr>
              <w:t xml:space="preserve">Ofgem Response </w:t>
            </w:r>
          </w:p>
          <w:p w14:paraId="68C4F125" w14:textId="77777777" w:rsidR="000E5B6D" w:rsidRPr="00DE28D2" w:rsidRDefault="000E5B6D" w:rsidP="00945C7C">
            <w:pPr>
              <w:rPr>
                <w:rFonts w:asciiTheme="minorHAnsi" w:hAnsiTheme="minorHAnsi" w:cs="Arial"/>
                <w:b/>
                <w:bCs/>
                <w:sz w:val="22"/>
              </w:rPr>
            </w:pPr>
          </w:p>
          <w:p w14:paraId="260FE646" w14:textId="77777777" w:rsidR="000E5B6D" w:rsidRPr="00DE28D2" w:rsidRDefault="000E5B6D" w:rsidP="00945C7C">
            <w:pPr>
              <w:rPr>
                <w:rFonts w:asciiTheme="minorHAnsi" w:hAnsiTheme="minorHAnsi" w:cs="Arial"/>
                <w:b/>
                <w:bCs/>
                <w:sz w:val="22"/>
              </w:rPr>
            </w:pPr>
          </w:p>
          <w:p w14:paraId="02C5C34A" w14:textId="66640490" w:rsidR="000E5B6D" w:rsidRPr="00DE28D2" w:rsidRDefault="000E5B6D" w:rsidP="00945C7C">
            <w:pPr>
              <w:rPr>
                <w:rFonts w:asciiTheme="minorHAnsi" w:hAnsiTheme="minorHAnsi" w:cs="Arial"/>
                <w:b/>
                <w:bCs/>
                <w:sz w:val="22"/>
              </w:rPr>
            </w:pPr>
          </w:p>
        </w:tc>
        <w:tc>
          <w:tcPr>
            <w:tcW w:w="7939" w:type="dxa"/>
            <w:gridSpan w:val="2"/>
            <w:shd w:val="clear" w:color="auto" w:fill="auto"/>
            <w:vAlign w:val="center"/>
          </w:tcPr>
          <w:p w14:paraId="18F25ECB" w14:textId="5C8E45CD" w:rsidR="00B712E9" w:rsidRDefault="00B712E9" w:rsidP="00B712E9">
            <w:pPr>
              <w:rPr>
                <w:color w:val="1F497D"/>
                <w:szCs w:val="20"/>
              </w:rPr>
            </w:pPr>
            <w:r>
              <w:rPr>
                <w:color w:val="1F497D"/>
                <w:szCs w:val="20"/>
              </w:rPr>
              <w:t>The Halo effect, RFR estimates and unlevered beta analysis files contain data from third parties, our agreements with whom do not currently allow us to share the underlying data. We are exploring whether the conceptual approach cross check analysis can be extracted from a file that includes third party and confidential data and will confirm the position on this analysis as soon as we can.</w:t>
            </w:r>
          </w:p>
          <w:p w14:paraId="5918A2F0" w14:textId="212FA662" w:rsidR="001E2AE6" w:rsidRDefault="001E2AE6" w:rsidP="00B712E9">
            <w:pPr>
              <w:rPr>
                <w:color w:val="1F497D"/>
                <w:szCs w:val="20"/>
              </w:rPr>
            </w:pPr>
          </w:p>
          <w:p w14:paraId="3C0EC53C" w14:textId="3A574C79" w:rsidR="001E2AE6" w:rsidRDefault="001E2AE6" w:rsidP="00B712E9">
            <w:pPr>
              <w:rPr>
                <w:color w:val="1F497D"/>
                <w:szCs w:val="20"/>
              </w:rPr>
            </w:pPr>
            <w:r>
              <w:rPr>
                <w:color w:val="1F497D"/>
                <w:szCs w:val="20"/>
              </w:rPr>
              <w:t>19/01/2021 Additional response:</w:t>
            </w:r>
          </w:p>
          <w:p w14:paraId="3AAF67A8" w14:textId="27B00F32" w:rsidR="001E2AE6" w:rsidRDefault="001E2AE6" w:rsidP="00B712E9">
            <w:pPr>
              <w:rPr>
                <w:color w:val="1F497D"/>
                <w:szCs w:val="20"/>
              </w:rPr>
            </w:pPr>
            <w:r w:rsidRPr="001E2AE6">
              <w:rPr>
                <w:color w:val="1F497D"/>
                <w:szCs w:val="20"/>
              </w:rPr>
              <w:t>Please find attached file showing the calculations for the cross check mentioned in paragraph 2.53 of the finance annex but please note that this has been developed for the purposes of illustrating how an alternative conceptual approach could be calculated as a cross check only. However, this is not the mechanism or model used to calculate debt allowances for RIIO-2, nor is it the main calibration tool used. Some figures (such as combined RAV data for example) are estimated for this purpose only and should not be relied on for any other purpose</w:t>
            </w:r>
            <w:r>
              <w:rPr>
                <w:color w:val="1F497D"/>
                <w:szCs w:val="20"/>
              </w:rPr>
              <w:t xml:space="preserve">. </w:t>
            </w:r>
          </w:p>
          <w:p w14:paraId="252B4D9E" w14:textId="6251F8F1" w:rsidR="00B712E9" w:rsidRDefault="001E2AE6" w:rsidP="00B712E9">
            <w:pPr>
              <w:rPr>
                <w:rFonts w:ascii="Arial" w:hAnsi="Arial" w:cs="Arial"/>
                <w:sz w:val="24"/>
                <w:szCs w:val="24"/>
              </w:rPr>
            </w:pPr>
            <w:r>
              <w:rPr>
                <w:rFonts w:ascii="Arial" w:hAnsi="Arial" w:cs="Arial"/>
                <w:sz w:val="24"/>
                <w:szCs w:val="24"/>
              </w:rPr>
              <w:object w:dxaOrig="1540" w:dyaOrig="996" w14:anchorId="7DC817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50.1pt" o:ole="">
                  <v:imagedata r:id="rId12" o:title=""/>
                </v:shape>
                <o:OLEObject Type="Embed" ProgID="Excel.Sheet.12" ShapeID="_x0000_i1025" DrawAspect="Icon" ObjectID="_1672573240" r:id="rId13"/>
              </w:object>
            </w:r>
          </w:p>
          <w:p w14:paraId="77E190A5" w14:textId="77777777" w:rsidR="000E5B6D" w:rsidRPr="00DE28D2" w:rsidRDefault="000E5B6D" w:rsidP="0060723D">
            <w:pPr>
              <w:rPr>
                <w:rFonts w:asciiTheme="minorHAnsi" w:hAnsiTheme="minorHAnsi" w:cs="Arial"/>
                <w:sz w:val="22"/>
              </w:rPr>
            </w:pPr>
          </w:p>
        </w:tc>
      </w:tr>
    </w:tbl>
    <w:p w14:paraId="373E21F4" w14:textId="77777777" w:rsidR="00945C7C" w:rsidRDefault="00945C7C" w:rsidP="008A5062"/>
    <w:sectPr w:rsidR="00945C7C" w:rsidSect="008A5062">
      <w:footerReference w:type="default" r:id="rId14"/>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27CA8D" w14:textId="77777777" w:rsidR="00DF142C" w:rsidRDefault="00DF142C" w:rsidP="00526623">
      <w:pPr>
        <w:spacing w:after="0" w:line="240" w:lineRule="auto"/>
      </w:pPr>
      <w:r>
        <w:separator/>
      </w:r>
    </w:p>
  </w:endnote>
  <w:endnote w:type="continuationSeparator" w:id="0">
    <w:p w14:paraId="575FBF22" w14:textId="77777777" w:rsidR="00DF142C" w:rsidRDefault="00DF142C"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B98F0" w14:textId="21CB667B" w:rsidR="00004B8C" w:rsidRDefault="00004B8C">
    <w:pPr>
      <w:pStyle w:val="Footer"/>
    </w:pPr>
    <w:r>
      <w:rPr>
        <w:noProof/>
      </w:rPr>
      <mc:AlternateContent>
        <mc:Choice Requires="wps">
          <w:drawing>
            <wp:anchor distT="0" distB="0" distL="114300" distR="114300" simplePos="0" relativeHeight="251659264" behindDoc="0" locked="0" layoutInCell="0" allowOverlap="1" wp14:anchorId="13273AA7" wp14:editId="5841BB06">
              <wp:simplePos x="0" y="0"/>
              <wp:positionH relativeFrom="page">
                <wp:posOffset>0</wp:posOffset>
              </wp:positionH>
              <wp:positionV relativeFrom="page">
                <wp:posOffset>10227945</wp:posOffset>
              </wp:positionV>
              <wp:extent cx="7560310" cy="273050"/>
              <wp:effectExtent l="0" t="0" r="0" b="12700"/>
              <wp:wrapNone/>
              <wp:docPr id="1" name="MSIPCMf51b48348c2230498fe1e680"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948E6D5" w14:textId="5562BCB1" w:rsidR="00004B8C" w:rsidRPr="00004B8C" w:rsidRDefault="00004B8C" w:rsidP="00004B8C">
                          <w:pPr>
                            <w:spacing w:after="0"/>
                            <w:rPr>
                              <w:rFonts w:ascii="Calibri" w:hAnsi="Calibri" w:cs="Calibri"/>
                              <w:color w:val="000000"/>
                            </w:rPr>
                          </w:pPr>
                          <w:r w:rsidRPr="00004B8C">
                            <w:rPr>
                              <w:rFonts w:ascii="Calibri" w:hAnsi="Calibri" w:cs="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3273AA7" id="_x0000_t202" coordsize="21600,21600" o:spt="202" path="m,l,21600r21600,l21600,xe">
              <v:stroke joinstyle="miter"/>
              <v:path gradientshapeok="t" o:connecttype="rect"/>
            </v:shapetype>
            <v:shape id="MSIPCMf51b48348c2230498fe1e680"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" o:allowincell="f" filled="f" stroked="f" strokeweight=".5pt">
              <v:textbox inset="20pt,0,,0">
                <w:txbxContent>
                  <w:p w14:paraId="1948E6D5" w14:textId="5562BCB1" w:rsidR="00004B8C" w:rsidRPr="00004B8C" w:rsidRDefault="00004B8C" w:rsidP="00004B8C">
                    <w:pPr>
                      <w:spacing w:after="0"/>
                      <w:rPr>
                        <w:rFonts w:ascii="Calibri" w:hAnsi="Calibri" w:cs="Calibri"/>
                        <w:color w:val="000000"/>
                      </w:rPr>
                    </w:pPr>
                    <w:r w:rsidRPr="00004B8C">
                      <w:rPr>
                        <w:rFonts w:ascii="Calibri" w:hAnsi="Calibri" w:cs="Calibri"/>
                        <w:color w:val="000000"/>
                      </w:rPr>
                      <w:t>Classified as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1E587B" w14:textId="77777777" w:rsidR="00DF142C" w:rsidRDefault="00DF142C" w:rsidP="00526623">
      <w:pPr>
        <w:spacing w:after="0" w:line="240" w:lineRule="auto"/>
      </w:pPr>
      <w:r>
        <w:separator/>
      </w:r>
    </w:p>
  </w:footnote>
  <w:footnote w:type="continuationSeparator" w:id="0">
    <w:p w14:paraId="5FE252E5" w14:textId="77777777" w:rsidR="00DF142C" w:rsidRDefault="00DF142C"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A4486C"/>
    <w:multiLevelType w:val="multilevel"/>
    <w:tmpl w:val="3BD6EB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4B8C"/>
    <w:rsid w:val="00007AB6"/>
    <w:rsid w:val="00025EDE"/>
    <w:rsid w:val="00041711"/>
    <w:rsid w:val="000436C2"/>
    <w:rsid w:val="000473D3"/>
    <w:rsid w:val="00050C54"/>
    <w:rsid w:val="000B0536"/>
    <w:rsid w:val="000E5B6D"/>
    <w:rsid w:val="0010126C"/>
    <w:rsid w:val="00104D49"/>
    <w:rsid w:val="00107296"/>
    <w:rsid w:val="00133BD9"/>
    <w:rsid w:val="00133CFC"/>
    <w:rsid w:val="00172809"/>
    <w:rsid w:val="001D0151"/>
    <w:rsid w:val="001E2AE6"/>
    <w:rsid w:val="00206D5F"/>
    <w:rsid w:val="002707B1"/>
    <w:rsid w:val="00291D51"/>
    <w:rsid w:val="00293724"/>
    <w:rsid w:val="002A4AD8"/>
    <w:rsid w:val="002B4955"/>
    <w:rsid w:val="002E3EFB"/>
    <w:rsid w:val="00300FB4"/>
    <w:rsid w:val="003043A4"/>
    <w:rsid w:val="00342E6F"/>
    <w:rsid w:val="003452B0"/>
    <w:rsid w:val="00360385"/>
    <w:rsid w:val="00385085"/>
    <w:rsid w:val="00386B68"/>
    <w:rsid w:val="003B3576"/>
    <w:rsid w:val="003F465C"/>
    <w:rsid w:val="00400822"/>
    <w:rsid w:val="0043054C"/>
    <w:rsid w:val="004654BD"/>
    <w:rsid w:val="004C4D2B"/>
    <w:rsid w:val="004D0311"/>
    <w:rsid w:val="004D1F2F"/>
    <w:rsid w:val="00503895"/>
    <w:rsid w:val="00521A46"/>
    <w:rsid w:val="00526623"/>
    <w:rsid w:val="00526A8E"/>
    <w:rsid w:val="00534E92"/>
    <w:rsid w:val="00536220"/>
    <w:rsid w:val="00584F30"/>
    <w:rsid w:val="00586A8E"/>
    <w:rsid w:val="005927B6"/>
    <w:rsid w:val="005A506C"/>
    <w:rsid w:val="005A74DE"/>
    <w:rsid w:val="005E2894"/>
    <w:rsid w:val="0060723D"/>
    <w:rsid w:val="006224F4"/>
    <w:rsid w:val="006279ED"/>
    <w:rsid w:val="006847DA"/>
    <w:rsid w:val="006B26DE"/>
    <w:rsid w:val="00716508"/>
    <w:rsid w:val="00721734"/>
    <w:rsid w:val="007400B7"/>
    <w:rsid w:val="00753976"/>
    <w:rsid w:val="007572D8"/>
    <w:rsid w:val="007649AC"/>
    <w:rsid w:val="00772D1E"/>
    <w:rsid w:val="007974DA"/>
    <w:rsid w:val="007B29A9"/>
    <w:rsid w:val="007C2E37"/>
    <w:rsid w:val="007D7648"/>
    <w:rsid w:val="007E30C4"/>
    <w:rsid w:val="008170C7"/>
    <w:rsid w:val="008315E2"/>
    <w:rsid w:val="00845396"/>
    <w:rsid w:val="0085400C"/>
    <w:rsid w:val="008A5062"/>
    <w:rsid w:val="008B3636"/>
    <w:rsid w:val="008B7043"/>
    <w:rsid w:val="008C5A35"/>
    <w:rsid w:val="00924DEC"/>
    <w:rsid w:val="00935000"/>
    <w:rsid w:val="00937BF5"/>
    <w:rsid w:val="00942721"/>
    <w:rsid w:val="00945C7C"/>
    <w:rsid w:val="00946125"/>
    <w:rsid w:val="009762C9"/>
    <w:rsid w:val="009845A8"/>
    <w:rsid w:val="009B26A0"/>
    <w:rsid w:val="009B7577"/>
    <w:rsid w:val="009D4F56"/>
    <w:rsid w:val="00A054D1"/>
    <w:rsid w:val="00A0584E"/>
    <w:rsid w:val="00A06191"/>
    <w:rsid w:val="00A56CF3"/>
    <w:rsid w:val="00A77899"/>
    <w:rsid w:val="00A922CF"/>
    <w:rsid w:val="00AC6418"/>
    <w:rsid w:val="00AE2C71"/>
    <w:rsid w:val="00AF2854"/>
    <w:rsid w:val="00B33B74"/>
    <w:rsid w:val="00B33BDA"/>
    <w:rsid w:val="00B35E40"/>
    <w:rsid w:val="00B378CC"/>
    <w:rsid w:val="00B41AEB"/>
    <w:rsid w:val="00B712E9"/>
    <w:rsid w:val="00B82400"/>
    <w:rsid w:val="00B86DDF"/>
    <w:rsid w:val="00BA4154"/>
    <w:rsid w:val="00BA5A79"/>
    <w:rsid w:val="00BB4793"/>
    <w:rsid w:val="00BB56A8"/>
    <w:rsid w:val="00BB682C"/>
    <w:rsid w:val="00BD48A8"/>
    <w:rsid w:val="00C10D99"/>
    <w:rsid w:val="00C57345"/>
    <w:rsid w:val="00C814D0"/>
    <w:rsid w:val="00C81B4C"/>
    <w:rsid w:val="00CA4297"/>
    <w:rsid w:val="00CC7214"/>
    <w:rsid w:val="00CF22EF"/>
    <w:rsid w:val="00D1736D"/>
    <w:rsid w:val="00D22A70"/>
    <w:rsid w:val="00D50036"/>
    <w:rsid w:val="00D53135"/>
    <w:rsid w:val="00D81399"/>
    <w:rsid w:val="00D815E6"/>
    <w:rsid w:val="00DA4D94"/>
    <w:rsid w:val="00DA67E5"/>
    <w:rsid w:val="00DE28D2"/>
    <w:rsid w:val="00DF142C"/>
    <w:rsid w:val="00E040EA"/>
    <w:rsid w:val="00E11C0E"/>
    <w:rsid w:val="00E346B6"/>
    <w:rsid w:val="00E525E0"/>
    <w:rsid w:val="00E55A7F"/>
    <w:rsid w:val="00E566F5"/>
    <w:rsid w:val="00EB123E"/>
    <w:rsid w:val="00EB179A"/>
    <w:rsid w:val="00EB2613"/>
    <w:rsid w:val="00EE1113"/>
    <w:rsid w:val="00EE1C79"/>
    <w:rsid w:val="00EE2493"/>
    <w:rsid w:val="00F129C1"/>
    <w:rsid w:val="00F20F23"/>
    <w:rsid w:val="00F23B18"/>
    <w:rsid w:val="00F266D1"/>
    <w:rsid w:val="00F31270"/>
    <w:rsid w:val="00F678C1"/>
    <w:rsid w:val="00F82AB4"/>
    <w:rsid w:val="00FB0E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customStyle="1" w:styleId="xmsonormal">
    <w:name w:val="x_msonormal"/>
    <w:basedOn w:val="Normal"/>
    <w:rsid w:val="00004B8C"/>
    <w:pPr>
      <w:spacing w:after="0" w:line="240" w:lineRule="auto"/>
    </w:pPr>
    <w:rPr>
      <w:rFonts w:ascii="Calibri" w:hAnsi="Calibri" w:cs="Calibri"/>
      <w:sz w:val="22"/>
      <w:lang w:eastAsia="en-GB"/>
    </w:rPr>
  </w:style>
  <w:style w:type="paragraph" w:customStyle="1" w:styleId="xmsolistparagraph">
    <w:name w:val="x_msolistparagraph"/>
    <w:basedOn w:val="Normal"/>
    <w:rsid w:val="00004B8C"/>
    <w:pPr>
      <w:spacing w:after="0" w:line="240" w:lineRule="auto"/>
      <w:ind w:left="720"/>
    </w:pPr>
    <w:rPr>
      <w:rFonts w:ascii="Calibri" w:hAnsi="Calibri" w:cs="Calibri"/>
      <w:sz w:val="22"/>
      <w:lang w:eastAsia="en-GB"/>
    </w:rPr>
  </w:style>
  <w:style w:type="paragraph" w:styleId="BalloonText">
    <w:name w:val="Balloon Text"/>
    <w:basedOn w:val="Normal"/>
    <w:link w:val="BalloonTextChar"/>
    <w:uiPriority w:val="99"/>
    <w:semiHidden/>
    <w:unhideWhenUsed/>
    <w:rsid w:val="004654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54B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1392270080">
      <w:bodyDiv w:val="1"/>
      <w:marLeft w:val="0"/>
      <w:marRight w:val="0"/>
      <w:marTop w:val="0"/>
      <w:marBottom w:val="0"/>
      <w:divBdr>
        <w:top w:val="none" w:sz="0" w:space="0" w:color="auto"/>
        <w:left w:val="none" w:sz="0" w:space="0" w:color="auto"/>
        <w:bottom w:val="none" w:sz="0" w:space="0" w:color="auto"/>
        <w:right w:val="none" w:sz="0" w:space="0" w:color="auto"/>
      </w:divBdr>
    </w:div>
    <w:div w:id="1584488989">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package" Target="embeddings/Microsoft_Excel_Worksheet.xlsx"/><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4.xml><?xml version="1.0" encoding="utf-8"?>
<?mso-contentType ?>
<SharedContentType xmlns="Microsoft.SharePoint.Taxonomy.ContentTypeSync" SourceId="ca9306fc-8436-45f0-b931-e34f519be3a3" ContentTypeId="0x01010032640DAD0EFF63499F40C6F300FF9AAD"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98DA86A9-E2D3-44DE-9F03-0D85B6C059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DD9686-A806-4D0B-BBC0-71266FA194C8}">
  <ds:schemaRefs>
    <ds:schemaRef ds:uri="http://schemas.microsoft.com/office/2006/metadata/properties"/>
    <ds:schemaRef ds:uri="http://schemas.microsoft.com/office/infopath/2007/PartnerControls"/>
    <ds:schemaRef ds:uri="http://schemas.openxmlformats.org/package/2006/metadata/core-properties"/>
    <ds:schemaRef ds:uri="http://purl.org/dc/elements/1.1/"/>
    <ds:schemaRef ds:uri="http://schemas.microsoft.com/office/2006/documentManagement/types"/>
    <ds:schemaRef ds:uri="http://purl.org/dc/dcmitype/"/>
    <ds:schemaRef ds:uri="http://www.w3.org/XML/1998/namespace"/>
    <ds:schemaRef ds:uri="631298fc-6a88-4548-b7d9-3b164918c4a3"/>
    <ds:schemaRef ds:uri="http://purl.org/dc/terms/"/>
  </ds:schemaRefs>
</ds:datastoreItem>
</file>

<file path=customXml/itemProps4.xml><?xml version="1.0" encoding="utf-8"?>
<ds:datastoreItem xmlns:ds="http://schemas.openxmlformats.org/officeDocument/2006/customXml" ds:itemID="{41EBFA70-FDE9-4641-AF09-655B8A2E05E8}">
  <ds:schemaRefs>
    <ds:schemaRef ds:uri="Microsoft.SharePoint.Taxonomy.ContentTypeSync"/>
  </ds:schemaRefs>
</ds:datastoreItem>
</file>

<file path=customXml/itemProps5.xml><?xml version="1.0" encoding="utf-8"?>
<ds:datastoreItem xmlns:ds="http://schemas.openxmlformats.org/officeDocument/2006/customXml" ds:itemID="{871AD4C8-CACA-492A-BF8D-D872E5311C7F}">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335</Words>
  <Characters>1910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Nicole Weir</cp:lastModifiedBy>
  <cp:revision>9</cp:revision>
  <dcterms:created xsi:type="dcterms:W3CDTF">2020-12-11T08:52:00Z</dcterms:created>
  <dcterms:modified xsi:type="dcterms:W3CDTF">2021-01-19T14:54:00Z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Importance">
    <vt:lpwstr/>
  </property>
  <property fmtid="{D5CDD505-2E9C-101B-9397-08002B2CF9AE}" pid="18" name="DLCPolicyLabelClientValue">
    <vt:lpwstr>Version : {_Version}</vt:lpwstr>
  </property>
  <property fmtid="{D5CDD505-2E9C-101B-9397-08002B2CF9AE}" pid="19" name="Project Name">
    <vt:lpwstr/>
  </property>
  <property fmtid="{D5CDD505-2E9C-101B-9397-08002B2CF9AE}" pid="20" name="Applicable Start Date">
    <vt:filetime>2014-03-30T23:00:00Z</vt:filetime>
  </property>
  <property fmtid="{D5CDD505-2E9C-101B-9397-08002B2CF9AE}" pid="21" name="Organisation">
    <vt:lpwstr>Electricity North West</vt:lpwstr>
  </property>
  <property fmtid="{D5CDD505-2E9C-101B-9397-08002B2CF9AE}" pid="22" name="Publication Date:">
    <vt:filetime>2015-07-28T10:49:18Z</vt:filetime>
  </property>
  <property fmtid="{D5CDD505-2E9C-101B-9397-08002B2CF9AE}" pid="23" name="Applicable Duration">
    <vt:lpwstr>-</vt:lpwstr>
  </property>
  <property fmtid="{D5CDD505-2E9C-101B-9397-08002B2CF9AE}" pid="24" name="Descriptor">
    <vt:lpwstr>Commercial</vt:lpwstr>
  </property>
  <property fmtid="{D5CDD505-2E9C-101B-9397-08002B2CF9AE}" pid="25" name="Meeting Date">
    <vt:filetime>2014-03-30T23:00:00Z</vt:filetime>
  </property>
  <property fmtid="{D5CDD505-2E9C-101B-9397-08002B2CF9AE}" pid="26" name="Classification">
    <vt:lpwstr>Protect</vt:lpwstr>
  </property>
  <property fmtid="{D5CDD505-2E9C-101B-9397-08002B2CF9AE}" pid="27" name="::">
    <vt:lpwstr>-Main Document</vt:lpwstr>
  </property>
  <property fmtid="{D5CDD505-2E9C-101B-9397-08002B2CF9AE}" pid="28" name="docIndexRef">
    <vt:lpwstr>f6ca1dd2-719a-4b85-a410-f2067eacc0e5</vt:lpwstr>
  </property>
  <property fmtid="{D5CDD505-2E9C-101B-9397-08002B2CF9AE}" pid="29" name="bjSaver">
    <vt:lpwstr>cO6pzpUHHXPLEMTsVieuWYRDJs0nJL8f</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c5a055b0-1bed-4579_x">
    <vt:lpwstr/>
  </property>
  <property fmtid="{D5CDD505-2E9C-101B-9397-08002B2CF9AE}" pid="33" name="BJSCdd9eba61-d6b9-469b_x">
    <vt:lpwstr/>
  </property>
  <property fmtid="{D5CDD505-2E9C-101B-9397-08002B2CF9AE}" pid="34" name="bjDocumentSecurityLabel">
    <vt:lpwstr>This item has no classification</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y fmtid="{D5CDD505-2E9C-101B-9397-08002B2CF9AE}" pid="43" name="bjClsUserRVM">
    <vt:lpwstr>[]</vt:lpwstr>
  </property>
  <property fmtid="{D5CDD505-2E9C-101B-9397-08002B2CF9AE}" pid="44" name="MSIP_Label_2b73dd0b-afe1-4a46-943f-1bdb914b8a49_Enabled">
    <vt:lpwstr>true</vt:lpwstr>
  </property>
  <property fmtid="{D5CDD505-2E9C-101B-9397-08002B2CF9AE}" pid="45" name="MSIP_Label_2b73dd0b-afe1-4a46-943f-1bdb914b8a49_SetDate">
    <vt:lpwstr>2020-12-10T21:00:04Z</vt:lpwstr>
  </property>
  <property fmtid="{D5CDD505-2E9C-101B-9397-08002B2CF9AE}" pid="46" name="MSIP_Label_2b73dd0b-afe1-4a46-943f-1bdb914b8a49_Method">
    <vt:lpwstr>Standard</vt:lpwstr>
  </property>
  <property fmtid="{D5CDD505-2E9C-101B-9397-08002B2CF9AE}" pid="47" name="MSIP_Label_2b73dd0b-afe1-4a46-943f-1bdb914b8a49_Name">
    <vt:lpwstr>Internal</vt:lpwstr>
  </property>
  <property fmtid="{D5CDD505-2E9C-101B-9397-08002B2CF9AE}" pid="48" name="MSIP_Label_2b73dd0b-afe1-4a46-943f-1bdb914b8a49_SiteId">
    <vt:lpwstr>b9563cbc-9874-41ab-b448-7e0f61aff3eb</vt:lpwstr>
  </property>
  <property fmtid="{D5CDD505-2E9C-101B-9397-08002B2CF9AE}" pid="49" name="MSIP_Label_2b73dd0b-afe1-4a46-943f-1bdb914b8a49_ActionId">
    <vt:lpwstr>744a0660-0faf-4336-b578-00004c4bec3f</vt:lpwstr>
  </property>
  <property fmtid="{D5CDD505-2E9C-101B-9397-08002B2CF9AE}" pid="50" name="MSIP_Label_2b73dd0b-afe1-4a46-943f-1bdb914b8a49_ContentBits">
    <vt:lpwstr>2</vt:lpwstr>
  </property>
</Properties>
</file>