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3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668"/>
        <w:gridCol w:w="8315"/>
        <w:gridCol w:w="48"/>
      </w:tblGrid>
      <w:tr w:rsidR="00133BD9" w:rsidRPr="007D62EA" w14:paraId="373E21CB" w14:textId="77777777" w:rsidTr="006D7788">
        <w:trPr>
          <w:gridBefore w:val="1"/>
          <w:gridAfter w:val="1"/>
          <w:wBefore w:w="601" w:type="dxa"/>
          <w:wAfter w:w="48" w:type="dxa"/>
          <w:trHeight w:val="315"/>
        </w:trPr>
        <w:tc>
          <w:tcPr>
            <w:tcW w:w="9983" w:type="dxa"/>
            <w:gridSpan w:val="2"/>
            <w:tcBorders>
              <w:top w:val="nil"/>
              <w:left w:val="nil"/>
              <w:bottom w:val="nil"/>
              <w:right w:val="nil"/>
            </w:tcBorders>
            <w:shd w:val="clear" w:color="auto" w:fill="auto"/>
            <w:noWrap/>
            <w:vAlign w:val="center"/>
            <w:hideMark/>
          </w:tcPr>
          <w:p w14:paraId="373E21CA" w14:textId="643B75D1" w:rsidR="00133BD9" w:rsidRPr="007D62EA" w:rsidRDefault="000F371F" w:rsidP="00B378CC">
            <w:pPr>
              <w:rPr>
                <w:rFonts w:asciiTheme="minorHAnsi" w:hAnsiTheme="minorHAnsi" w:cs="Arial"/>
                <w:b/>
                <w:bCs/>
                <w:sz w:val="32"/>
                <w:szCs w:val="32"/>
              </w:rPr>
            </w:pPr>
            <w:r w:rsidRPr="007D62EA">
              <w:rPr>
                <w:rFonts w:asciiTheme="minorHAnsi" w:hAnsiTheme="minorHAnsi" w:cs="Arial"/>
                <w:b/>
                <w:bCs/>
                <w:color w:val="FF0000"/>
                <w:sz w:val="32"/>
                <w:szCs w:val="32"/>
              </w:rPr>
              <w:t xml:space="preserve">SGN </w:t>
            </w:r>
            <w:r w:rsidR="000E5B6D" w:rsidRPr="007D62EA">
              <w:rPr>
                <w:rFonts w:asciiTheme="minorHAnsi" w:hAnsiTheme="minorHAnsi" w:cs="Arial"/>
                <w:b/>
                <w:bCs/>
                <w:sz w:val="32"/>
                <w:szCs w:val="32"/>
              </w:rPr>
              <w:t>Final</w:t>
            </w:r>
            <w:r w:rsidR="002E3EFB" w:rsidRPr="007D62EA">
              <w:rPr>
                <w:rFonts w:asciiTheme="minorHAnsi" w:hAnsiTheme="minorHAnsi" w:cs="Arial"/>
                <w:b/>
                <w:bCs/>
                <w:sz w:val="32"/>
                <w:szCs w:val="32"/>
              </w:rPr>
              <w:t xml:space="preserve"> Determination</w:t>
            </w:r>
            <w:r w:rsidR="00A0584E" w:rsidRPr="007D62EA">
              <w:rPr>
                <w:rFonts w:asciiTheme="minorHAnsi" w:hAnsiTheme="minorHAnsi" w:cs="Arial"/>
                <w:b/>
                <w:bCs/>
                <w:sz w:val="32"/>
                <w:szCs w:val="32"/>
              </w:rPr>
              <w:t xml:space="preserve"> </w:t>
            </w:r>
          </w:p>
        </w:tc>
      </w:tr>
      <w:tr w:rsidR="00133BD9" w:rsidRPr="007D62EA" w14:paraId="373E21CD" w14:textId="77777777" w:rsidTr="006D7788">
        <w:trPr>
          <w:trHeight w:val="315"/>
        </w:trPr>
        <w:tc>
          <w:tcPr>
            <w:tcW w:w="10632" w:type="dxa"/>
            <w:gridSpan w:val="4"/>
            <w:tcBorders>
              <w:top w:val="nil"/>
              <w:left w:val="nil"/>
              <w:right w:val="nil"/>
            </w:tcBorders>
            <w:shd w:val="clear" w:color="auto" w:fill="auto"/>
            <w:noWrap/>
            <w:vAlign w:val="center"/>
            <w:hideMark/>
          </w:tcPr>
          <w:p w14:paraId="373E21CC" w14:textId="1E41FD06" w:rsidR="00BB682C" w:rsidRPr="007D62EA" w:rsidRDefault="003F465C" w:rsidP="002E3EFB">
            <w:pPr>
              <w:rPr>
                <w:rFonts w:asciiTheme="minorHAnsi" w:hAnsiTheme="minorHAnsi" w:cs="Arial"/>
                <w:b/>
                <w:bCs/>
                <w:sz w:val="24"/>
                <w:szCs w:val="24"/>
              </w:rPr>
            </w:pPr>
            <w:r w:rsidRPr="007D62EA">
              <w:rPr>
                <w:rFonts w:asciiTheme="minorHAnsi" w:hAnsiTheme="minorHAnsi" w:cs="Arial"/>
                <w:b/>
                <w:bCs/>
              </w:rPr>
              <w:t>F</w:t>
            </w:r>
            <w:r w:rsidR="00D81399" w:rsidRPr="007D62EA">
              <w:rPr>
                <w:rFonts w:asciiTheme="minorHAnsi" w:hAnsiTheme="minorHAnsi" w:cs="Arial"/>
                <w:b/>
                <w:bCs/>
              </w:rPr>
              <w:t>D</w:t>
            </w:r>
            <w:r w:rsidRPr="007D62EA">
              <w:rPr>
                <w:rFonts w:asciiTheme="minorHAnsi" w:hAnsiTheme="minorHAnsi" w:cs="Arial"/>
                <w:b/>
                <w:bCs/>
              </w:rPr>
              <w:t>Q</w:t>
            </w:r>
            <w:r w:rsidR="00D81399" w:rsidRPr="007D62EA">
              <w:rPr>
                <w:rFonts w:asciiTheme="minorHAnsi" w:hAnsiTheme="minorHAnsi" w:cs="Arial"/>
                <w:b/>
                <w:bCs/>
              </w:rPr>
              <w:t xml:space="preserve"> Q</w:t>
            </w:r>
            <w:r w:rsidR="00133BD9" w:rsidRPr="007D62EA">
              <w:rPr>
                <w:rFonts w:asciiTheme="minorHAnsi" w:hAnsiTheme="minorHAnsi" w:cs="Arial"/>
                <w:b/>
                <w:bCs/>
              </w:rPr>
              <w:t>u</w:t>
            </w:r>
            <w:r w:rsidR="00F20F23" w:rsidRPr="007D62EA">
              <w:rPr>
                <w:rFonts w:asciiTheme="minorHAnsi" w:hAnsiTheme="minorHAnsi" w:cs="Arial"/>
                <w:b/>
                <w:bCs/>
              </w:rPr>
              <w:t>ery</w:t>
            </w:r>
            <w:r w:rsidR="00133BD9" w:rsidRPr="007D62EA">
              <w:rPr>
                <w:rFonts w:asciiTheme="minorHAnsi" w:hAnsiTheme="minorHAnsi" w:cs="Arial"/>
                <w:b/>
                <w:bCs/>
              </w:rPr>
              <w:t xml:space="preserve"> </w:t>
            </w:r>
          </w:p>
        </w:tc>
      </w:tr>
      <w:tr w:rsidR="00133BD9" w:rsidRPr="007D62EA" w14:paraId="373E21D0" w14:textId="77777777" w:rsidTr="006D7788">
        <w:trPr>
          <w:trHeight w:val="614"/>
        </w:trPr>
        <w:tc>
          <w:tcPr>
            <w:tcW w:w="2269" w:type="dxa"/>
            <w:gridSpan w:val="2"/>
            <w:shd w:val="clear" w:color="auto" w:fill="auto"/>
            <w:vAlign w:val="center"/>
            <w:hideMark/>
          </w:tcPr>
          <w:p w14:paraId="373E21CE" w14:textId="2E946EF1" w:rsidR="00133BD9" w:rsidRPr="007D62EA" w:rsidRDefault="00133BD9" w:rsidP="00A06191">
            <w:pPr>
              <w:rPr>
                <w:rFonts w:asciiTheme="minorHAnsi" w:hAnsiTheme="minorHAnsi" w:cs="Arial"/>
                <w:b/>
                <w:bCs/>
                <w:szCs w:val="20"/>
              </w:rPr>
            </w:pPr>
            <w:r w:rsidRPr="007D62EA">
              <w:rPr>
                <w:rFonts w:asciiTheme="minorHAnsi" w:hAnsiTheme="minorHAnsi" w:cs="Arial"/>
                <w:b/>
                <w:bCs/>
                <w:szCs w:val="20"/>
              </w:rPr>
              <w:t>Reference</w:t>
            </w:r>
            <w:r w:rsidR="00A06191" w:rsidRPr="007D62EA">
              <w:rPr>
                <w:rFonts w:asciiTheme="minorHAnsi" w:hAnsiTheme="minorHAnsi" w:cs="Arial"/>
                <w:b/>
                <w:bCs/>
                <w:szCs w:val="20"/>
              </w:rPr>
              <w:t xml:space="preserve"> number</w:t>
            </w:r>
          </w:p>
        </w:tc>
        <w:tc>
          <w:tcPr>
            <w:tcW w:w="8363" w:type="dxa"/>
            <w:gridSpan w:val="2"/>
            <w:shd w:val="clear" w:color="auto" w:fill="auto"/>
            <w:vAlign w:val="center"/>
          </w:tcPr>
          <w:p w14:paraId="373E21CF" w14:textId="5AEBF973" w:rsidR="00F266D1" w:rsidRPr="007D62EA" w:rsidRDefault="00F266D1" w:rsidP="00A0584E">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SGN_FDQ_</w:t>
            </w:r>
            <w:r w:rsidR="00954F90" w:rsidRPr="007D62EA">
              <w:rPr>
                <w:rFonts w:asciiTheme="minorHAnsi" w:hAnsiTheme="minorHAnsi" w:cs="Arial"/>
                <w:color w:val="0D0D0D" w:themeColor="text1" w:themeTint="F2"/>
                <w:szCs w:val="20"/>
              </w:rPr>
              <w:t>026</w:t>
            </w:r>
          </w:p>
        </w:tc>
      </w:tr>
      <w:tr w:rsidR="00A06191" w:rsidRPr="007D62EA" w14:paraId="373E21D3" w14:textId="77777777" w:rsidTr="006D7788">
        <w:trPr>
          <w:trHeight w:val="127"/>
        </w:trPr>
        <w:tc>
          <w:tcPr>
            <w:tcW w:w="2269" w:type="dxa"/>
            <w:gridSpan w:val="2"/>
            <w:shd w:val="clear" w:color="auto" w:fill="auto"/>
            <w:vAlign w:val="center"/>
          </w:tcPr>
          <w:p w14:paraId="373E21D1" w14:textId="66662880" w:rsidR="00A06191" w:rsidRPr="007D62EA" w:rsidRDefault="00EE1C79" w:rsidP="00A0584E">
            <w:pPr>
              <w:rPr>
                <w:rFonts w:asciiTheme="minorHAnsi" w:hAnsiTheme="minorHAnsi" w:cs="Arial"/>
                <w:b/>
                <w:bCs/>
                <w:szCs w:val="20"/>
              </w:rPr>
            </w:pPr>
            <w:r w:rsidRPr="007D62EA">
              <w:rPr>
                <w:rFonts w:asciiTheme="minorHAnsi" w:hAnsiTheme="minorHAnsi" w:cs="Arial"/>
                <w:b/>
                <w:bCs/>
                <w:szCs w:val="20"/>
              </w:rPr>
              <w:t>Document Name</w:t>
            </w:r>
          </w:p>
        </w:tc>
        <w:tc>
          <w:tcPr>
            <w:tcW w:w="8363" w:type="dxa"/>
            <w:gridSpan w:val="2"/>
            <w:shd w:val="clear" w:color="auto" w:fill="auto"/>
            <w:vAlign w:val="center"/>
          </w:tcPr>
          <w:p w14:paraId="373E21D2" w14:textId="2A4A9575" w:rsidR="00A06191" w:rsidRPr="007D62EA" w:rsidRDefault="000E5B6D" w:rsidP="00A0584E">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 xml:space="preserve"> </w:t>
            </w:r>
            <w:r w:rsidR="00004B8C" w:rsidRPr="007D62EA">
              <w:rPr>
                <w:rFonts w:asciiTheme="minorHAnsi" w:hAnsiTheme="minorHAnsi"/>
                <w:color w:val="0D0D0D" w:themeColor="text1" w:themeTint="F2"/>
                <w:szCs w:val="20"/>
              </w:rPr>
              <w:t xml:space="preserve">RIIO-2 Final Determinations </w:t>
            </w:r>
            <w:r w:rsidR="007046C3" w:rsidRPr="007D62EA">
              <w:rPr>
                <w:rFonts w:asciiTheme="minorHAnsi" w:hAnsiTheme="minorHAnsi"/>
                <w:color w:val="0D0D0D" w:themeColor="text1" w:themeTint="F2"/>
                <w:szCs w:val="20"/>
              </w:rPr>
              <w:t xml:space="preserve"> </w:t>
            </w:r>
            <w:r w:rsidR="006224A0" w:rsidRPr="007D62EA">
              <w:rPr>
                <w:rFonts w:asciiTheme="minorHAnsi" w:hAnsiTheme="minorHAnsi"/>
                <w:color w:val="0D0D0D" w:themeColor="text1" w:themeTint="F2"/>
                <w:szCs w:val="20"/>
              </w:rPr>
              <w:t xml:space="preserve">GDN Annex </w:t>
            </w:r>
          </w:p>
        </w:tc>
      </w:tr>
      <w:tr w:rsidR="00A06191" w:rsidRPr="007D62EA" w14:paraId="373E21D6" w14:textId="77777777" w:rsidTr="006D7788">
        <w:trPr>
          <w:trHeight w:val="127"/>
        </w:trPr>
        <w:tc>
          <w:tcPr>
            <w:tcW w:w="2269" w:type="dxa"/>
            <w:gridSpan w:val="2"/>
            <w:shd w:val="clear" w:color="auto" w:fill="auto"/>
            <w:vAlign w:val="center"/>
          </w:tcPr>
          <w:p w14:paraId="373E21D4" w14:textId="77777777" w:rsidR="00A06191" w:rsidRPr="007D62EA" w:rsidRDefault="00A06191" w:rsidP="00945C7C">
            <w:pPr>
              <w:rPr>
                <w:rFonts w:asciiTheme="minorHAnsi" w:hAnsiTheme="minorHAnsi" w:cs="Arial"/>
                <w:b/>
                <w:bCs/>
                <w:szCs w:val="20"/>
              </w:rPr>
            </w:pPr>
            <w:r w:rsidRPr="007D62EA">
              <w:rPr>
                <w:rFonts w:asciiTheme="minorHAnsi" w:hAnsiTheme="minorHAnsi" w:cs="Arial"/>
                <w:b/>
                <w:bCs/>
                <w:szCs w:val="20"/>
              </w:rPr>
              <w:t>Topic/Activity:</w:t>
            </w:r>
          </w:p>
        </w:tc>
        <w:tc>
          <w:tcPr>
            <w:tcW w:w="8363" w:type="dxa"/>
            <w:gridSpan w:val="2"/>
            <w:shd w:val="clear" w:color="auto" w:fill="auto"/>
            <w:vAlign w:val="center"/>
          </w:tcPr>
          <w:p w14:paraId="373E21D5" w14:textId="5AE049CF" w:rsidR="00A06191" w:rsidRPr="007D62EA" w:rsidRDefault="00866F86" w:rsidP="0060723D">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Error in FPNES allowances</w:t>
            </w:r>
          </w:p>
        </w:tc>
      </w:tr>
      <w:tr w:rsidR="00A06191" w:rsidRPr="007D62EA" w14:paraId="373E21D9" w14:textId="77777777" w:rsidTr="006D7788">
        <w:trPr>
          <w:trHeight w:val="127"/>
        </w:trPr>
        <w:tc>
          <w:tcPr>
            <w:tcW w:w="2269" w:type="dxa"/>
            <w:gridSpan w:val="2"/>
            <w:shd w:val="clear" w:color="auto" w:fill="auto"/>
            <w:vAlign w:val="center"/>
          </w:tcPr>
          <w:p w14:paraId="373E21D7" w14:textId="77777777" w:rsidR="00A06191" w:rsidRPr="007D62EA" w:rsidRDefault="00A06191" w:rsidP="00945C7C">
            <w:pPr>
              <w:rPr>
                <w:rFonts w:asciiTheme="minorHAnsi" w:hAnsiTheme="minorHAnsi" w:cs="Arial"/>
                <w:b/>
                <w:bCs/>
                <w:szCs w:val="20"/>
              </w:rPr>
            </w:pPr>
            <w:r w:rsidRPr="007D62EA">
              <w:rPr>
                <w:rFonts w:asciiTheme="minorHAnsi" w:hAnsiTheme="minorHAnsi" w:cs="Arial"/>
                <w:b/>
                <w:bCs/>
                <w:szCs w:val="20"/>
              </w:rPr>
              <w:t>Question:</w:t>
            </w:r>
          </w:p>
        </w:tc>
        <w:tc>
          <w:tcPr>
            <w:tcW w:w="8363" w:type="dxa"/>
            <w:gridSpan w:val="2"/>
            <w:shd w:val="clear" w:color="auto" w:fill="auto"/>
            <w:vAlign w:val="center"/>
          </w:tcPr>
          <w:p w14:paraId="388BDD09" w14:textId="77777777" w:rsidR="004B31F9" w:rsidRPr="007D62EA" w:rsidRDefault="004B31F9" w:rsidP="004B31F9">
            <w:pPr>
              <w:rPr>
                <w:rFonts w:asciiTheme="minorHAnsi" w:hAnsiTheme="minorHAnsi"/>
                <w:color w:val="0D0D0D" w:themeColor="text1" w:themeTint="F2"/>
                <w:szCs w:val="20"/>
              </w:rPr>
            </w:pPr>
            <w:r w:rsidRPr="007D62EA">
              <w:rPr>
                <w:rFonts w:asciiTheme="minorHAnsi" w:hAnsiTheme="minorHAnsi"/>
                <w:color w:val="0D0D0D" w:themeColor="text1" w:themeTint="F2"/>
                <w:szCs w:val="20"/>
              </w:rPr>
              <w:t xml:space="preserve">Ofgem’s response to FDQ-18 sets out that </w:t>
            </w:r>
          </w:p>
          <w:p w14:paraId="258643EF" w14:textId="0F4A82E2" w:rsidR="004B31F9" w:rsidRPr="007D62EA" w:rsidRDefault="004B31F9" w:rsidP="004B31F9">
            <w:pPr>
              <w:rPr>
                <w:rFonts w:asciiTheme="minorHAnsi" w:hAnsiTheme="minorHAnsi" w:cs="Arial"/>
                <w:i/>
                <w:iCs/>
                <w:color w:val="0D0D0D" w:themeColor="text1" w:themeTint="F2"/>
                <w:szCs w:val="20"/>
              </w:rPr>
            </w:pPr>
            <w:r w:rsidRPr="007D62EA">
              <w:rPr>
                <w:rFonts w:asciiTheme="minorHAnsi" w:hAnsiTheme="minorHAnsi"/>
                <w:i/>
                <w:iCs/>
                <w:color w:val="0D0D0D" w:themeColor="text1" w:themeTint="F2"/>
                <w:szCs w:val="20"/>
              </w:rPr>
              <w:t>“</w:t>
            </w:r>
            <w:r w:rsidRPr="007D62EA">
              <w:rPr>
                <w:rFonts w:asciiTheme="minorHAnsi" w:hAnsiTheme="minorHAnsi" w:cs="Arial"/>
                <w:i/>
                <w:iCs/>
                <w:color w:val="0D0D0D" w:themeColor="text1" w:themeTint="F2"/>
                <w:szCs w:val="20"/>
              </w:rPr>
              <w:t xml:space="preserve">Our approaches to FPNES policy and to setting unit costs are set out in the GD Annex. Our decision on the approach to setting unit costs reflects our choice of methodology from the options consulted on through the Repex Working Group.” </w:t>
            </w:r>
          </w:p>
          <w:p w14:paraId="5546590F" w14:textId="5D42E4EB"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 xml:space="preserve">Your response does not address our query, or our concerns, and </w:t>
            </w:r>
            <w:r w:rsidR="0025146C" w:rsidRPr="007D62EA">
              <w:rPr>
                <w:rFonts w:asciiTheme="minorHAnsi" w:hAnsiTheme="minorHAnsi" w:cs="Arial"/>
                <w:color w:val="0D0D0D" w:themeColor="text1" w:themeTint="F2"/>
                <w:szCs w:val="20"/>
              </w:rPr>
              <w:t xml:space="preserve">does align with </w:t>
            </w:r>
            <w:r w:rsidR="003A2353" w:rsidRPr="007D62EA">
              <w:rPr>
                <w:rFonts w:asciiTheme="minorHAnsi" w:hAnsiTheme="minorHAnsi" w:cs="Arial"/>
                <w:color w:val="0D0D0D" w:themeColor="text1" w:themeTint="F2"/>
                <w:szCs w:val="20"/>
              </w:rPr>
              <w:t xml:space="preserve">our record of </w:t>
            </w:r>
            <w:r w:rsidR="0025146C" w:rsidRPr="007D62EA">
              <w:rPr>
                <w:rFonts w:asciiTheme="minorHAnsi" w:hAnsiTheme="minorHAnsi" w:cs="Arial"/>
                <w:color w:val="0D0D0D" w:themeColor="text1" w:themeTint="F2"/>
                <w:szCs w:val="20"/>
              </w:rPr>
              <w:t>events.</w:t>
            </w:r>
          </w:p>
          <w:p w14:paraId="06D37436" w14:textId="77777777" w:rsidR="004B31F9" w:rsidRPr="007D62EA" w:rsidRDefault="004B31F9" w:rsidP="003A2353">
            <w:pPr>
              <w:pStyle w:val="ListParagraph"/>
              <w:numPr>
                <w:ilvl w:val="0"/>
                <w:numId w:val="10"/>
              </w:numPr>
              <w:ind w:left="714" w:hanging="357"/>
              <w:contextualSpacing w:val="0"/>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At the Repex working group on 30</w:t>
            </w:r>
            <w:r w:rsidRPr="007D62EA">
              <w:rPr>
                <w:rFonts w:asciiTheme="minorHAnsi" w:hAnsiTheme="minorHAnsi" w:cs="Arial"/>
                <w:color w:val="0D0D0D" w:themeColor="text1" w:themeTint="F2"/>
                <w:szCs w:val="20"/>
                <w:vertAlign w:val="superscript"/>
              </w:rPr>
              <w:t>th</w:t>
            </w:r>
            <w:r w:rsidRPr="007D62EA">
              <w:rPr>
                <w:rFonts w:asciiTheme="minorHAnsi" w:hAnsiTheme="minorHAnsi" w:cs="Arial"/>
                <w:color w:val="0D0D0D" w:themeColor="text1" w:themeTint="F2"/>
                <w:szCs w:val="20"/>
              </w:rPr>
              <w:t xml:space="preserve"> July there were no slides covering connections</w:t>
            </w:r>
          </w:p>
          <w:p w14:paraId="1CE7EFF9" w14:textId="5F20CA97" w:rsidR="0025146C" w:rsidRPr="007D62EA" w:rsidRDefault="004B31F9" w:rsidP="0054321E">
            <w:pPr>
              <w:pStyle w:val="ListParagraph"/>
              <w:numPr>
                <w:ilvl w:val="0"/>
                <w:numId w:val="10"/>
              </w:numPr>
              <w:ind w:left="714" w:hanging="357"/>
              <w:contextualSpacing w:val="0"/>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At the Repex working group on 20</w:t>
            </w:r>
            <w:r w:rsidRPr="007D62EA">
              <w:rPr>
                <w:rFonts w:asciiTheme="minorHAnsi" w:hAnsiTheme="minorHAnsi" w:cs="Arial"/>
                <w:color w:val="0D0D0D" w:themeColor="text1" w:themeTint="F2"/>
                <w:szCs w:val="20"/>
                <w:vertAlign w:val="superscript"/>
              </w:rPr>
              <w:t>th</w:t>
            </w:r>
            <w:r w:rsidRPr="007D62EA">
              <w:rPr>
                <w:rFonts w:asciiTheme="minorHAnsi" w:hAnsiTheme="minorHAnsi" w:cs="Arial"/>
                <w:color w:val="0D0D0D" w:themeColor="text1" w:themeTint="F2"/>
                <w:szCs w:val="20"/>
              </w:rPr>
              <w:t xml:space="preserve"> August there were two slides (Pages 26 &amp; 27) at the end of the pack covering connections unit costs</w:t>
            </w:r>
            <w:r w:rsidR="0025146C" w:rsidRPr="007D62EA">
              <w:rPr>
                <w:rFonts w:asciiTheme="minorHAnsi" w:hAnsiTheme="minorHAnsi" w:cs="Arial"/>
                <w:color w:val="0D0D0D" w:themeColor="text1" w:themeTint="F2"/>
                <w:szCs w:val="20"/>
              </w:rPr>
              <w:t xml:space="preserve">. As these were not included in the agenda, they were clearly a late addition to the slide pack, and there was no discussion </w:t>
            </w:r>
            <w:r w:rsidR="001B7E17">
              <w:rPr>
                <w:rFonts w:asciiTheme="minorHAnsi" w:hAnsiTheme="minorHAnsi" w:cs="Arial"/>
                <w:color w:val="0D0D0D" w:themeColor="text1" w:themeTint="F2"/>
                <w:szCs w:val="20"/>
              </w:rPr>
              <w:t>other than a brief reference t</w:t>
            </w:r>
            <w:r w:rsidR="0089691D">
              <w:rPr>
                <w:rFonts w:asciiTheme="minorHAnsi" w:hAnsiTheme="minorHAnsi" w:cs="Arial"/>
                <w:color w:val="0D0D0D" w:themeColor="text1" w:themeTint="F2"/>
                <w:szCs w:val="20"/>
              </w:rPr>
              <w:t>o</w:t>
            </w:r>
            <w:r w:rsidR="0025146C" w:rsidRPr="007D62EA">
              <w:rPr>
                <w:rFonts w:asciiTheme="minorHAnsi" w:hAnsiTheme="minorHAnsi" w:cs="Arial"/>
                <w:color w:val="0D0D0D" w:themeColor="text1" w:themeTint="F2"/>
                <w:szCs w:val="20"/>
              </w:rPr>
              <w:t xml:space="preserve"> them</w:t>
            </w:r>
            <w:r w:rsidR="0089691D">
              <w:rPr>
                <w:rFonts w:asciiTheme="minorHAnsi" w:hAnsiTheme="minorHAnsi" w:cs="Arial"/>
                <w:color w:val="0D0D0D" w:themeColor="text1" w:themeTint="F2"/>
                <w:szCs w:val="20"/>
              </w:rPr>
              <w:t>,</w:t>
            </w:r>
            <w:r w:rsidR="0025146C" w:rsidRPr="007D62EA">
              <w:rPr>
                <w:rFonts w:asciiTheme="minorHAnsi" w:hAnsiTheme="minorHAnsi" w:cs="Arial"/>
                <w:color w:val="0D0D0D" w:themeColor="text1" w:themeTint="F2"/>
                <w:szCs w:val="20"/>
              </w:rPr>
              <w:t xml:space="preserve"> in the meeting</w:t>
            </w:r>
            <w:r w:rsidRPr="007D62EA">
              <w:rPr>
                <w:rFonts w:asciiTheme="minorHAnsi" w:hAnsiTheme="minorHAnsi" w:cs="Arial"/>
                <w:color w:val="0D0D0D" w:themeColor="text1" w:themeTint="F2"/>
                <w:szCs w:val="20"/>
              </w:rPr>
              <w:t>.</w:t>
            </w:r>
          </w:p>
          <w:p w14:paraId="0D337457" w14:textId="2914C575" w:rsidR="004B31F9" w:rsidRPr="007D62EA" w:rsidRDefault="004B31F9" w:rsidP="003A2353">
            <w:pPr>
              <w:pStyle w:val="ListParagraph"/>
              <w:numPr>
                <w:ilvl w:val="0"/>
                <w:numId w:val="10"/>
              </w:numPr>
              <w:ind w:left="714" w:hanging="357"/>
              <w:contextualSpacing w:val="0"/>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At the Repex working group on 17</w:t>
            </w:r>
            <w:r w:rsidRPr="007D62EA">
              <w:rPr>
                <w:rFonts w:asciiTheme="minorHAnsi" w:hAnsiTheme="minorHAnsi" w:cs="Arial"/>
                <w:color w:val="0D0D0D" w:themeColor="text1" w:themeTint="F2"/>
                <w:szCs w:val="20"/>
                <w:vertAlign w:val="superscript"/>
              </w:rPr>
              <w:t>th</w:t>
            </w:r>
            <w:r w:rsidRPr="007D62EA">
              <w:rPr>
                <w:rFonts w:asciiTheme="minorHAnsi" w:hAnsiTheme="minorHAnsi" w:cs="Arial"/>
                <w:color w:val="0D0D0D" w:themeColor="text1" w:themeTint="F2"/>
                <w:szCs w:val="20"/>
              </w:rPr>
              <w:t xml:space="preserve"> September there were no slides covering connections and a lost opportunity to address a matter that had not been adequately covered at the August meeting.</w:t>
            </w:r>
          </w:p>
          <w:p w14:paraId="0A02F311" w14:textId="30144E49"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Concerning the</w:t>
            </w:r>
            <w:r w:rsidR="0025146C" w:rsidRPr="007D62EA">
              <w:rPr>
                <w:rFonts w:asciiTheme="minorHAnsi" w:hAnsiTheme="minorHAnsi" w:cs="Arial"/>
                <w:color w:val="0D0D0D" w:themeColor="text1" w:themeTint="F2"/>
                <w:szCs w:val="20"/>
              </w:rPr>
              <w:t xml:space="preserve"> 20</w:t>
            </w:r>
            <w:r w:rsidR="0025146C" w:rsidRPr="007D62EA">
              <w:rPr>
                <w:rFonts w:asciiTheme="minorHAnsi" w:hAnsiTheme="minorHAnsi" w:cs="Arial"/>
                <w:color w:val="0D0D0D" w:themeColor="text1" w:themeTint="F2"/>
                <w:szCs w:val="20"/>
                <w:vertAlign w:val="superscript"/>
              </w:rPr>
              <w:t>th</w:t>
            </w:r>
            <w:r w:rsidR="0025146C" w:rsidRPr="007D62EA">
              <w:rPr>
                <w:rFonts w:asciiTheme="minorHAnsi" w:hAnsiTheme="minorHAnsi" w:cs="Arial"/>
                <w:color w:val="0D0D0D" w:themeColor="text1" w:themeTint="F2"/>
                <w:szCs w:val="20"/>
              </w:rPr>
              <w:t xml:space="preserve"> </w:t>
            </w:r>
            <w:r w:rsidRPr="007D62EA">
              <w:rPr>
                <w:rFonts w:asciiTheme="minorHAnsi" w:hAnsiTheme="minorHAnsi" w:cs="Arial"/>
                <w:color w:val="0D0D0D" w:themeColor="text1" w:themeTint="F2"/>
                <w:szCs w:val="20"/>
              </w:rPr>
              <w:t>August meeting</w:t>
            </w:r>
            <w:r w:rsidR="00954F90" w:rsidRPr="007D62EA">
              <w:rPr>
                <w:rFonts w:asciiTheme="minorHAnsi" w:hAnsiTheme="minorHAnsi" w:cs="Arial"/>
                <w:color w:val="0D0D0D" w:themeColor="text1" w:themeTint="F2"/>
                <w:szCs w:val="20"/>
              </w:rPr>
              <w:t>,</w:t>
            </w:r>
            <w:r w:rsidRPr="007D62EA">
              <w:rPr>
                <w:rFonts w:asciiTheme="minorHAnsi" w:hAnsiTheme="minorHAnsi" w:cs="Arial"/>
                <w:color w:val="0D0D0D" w:themeColor="text1" w:themeTint="F2"/>
                <w:szCs w:val="20"/>
              </w:rPr>
              <w:t xml:space="preserve"> the ‘agenda’ did not include connections</w:t>
            </w:r>
            <w:r w:rsidR="00954F90" w:rsidRPr="007D62EA">
              <w:rPr>
                <w:rFonts w:asciiTheme="minorHAnsi" w:hAnsiTheme="minorHAnsi" w:cs="Arial"/>
                <w:color w:val="0D0D0D" w:themeColor="text1" w:themeTint="F2"/>
                <w:szCs w:val="20"/>
              </w:rPr>
              <w:t>:</w:t>
            </w:r>
          </w:p>
          <w:p w14:paraId="2E339544" w14:textId="77777777"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noProof/>
                <w:color w:val="0D0D0D" w:themeColor="text1" w:themeTint="F2"/>
                <w:szCs w:val="20"/>
                <w:lang w:eastAsia="en-GB"/>
              </w:rPr>
              <w:drawing>
                <wp:inline distT="0" distB="0" distL="0" distR="0" wp14:anchorId="758035EA" wp14:editId="52A13F41">
                  <wp:extent cx="4844405" cy="273886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67260" cy="2751786"/>
                          </a:xfrm>
                          <a:prstGeom prst="rect">
                            <a:avLst/>
                          </a:prstGeom>
                        </pic:spPr>
                      </pic:pic>
                    </a:graphicData>
                  </a:graphic>
                </wp:inline>
              </w:drawing>
            </w:r>
          </w:p>
          <w:p w14:paraId="51276C67" w14:textId="32BB92C7" w:rsidR="004B31F9" w:rsidRPr="007D62EA" w:rsidRDefault="0025146C" w:rsidP="0025146C">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Concerning the lack of discussion regarding methodology the two slides are presented below (slides 26 and 27)</w:t>
            </w:r>
            <w:r w:rsidR="004B31F9" w:rsidRPr="007D62EA">
              <w:rPr>
                <w:rFonts w:asciiTheme="minorHAnsi" w:hAnsiTheme="minorHAnsi" w:cs="Arial"/>
                <w:color w:val="0D0D0D" w:themeColor="text1" w:themeTint="F2"/>
                <w:szCs w:val="20"/>
              </w:rPr>
              <w:t>.</w:t>
            </w:r>
          </w:p>
          <w:p w14:paraId="70767AFD" w14:textId="77777777"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noProof/>
                <w:color w:val="0D0D0D" w:themeColor="text1" w:themeTint="F2"/>
                <w:szCs w:val="20"/>
                <w:lang w:eastAsia="en-GB"/>
              </w:rPr>
              <w:lastRenderedPageBreak/>
              <w:drawing>
                <wp:inline distT="0" distB="0" distL="0" distR="0" wp14:anchorId="0F047429" wp14:editId="38E910AD">
                  <wp:extent cx="5055945" cy="2836057"/>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81636" cy="2850468"/>
                          </a:xfrm>
                          <a:prstGeom prst="rect">
                            <a:avLst/>
                          </a:prstGeom>
                        </pic:spPr>
                      </pic:pic>
                    </a:graphicData>
                  </a:graphic>
                </wp:inline>
              </w:drawing>
            </w:r>
          </w:p>
          <w:p w14:paraId="0C59385F" w14:textId="77777777"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noProof/>
                <w:color w:val="0D0D0D" w:themeColor="text1" w:themeTint="F2"/>
                <w:szCs w:val="20"/>
                <w:lang w:eastAsia="en-GB"/>
              </w:rPr>
              <w:drawing>
                <wp:inline distT="0" distB="0" distL="0" distR="0" wp14:anchorId="60319722" wp14:editId="697FEED5">
                  <wp:extent cx="4987707" cy="2808832"/>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16984" cy="2825320"/>
                          </a:xfrm>
                          <a:prstGeom prst="rect">
                            <a:avLst/>
                          </a:prstGeom>
                        </pic:spPr>
                      </pic:pic>
                    </a:graphicData>
                  </a:graphic>
                </wp:inline>
              </w:drawing>
            </w:r>
          </w:p>
          <w:p w14:paraId="55D43CBF" w14:textId="1863338B" w:rsidR="004B31F9" w:rsidRPr="007D62EA" w:rsidRDefault="0025146C"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Firstly, the</w:t>
            </w:r>
            <w:r w:rsidR="004B31F9" w:rsidRPr="007D62EA">
              <w:rPr>
                <w:rFonts w:asciiTheme="minorHAnsi" w:hAnsiTheme="minorHAnsi" w:cs="Arial"/>
                <w:color w:val="0D0D0D" w:themeColor="text1" w:themeTint="F2"/>
                <w:szCs w:val="20"/>
              </w:rPr>
              <w:t xml:space="preserve"> material presented and discussed in the working group meetings was solely focussed on setting iron mains ‘decommissioning’ unit costs reconciling to the top down Totex regression. This has no relationship with connection unit costs.</w:t>
            </w:r>
          </w:p>
          <w:p w14:paraId="4A2B59FB" w14:textId="51D55D25"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Secondly, given the nature of the connections costs being a volume driver rather than a fixed PCD, or deliverable, the</w:t>
            </w:r>
            <w:r w:rsidR="0025146C" w:rsidRPr="007D62EA">
              <w:rPr>
                <w:rFonts w:asciiTheme="minorHAnsi" w:hAnsiTheme="minorHAnsi" w:cs="Arial"/>
                <w:color w:val="0D0D0D" w:themeColor="text1" w:themeTint="F2"/>
                <w:szCs w:val="20"/>
              </w:rPr>
              <w:t>re</w:t>
            </w:r>
            <w:r w:rsidRPr="007D62EA">
              <w:rPr>
                <w:rFonts w:asciiTheme="minorHAnsi" w:hAnsiTheme="minorHAnsi" w:cs="Arial"/>
                <w:color w:val="0D0D0D" w:themeColor="text1" w:themeTint="F2"/>
                <w:szCs w:val="20"/>
              </w:rPr>
              <w:t xml:space="preserve"> is no reason to anticipate that the methodology used to derive the costs would be equivalent. </w:t>
            </w:r>
            <w:r w:rsidR="0025146C" w:rsidRPr="007D62EA">
              <w:rPr>
                <w:rFonts w:asciiTheme="minorHAnsi" w:hAnsiTheme="minorHAnsi" w:cs="Arial"/>
                <w:color w:val="0D0D0D" w:themeColor="text1" w:themeTint="F2"/>
                <w:szCs w:val="20"/>
              </w:rPr>
              <w:t>Rather there are direct errors created by maintaining the same methodology.</w:t>
            </w:r>
          </w:p>
          <w:p w14:paraId="7C27CFEA" w14:textId="0BEFC6B0" w:rsidR="004B31F9"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Finally, the result presented in August show</w:t>
            </w:r>
            <w:r w:rsidR="0025146C" w:rsidRPr="007D62EA">
              <w:rPr>
                <w:rFonts w:asciiTheme="minorHAnsi" w:hAnsiTheme="minorHAnsi" w:cs="Arial"/>
                <w:color w:val="0D0D0D" w:themeColor="text1" w:themeTint="F2"/>
                <w:szCs w:val="20"/>
              </w:rPr>
              <w:t>ed</w:t>
            </w:r>
            <w:r w:rsidRPr="007D62EA">
              <w:rPr>
                <w:rFonts w:asciiTheme="minorHAnsi" w:hAnsiTheme="minorHAnsi" w:cs="Arial"/>
                <w:color w:val="0D0D0D" w:themeColor="text1" w:themeTint="F2"/>
                <w:szCs w:val="20"/>
              </w:rPr>
              <w:t xml:space="preserve"> a close clustering of unit costs</w:t>
            </w:r>
            <w:r w:rsidR="0025146C" w:rsidRPr="007D62EA">
              <w:rPr>
                <w:rFonts w:asciiTheme="minorHAnsi" w:hAnsiTheme="minorHAnsi" w:cs="Arial"/>
                <w:color w:val="0D0D0D" w:themeColor="text1" w:themeTint="F2"/>
                <w:szCs w:val="20"/>
              </w:rPr>
              <w:t>, whilst the slides were not discussed, this would not have indicated an underlying error</w:t>
            </w:r>
            <w:r w:rsidRPr="007D62EA">
              <w:rPr>
                <w:rFonts w:asciiTheme="minorHAnsi" w:hAnsiTheme="minorHAnsi" w:cs="Arial"/>
                <w:color w:val="0D0D0D" w:themeColor="text1" w:themeTint="F2"/>
                <w:szCs w:val="20"/>
              </w:rPr>
              <w:t>.</w:t>
            </w:r>
            <w:r w:rsidR="0025146C" w:rsidRPr="007D62EA">
              <w:rPr>
                <w:rFonts w:asciiTheme="minorHAnsi" w:hAnsiTheme="minorHAnsi" w:cs="Arial"/>
                <w:color w:val="0D0D0D" w:themeColor="text1" w:themeTint="F2"/>
                <w:szCs w:val="20"/>
              </w:rPr>
              <w:t xml:space="preserve"> </w:t>
            </w:r>
            <w:r w:rsidRPr="007D62EA">
              <w:rPr>
                <w:rFonts w:asciiTheme="minorHAnsi" w:hAnsiTheme="minorHAnsi" w:cs="Arial"/>
                <w:color w:val="0D0D0D" w:themeColor="text1" w:themeTint="F2"/>
                <w:szCs w:val="20"/>
              </w:rPr>
              <w:t xml:space="preserve">This is not the case in the observed costs concluded in the final determination and the subject of this FDQ. </w:t>
            </w:r>
          </w:p>
          <w:p w14:paraId="0C5377E7" w14:textId="50BF0454" w:rsidR="0025146C"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As such the</w:t>
            </w:r>
            <w:r w:rsidR="0025146C" w:rsidRPr="007D62EA">
              <w:rPr>
                <w:rFonts w:asciiTheme="minorHAnsi" w:hAnsiTheme="minorHAnsi" w:cs="Arial"/>
                <w:color w:val="0D0D0D" w:themeColor="text1" w:themeTint="F2"/>
                <w:szCs w:val="20"/>
              </w:rPr>
              <w:t xml:space="preserve"> statement “</w:t>
            </w:r>
            <w:r w:rsidR="0025146C" w:rsidRPr="007D62EA">
              <w:rPr>
                <w:rFonts w:asciiTheme="minorHAnsi" w:hAnsiTheme="minorHAnsi" w:cs="Arial"/>
                <w:i/>
                <w:iCs/>
                <w:color w:val="0D0D0D" w:themeColor="text1" w:themeTint="F2"/>
                <w:szCs w:val="20"/>
              </w:rPr>
              <w:t xml:space="preserve">Our decision on the approach to setting unit costs reflects our choice of methodology from the options consulted on through the Repex Working Group” </w:t>
            </w:r>
            <w:r w:rsidR="0025146C" w:rsidRPr="007D62EA">
              <w:rPr>
                <w:rFonts w:asciiTheme="minorHAnsi" w:hAnsiTheme="minorHAnsi" w:cs="Arial"/>
                <w:color w:val="0D0D0D" w:themeColor="text1" w:themeTint="F2"/>
                <w:szCs w:val="20"/>
              </w:rPr>
              <w:t>is incorrect and does not provide confidence that an error is not present.</w:t>
            </w:r>
          </w:p>
          <w:p w14:paraId="43B1BD76" w14:textId="77777777" w:rsidR="0025146C" w:rsidRPr="007D62EA" w:rsidRDefault="004B31F9"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lastRenderedPageBreak/>
              <w:t xml:space="preserve">Given the radical change in the distribution of unit costs between the results included in the slides in August and the final determination, it appears that either the error has been introduced since these original results were presented or that the original methodology was flawed. </w:t>
            </w:r>
          </w:p>
          <w:p w14:paraId="6F7BAE0C" w14:textId="24699AF4" w:rsidR="004B31F9" w:rsidRPr="007D62EA" w:rsidRDefault="003A2353"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P</w:t>
            </w:r>
            <w:r w:rsidR="0025146C" w:rsidRPr="007D62EA">
              <w:rPr>
                <w:rFonts w:asciiTheme="minorHAnsi" w:hAnsiTheme="minorHAnsi" w:cs="Arial"/>
                <w:color w:val="0D0D0D" w:themeColor="text1" w:themeTint="F2"/>
                <w:szCs w:val="20"/>
              </w:rPr>
              <w:t>lease can you provide a step by step explanation of the methodology used and a detailed trace of the calculations you have completed in order to arrive at the final determination allowances given</w:t>
            </w:r>
            <w:r w:rsidRPr="007D62EA">
              <w:rPr>
                <w:rFonts w:asciiTheme="minorHAnsi" w:hAnsiTheme="minorHAnsi" w:cs="Arial"/>
                <w:color w:val="0D0D0D" w:themeColor="text1" w:themeTint="F2"/>
                <w:szCs w:val="20"/>
              </w:rPr>
              <w:t xml:space="preserve">. The </w:t>
            </w:r>
            <w:r w:rsidR="0025146C" w:rsidRPr="007D62EA">
              <w:rPr>
                <w:rFonts w:asciiTheme="minorHAnsi" w:hAnsiTheme="minorHAnsi" w:cs="Arial"/>
                <w:color w:val="0D0D0D" w:themeColor="text1" w:themeTint="F2"/>
                <w:szCs w:val="20"/>
              </w:rPr>
              <w:t xml:space="preserve">values we have found </w:t>
            </w:r>
            <w:r w:rsidRPr="007D62EA">
              <w:rPr>
                <w:rFonts w:asciiTheme="minorHAnsi" w:hAnsiTheme="minorHAnsi" w:cs="Arial"/>
                <w:color w:val="0D0D0D" w:themeColor="text1" w:themeTint="F2"/>
                <w:szCs w:val="20"/>
              </w:rPr>
              <w:t xml:space="preserve">in the files released are </w:t>
            </w:r>
            <w:r w:rsidR="0025146C" w:rsidRPr="007D62EA">
              <w:rPr>
                <w:rFonts w:asciiTheme="minorHAnsi" w:hAnsiTheme="minorHAnsi" w:cs="Arial"/>
                <w:color w:val="0D0D0D" w:themeColor="text1" w:themeTint="F2"/>
                <w:szCs w:val="20"/>
              </w:rPr>
              <w:t>hard coded with no ability to trace formulas or calculations</w:t>
            </w:r>
            <w:r w:rsidRPr="007D62EA">
              <w:rPr>
                <w:rFonts w:asciiTheme="minorHAnsi" w:hAnsiTheme="minorHAnsi" w:cs="Arial"/>
                <w:color w:val="0D0D0D" w:themeColor="text1" w:themeTint="F2"/>
                <w:szCs w:val="20"/>
              </w:rPr>
              <w:t>.</w:t>
            </w:r>
          </w:p>
          <w:p w14:paraId="6F440C26" w14:textId="19C31670" w:rsidR="003A2353" w:rsidRPr="007D62EA" w:rsidRDefault="003A2353" w:rsidP="004B31F9">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 xml:space="preserve">Can you also confirm whether any networks changed their unit costs between DD and FD, as such a change may account for this change. </w:t>
            </w:r>
          </w:p>
          <w:p w14:paraId="26DF0818" w14:textId="404305BB" w:rsidR="004B31F9" w:rsidRPr="007D62EA" w:rsidRDefault="004B31F9" w:rsidP="00954F90">
            <w:pPr>
              <w:rPr>
                <w:rFonts w:asciiTheme="minorHAnsi" w:hAnsiTheme="minorHAnsi" w:cs="Arial"/>
                <w:color w:val="0D0D0D" w:themeColor="text1" w:themeTint="F2"/>
                <w:szCs w:val="20"/>
              </w:rPr>
            </w:pPr>
            <w:r w:rsidRPr="007D62EA">
              <w:rPr>
                <w:rFonts w:asciiTheme="minorHAnsi" w:hAnsiTheme="minorHAnsi" w:cs="Arial"/>
                <w:color w:val="0D0D0D" w:themeColor="text1" w:themeTint="F2"/>
                <w:szCs w:val="20"/>
              </w:rPr>
              <w:t>If you do not agree then please explain why such significant differences exist in allowed costs that go well beyond differences in relative efficiency between GDNs.</w:t>
            </w:r>
          </w:p>
          <w:p w14:paraId="373E21D8" w14:textId="7D04D833" w:rsidR="00DC4F39" w:rsidRPr="007D62EA" w:rsidRDefault="00DC4F39" w:rsidP="00004B8C">
            <w:pPr>
              <w:pStyle w:val="xmsonormal"/>
              <w:rPr>
                <w:rFonts w:asciiTheme="minorHAnsi" w:hAnsiTheme="minorHAnsi" w:cs="Arial"/>
                <w:color w:val="0D0D0D" w:themeColor="text1" w:themeTint="F2"/>
                <w:sz w:val="20"/>
                <w:szCs w:val="20"/>
              </w:rPr>
            </w:pPr>
          </w:p>
        </w:tc>
      </w:tr>
      <w:tr w:rsidR="005927B6" w:rsidRPr="007D62EA" w14:paraId="5689E132" w14:textId="77777777" w:rsidTr="006D7788">
        <w:trPr>
          <w:trHeight w:val="127"/>
        </w:trPr>
        <w:tc>
          <w:tcPr>
            <w:tcW w:w="2269" w:type="dxa"/>
            <w:gridSpan w:val="2"/>
            <w:shd w:val="clear" w:color="auto" w:fill="auto"/>
            <w:vAlign w:val="center"/>
          </w:tcPr>
          <w:p w14:paraId="00E00379" w14:textId="0380BCDB" w:rsidR="005927B6" w:rsidRPr="007D62EA" w:rsidRDefault="005927B6" w:rsidP="00945C7C">
            <w:pPr>
              <w:rPr>
                <w:rFonts w:asciiTheme="minorHAnsi" w:hAnsiTheme="minorHAnsi" w:cs="Arial"/>
                <w:b/>
                <w:bCs/>
                <w:szCs w:val="20"/>
              </w:rPr>
            </w:pPr>
            <w:r w:rsidRPr="007D62EA">
              <w:rPr>
                <w:rFonts w:asciiTheme="minorHAnsi" w:hAnsiTheme="minorHAnsi" w:cs="Arial"/>
                <w:b/>
                <w:bCs/>
                <w:szCs w:val="20"/>
              </w:rPr>
              <w:lastRenderedPageBreak/>
              <w:t>Confidential</w:t>
            </w:r>
          </w:p>
        </w:tc>
        <w:tc>
          <w:tcPr>
            <w:tcW w:w="8363" w:type="dxa"/>
            <w:gridSpan w:val="2"/>
            <w:shd w:val="clear" w:color="auto" w:fill="auto"/>
            <w:vAlign w:val="center"/>
          </w:tcPr>
          <w:p w14:paraId="2CF1E278" w14:textId="7EDF3E27" w:rsidR="005927B6" w:rsidRPr="007D62EA" w:rsidRDefault="005927B6" w:rsidP="005927B6">
            <w:pPr>
              <w:rPr>
                <w:rFonts w:asciiTheme="minorHAnsi" w:hAnsiTheme="minorHAnsi" w:cs="Arial"/>
                <w:szCs w:val="20"/>
              </w:rPr>
            </w:pPr>
            <w:r w:rsidRPr="007D62EA">
              <w:rPr>
                <w:rFonts w:asciiTheme="minorHAnsi" w:hAnsiTheme="minorHAnsi" w:cs="Arial"/>
                <w:szCs w:val="20"/>
              </w:rPr>
              <w:t>No</w:t>
            </w:r>
          </w:p>
        </w:tc>
      </w:tr>
      <w:tr w:rsidR="00A06191" w:rsidRPr="007D62EA" w14:paraId="373E21DC" w14:textId="77777777" w:rsidTr="006D7788">
        <w:trPr>
          <w:trHeight w:val="127"/>
        </w:trPr>
        <w:tc>
          <w:tcPr>
            <w:tcW w:w="2269" w:type="dxa"/>
            <w:gridSpan w:val="2"/>
            <w:shd w:val="clear" w:color="auto" w:fill="auto"/>
            <w:vAlign w:val="center"/>
          </w:tcPr>
          <w:p w14:paraId="373E21DA" w14:textId="31C9A8AB" w:rsidR="00A06191" w:rsidRPr="007D62EA" w:rsidRDefault="003F465C" w:rsidP="00A0584E">
            <w:pPr>
              <w:rPr>
                <w:rFonts w:asciiTheme="minorHAnsi" w:hAnsiTheme="minorHAnsi" w:cs="Arial"/>
                <w:b/>
                <w:bCs/>
                <w:szCs w:val="20"/>
              </w:rPr>
            </w:pPr>
            <w:r w:rsidRPr="007D62EA">
              <w:rPr>
                <w:rFonts w:asciiTheme="minorHAnsi" w:hAnsiTheme="minorHAnsi" w:cs="Arial"/>
                <w:b/>
                <w:bCs/>
                <w:szCs w:val="20"/>
              </w:rPr>
              <w:t>F</w:t>
            </w:r>
            <w:r w:rsidR="00F20F23" w:rsidRPr="007D62EA">
              <w:rPr>
                <w:rFonts w:asciiTheme="minorHAnsi" w:hAnsiTheme="minorHAnsi" w:cs="Arial"/>
                <w:b/>
                <w:bCs/>
                <w:szCs w:val="20"/>
              </w:rPr>
              <w:t>D</w:t>
            </w:r>
            <w:r w:rsidR="00A0584E" w:rsidRPr="007D62EA">
              <w:rPr>
                <w:rFonts w:asciiTheme="minorHAnsi" w:hAnsiTheme="minorHAnsi" w:cs="Arial"/>
                <w:b/>
                <w:bCs/>
                <w:szCs w:val="20"/>
              </w:rPr>
              <w:t xml:space="preserve">Q raised by </w:t>
            </w:r>
          </w:p>
        </w:tc>
        <w:tc>
          <w:tcPr>
            <w:tcW w:w="8363" w:type="dxa"/>
            <w:gridSpan w:val="2"/>
            <w:shd w:val="clear" w:color="auto" w:fill="auto"/>
            <w:vAlign w:val="center"/>
          </w:tcPr>
          <w:p w14:paraId="373E21DB" w14:textId="0444F381" w:rsidR="00A06191" w:rsidRPr="007D62EA" w:rsidRDefault="0002042B" w:rsidP="0060723D">
            <w:pPr>
              <w:rPr>
                <w:rFonts w:asciiTheme="minorHAnsi" w:hAnsiTheme="minorHAnsi" w:cs="Arial"/>
                <w:szCs w:val="20"/>
              </w:rPr>
            </w:pPr>
            <w:r w:rsidRPr="007D62EA">
              <w:rPr>
                <w:rFonts w:asciiTheme="minorHAnsi" w:hAnsiTheme="minorHAnsi" w:cs="Arial"/>
                <w:szCs w:val="20"/>
              </w:rPr>
              <w:t>SGN</w:t>
            </w:r>
          </w:p>
        </w:tc>
      </w:tr>
      <w:tr w:rsidR="00673EE9" w:rsidRPr="007D62EA" w14:paraId="106D6882" w14:textId="77777777" w:rsidTr="006D7788">
        <w:trPr>
          <w:trHeight w:val="127"/>
        </w:trPr>
        <w:tc>
          <w:tcPr>
            <w:tcW w:w="2269" w:type="dxa"/>
            <w:gridSpan w:val="2"/>
            <w:shd w:val="clear" w:color="auto" w:fill="auto"/>
            <w:vAlign w:val="center"/>
          </w:tcPr>
          <w:p w14:paraId="3DCAB986" w14:textId="7696EB9F" w:rsidR="00673EE9" w:rsidRPr="007D62EA" w:rsidRDefault="00673EE9" w:rsidP="00945C7C">
            <w:pPr>
              <w:rPr>
                <w:rFonts w:asciiTheme="minorHAnsi" w:hAnsiTheme="minorHAnsi" w:cs="Arial"/>
                <w:b/>
                <w:bCs/>
                <w:szCs w:val="20"/>
              </w:rPr>
            </w:pPr>
            <w:r w:rsidRPr="007D62EA">
              <w:rPr>
                <w:rFonts w:asciiTheme="minorHAnsi" w:hAnsiTheme="minorHAnsi" w:cs="Arial"/>
                <w:b/>
                <w:bCs/>
                <w:szCs w:val="20"/>
              </w:rPr>
              <w:t>Date Sent</w:t>
            </w:r>
          </w:p>
        </w:tc>
        <w:tc>
          <w:tcPr>
            <w:tcW w:w="8363" w:type="dxa"/>
            <w:gridSpan w:val="2"/>
            <w:shd w:val="clear" w:color="auto" w:fill="auto"/>
            <w:vAlign w:val="center"/>
          </w:tcPr>
          <w:p w14:paraId="253C2BEA" w14:textId="7524E882" w:rsidR="00673EE9" w:rsidRPr="007D62EA" w:rsidRDefault="00954F90" w:rsidP="00A0584E">
            <w:pPr>
              <w:rPr>
                <w:rFonts w:asciiTheme="minorHAnsi" w:hAnsiTheme="minorHAnsi" w:cs="Arial"/>
                <w:szCs w:val="20"/>
              </w:rPr>
            </w:pPr>
            <w:r w:rsidRPr="007D62EA">
              <w:rPr>
                <w:rFonts w:asciiTheme="minorHAnsi" w:hAnsiTheme="minorHAnsi" w:cs="Arial"/>
                <w:szCs w:val="20"/>
              </w:rPr>
              <w:t>07/01/2021</w:t>
            </w:r>
          </w:p>
        </w:tc>
      </w:tr>
      <w:tr w:rsidR="00954F90" w:rsidRPr="007D62EA" w14:paraId="165CAB3B" w14:textId="77777777" w:rsidTr="006D7788">
        <w:trPr>
          <w:trHeight w:val="8036"/>
        </w:trPr>
        <w:tc>
          <w:tcPr>
            <w:tcW w:w="2269" w:type="dxa"/>
            <w:gridSpan w:val="2"/>
            <w:shd w:val="clear" w:color="auto" w:fill="auto"/>
            <w:vAlign w:val="center"/>
          </w:tcPr>
          <w:p w14:paraId="40F45357" w14:textId="54ACCD18" w:rsidR="00954F90" w:rsidRPr="007D62EA" w:rsidRDefault="00954F90" w:rsidP="00945C7C">
            <w:pPr>
              <w:rPr>
                <w:rFonts w:asciiTheme="minorHAnsi" w:hAnsiTheme="minorHAnsi" w:cs="Arial"/>
                <w:b/>
                <w:bCs/>
                <w:szCs w:val="20"/>
              </w:rPr>
            </w:pPr>
            <w:r w:rsidRPr="007D62EA">
              <w:rPr>
                <w:rFonts w:asciiTheme="minorHAnsi" w:hAnsiTheme="minorHAnsi" w:cs="Arial"/>
                <w:b/>
                <w:bCs/>
                <w:szCs w:val="20"/>
              </w:rPr>
              <w:t>Ofgem Response</w:t>
            </w:r>
          </w:p>
        </w:tc>
        <w:tc>
          <w:tcPr>
            <w:tcW w:w="8363" w:type="dxa"/>
            <w:gridSpan w:val="2"/>
            <w:shd w:val="clear" w:color="auto" w:fill="auto"/>
            <w:vAlign w:val="center"/>
          </w:tcPr>
          <w:p w14:paraId="3ECE3A9E" w14:textId="6080238E" w:rsidR="009509D8" w:rsidRDefault="009509D8" w:rsidP="00A0584E">
            <w:pPr>
              <w:rPr>
                <w:rFonts w:asciiTheme="minorHAnsi" w:hAnsiTheme="minorHAnsi" w:cs="Arial"/>
                <w:szCs w:val="20"/>
              </w:rPr>
            </w:pPr>
            <w:r>
              <w:rPr>
                <w:rFonts w:asciiTheme="minorHAnsi" w:hAnsiTheme="minorHAnsi" w:cs="Arial"/>
                <w:szCs w:val="20"/>
              </w:rPr>
              <w:t xml:space="preserve">Having reviewed our response to FDQ_18, we note that our </w:t>
            </w:r>
            <w:r w:rsidR="002D5AD9">
              <w:rPr>
                <w:rFonts w:asciiTheme="minorHAnsi" w:hAnsiTheme="minorHAnsi" w:cs="Arial"/>
                <w:szCs w:val="20"/>
              </w:rPr>
              <w:t>response</w:t>
            </w:r>
            <w:r>
              <w:rPr>
                <w:rFonts w:asciiTheme="minorHAnsi" w:hAnsiTheme="minorHAnsi" w:cs="Arial"/>
                <w:szCs w:val="20"/>
              </w:rPr>
              <w:t xml:space="preserve"> is potentially ambiguous and therefore we think it is important to clarify what we were intending to reference. </w:t>
            </w:r>
          </w:p>
          <w:p w14:paraId="18B56CCD" w14:textId="4EDE3CC5" w:rsidR="00954F90" w:rsidRDefault="00817DDE" w:rsidP="00A0584E">
            <w:pPr>
              <w:rPr>
                <w:rFonts w:asciiTheme="minorHAnsi" w:hAnsiTheme="minorHAnsi" w:cs="Arial"/>
                <w:szCs w:val="20"/>
              </w:rPr>
            </w:pPr>
            <w:r>
              <w:rPr>
                <w:rFonts w:asciiTheme="minorHAnsi" w:hAnsiTheme="minorHAnsi" w:cs="Arial"/>
                <w:szCs w:val="20"/>
              </w:rPr>
              <w:t>Our reference to the “</w:t>
            </w:r>
            <w:r w:rsidRPr="00817DDE">
              <w:rPr>
                <w:rFonts w:asciiTheme="minorHAnsi" w:hAnsiTheme="minorHAnsi" w:cs="Arial"/>
                <w:i/>
                <w:iCs/>
                <w:szCs w:val="20"/>
              </w:rPr>
              <w:t>choice of methodology from the options consulted on through the Repex Working Group</w:t>
            </w:r>
            <w:r>
              <w:rPr>
                <w:rFonts w:asciiTheme="minorHAnsi" w:hAnsiTheme="minorHAnsi" w:cs="Arial"/>
                <w:szCs w:val="20"/>
              </w:rPr>
              <w:t>” in FDQ_18 was with respect to the different options for the methodology used to set unit costs, which were presented and discussed at the Repex Working Group on 17</w:t>
            </w:r>
            <w:r w:rsidRPr="00817DDE">
              <w:rPr>
                <w:rFonts w:asciiTheme="minorHAnsi" w:hAnsiTheme="minorHAnsi" w:cs="Arial"/>
                <w:szCs w:val="20"/>
                <w:vertAlign w:val="superscript"/>
              </w:rPr>
              <w:t>th</w:t>
            </w:r>
            <w:r>
              <w:rPr>
                <w:rFonts w:asciiTheme="minorHAnsi" w:hAnsiTheme="minorHAnsi" w:cs="Arial"/>
                <w:szCs w:val="20"/>
              </w:rPr>
              <w:t xml:space="preserve"> Sept 2020. At this working group session, we presented three potential approaches to calculating unit costs, under the agenda point “5. Unit cost approach”. </w:t>
            </w:r>
          </w:p>
          <w:p w14:paraId="104B4D70" w14:textId="77777777" w:rsidR="00817DDE" w:rsidRDefault="00817DDE" w:rsidP="00A0584E">
            <w:pPr>
              <w:rPr>
                <w:rFonts w:asciiTheme="minorHAnsi" w:hAnsiTheme="minorHAnsi" w:cs="Arial"/>
                <w:szCs w:val="20"/>
              </w:rPr>
            </w:pPr>
            <w:r w:rsidRPr="00817DDE">
              <w:rPr>
                <w:rFonts w:asciiTheme="minorHAnsi" w:hAnsiTheme="minorHAnsi" w:cs="Arial"/>
                <w:noProof/>
                <w:szCs w:val="20"/>
                <w:lang w:eastAsia="en-GB"/>
              </w:rPr>
              <w:drawing>
                <wp:inline distT="0" distB="0" distL="0" distR="0" wp14:anchorId="54B8F66B" wp14:editId="04AF963B">
                  <wp:extent cx="4954705" cy="27831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59758" cy="2785949"/>
                          </a:xfrm>
                          <a:prstGeom prst="rect">
                            <a:avLst/>
                          </a:prstGeom>
                          <a:noFill/>
                          <a:ln>
                            <a:noFill/>
                          </a:ln>
                        </pic:spPr>
                      </pic:pic>
                    </a:graphicData>
                  </a:graphic>
                </wp:inline>
              </w:drawing>
            </w:r>
          </w:p>
          <w:p w14:paraId="42FB3A9F" w14:textId="77777777" w:rsidR="00817DDE" w:rsidRDefault="00817DDE" w:rsidP="00A0584E">
            <w:pPr>
              <w:rPr>
                <w:rFonts w:asciiTheme="minorHAnsi" w:hAnsiTheme="minorHAnsi" w:cs="Arial"/>
                <w:szCs w:val="20"/>
              </w:rPr>
            </w:pPr>
            <w:r>
              <w:rPr>
                <w:rFonts w:asciiTheme="minorHAnsi" w:hAnsiTheme="minorHAnsi" w:cs="Arial"/>
                <w:szCs w:val="20"/>
              </w:rPr>
              <w:t xml:space="preserve">We also noted </w:t>
            </w:r>
            <w:r w:rsidR="000F036B">
              <w:rPr>
                <w:rFonts w:asciiTheme="minorHAnsi" w:hAnsiTheme="minorHAnsi" w:cs="Arial"/>
                <w:szCs w:val="20"/>
              </w:rPr>
              <w:t>that “</w:t>
            </w:r>
            <w:r w:rsidR="000F036B" w:rsidRPr="009509D8">
              <w:rPr>
                <w:rFonts w:asciiTheme="minorHAnsi" w:hAnsiTheme="minorHAnsi" w:cs="Arial"/>
                <w:i/>
                <w:iCs/>
                <w:szCs w:val="20"/>
              </w:rPr>
              <w:t>we have developed three options for calculating PCD unit costs, which we intend to use broadly across price controls PCDs and volume drivers (where applicable)</w:t>
            </w:r>
            <w:r w:rsidR="000F036B">
              <w:rPr>
                <w:rFonts w:asciiTheme="minorHAnsi" w:hAnsiTheme="minorHAnsi" w:cs="Arial"/>
                <w:szCs w:val="20"/>
              </w:rPr>
              <w:t>” (slide 9 from the 17 Sept 2020 Repex WG)</w:t>
            </w:r>
          </w:p>
          <w:p w14:paraId="5CD7B2CD" w14:textId="39F6C9B3" w:rsidR="000F036B" w:rsidRDefault="000F036B" w:rsidP="00A0584E">
            <w:pPr>
              <w:rPr>
                <w:rFonts w:asciiTheme="minorHAnsi" w:hAnsiTheme="minorHAnsi" w:cs="Arial"/>
                <w:szCs w:val="20"/>
              </w:rPr>
            </w:pPr>
            <w:r w:rsidRPr="000F036B">
              <w:rPr>
                <w:rFonts w:asciiTheme="minorHAnsi" w:hAnsiTheme="minorHAnsi" w:cs="Arial"/>
                <w:noProof/>
                <w:szCs w:val="20"/>
                <w:lang w:eastAsia="en-GB"/>
              </w:rPr>
              <w:lastRenderedPageBreak/>
              <w:drawing>
                <wp:inline distT="0" distB="0" distL="0" distR="0" wp14:anchorId="0CD4D7A5" wp14:editId="3682C02A">
                  <wp:extent cx="5007941" cy="2813014"/>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9576" cy="2813932"/>
                          </a:xfrm>
                          <a:prstGeom prst="rect">
                            <a:avLst/>
                          </a:prstGeom>
                          <a:noFill/>
                          <a:ln>
                            <a:noFill/>
                          </a:ln>
                        </pic:spPr>
                      </pic:pic>
                    </a:graphicData>
                  </a:graphic>
                </wp:inline>
              </w:drawing>
            </w:r>
          </w:p>
          <w:p w14:paraId="4BA4BA55" w14:textId="35684193" w:rsidR="009509D8" w:rsidRDefault="009509D8" w:rsidP="00A0584E">
            <w:pPr>
              <w:rPr>
                <w:rFonts w:asciiTheme="minorHAnsi" w:hAnsiTheme="minorHAnsi" w:cs="Arial"/>
                <w:szCs w:val="20"/>
              </w:rPr>
            </w:pPr>
            <w:r>
              <w:rPr>
                <w:rFonts w:asciiTheme="minorHAnsi" w:hAnsiTheme="minorHAnsi" w:cs="Arial"/>
                <w:szCs w:val="20"/>
              </w:rPr>
              <w:t>While there may not have been a specific discussion with respect to FPNES unit costs, our intention to apply the same approach</w:t>
            </w:r>
            <w:r w:rsidR="008341B1">
              <w:rPr>
                <w:rFonts w:asciiTheme="minorHAnsi" w:hAnsiTheme="minorHAnsi" w:cs="Arial"/>
                <w:szCs w:val="20"/>
              </w:rPr>
              <w:t xml:space="preserve"> to calculating unit costs for PCDs and volume drivers</w:t>
            </w:r>
            <w:r>
              <w:rPr>
                <w:rFonts w:asciiTheme="minorHAnsi" w:hAnsiTheme="minorHAnsi" w:cs="Arial"/>
                <w:szCs w:val="20"/>
              </w:rPr>
              <w:t xml:space="preserve"> was made explicit, as noted in the above slide. </w:t>
            </w:r>
          </w:p>
          <w:p w14:paraId="1A21100E" w14:textId="7BA885E1" w:rsidR="0059221F" w:rsidRDefault="0059221F" w:rsidP="00A0584E">
            <w:pPr>
              <w:rPr>
                <w:rFonts w:asciiTheme="minorHAnsi" w:hAnsiTheme="minorHAnsi" w:cs="Arial"/>
                <w:szCs w:val="20"/>
              </w:rPr>
            </w:pPr>
            <w:r>
              <w:rPr>
                <w:rFonts w:asciiTheme="minorHAnsi" w:hAnsiTheme="minorHAnsi" w:cs="Arial"/>
                <w:szCs w:val="20"/>
              </w:rPr>
              <w:t>As noted in FDs, we applied a 5 step methodology to calculate unit costs from top-down allowances, summarised in the diagram below (included on p.131 of the GD Annex</w:t>
            </w:r>
            <w:r w:rsidR="002D5AD9">
              <w:rPr>
                <w:rFonts w:asciiTheme="minorHAnsi" w:hAnsiTheme="minorHAnsi" w:cs="Arial"/>
                <w:szCs w:val="20"/>
              </w:rPr>
              <w:t>)</w:t>
            </w:r>
          </w:p>
          <w:p w14:paraId="5486F198" w14:textId="57EF47D5" w:rsidR="0059221F" w:rsidRDefault="0059221F" w:rsidP="00A0584E">
            <w:pPr>
              <w:rPr>
                <w:rFonts w:asciiTheme="minorHAnsi" w:hAnsiTheme="minorHAnsi" w:cs="Arial"/>
                <w:szCs w:val="20"/>
              </w:rPr>
            </w:pPr>
          </w:p>
          <w:p w14:paraId="11A39AA3" w14:textId="48D7D117" w:rsidR="0059221F" w:rsidRDefault="0059221F" w:rsidP="00A0584E">
            <w:pPr>
              <w:rPr>
                <w:rFonts w:asciiTheme="minorHAnsi" w:hAnsiTheme="minorHAnsi" w:cs="Arial"/>
                <w:szCs w:val="20"/>
              </w:rPr>
            </w:pPr>
            <w:r w:rsidRPr="0059221F">
              <w:rPr>
                <w:rFonts w:asciiTheme="minorHAnsi" w:hAnsiTheme="minorHAnsi" w:cs="Arial"/>
                <w:noProof/>
                <w:szCs w:val="20"/>
                <w:lang w:eastAsia="en-GB"/>
              </w:rPr>
              <w:drawing>
                <wp:inline distT="0" distB="0" distL="0" distR="0" wp14:anchorId="13EFA9F7" wp14:editId="6C583109">
                  <wp:extent cx="5731510" cy="322389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3223895"/>
                          </a:xfrm>
                          <a:prstGeom prst="rect">
                            <a:avLst/>
                          </a:prstGeom>
                        </pic:spPr>
                      </pic:pic>
                    </a:graphicData>
                  </a:graphic>
                </wp:inline>
              </w:drawing>
            </w:r>
          </w:p>
          <w:p w14:paraId="1A7D4902" w14:textId="254CCC7D" w:rsidR="0059221F" w:rsidRDefault="0059221F" w:rsidP="0059221F">
            <w:pPr>
              <w:pStyle w:val="ListParagraph"/>
              <w:numPr>
                <w:ilvl w:val="0"/>
                <w:numId w:val="11"/>
              </w:numPr>
              <w:rPr>
                <w:rFonts w:asciiTheme="minorHAnsi" w:hAnsiTheme="minorHAnsi" w:cs="Arial"/>
                <w:szCs w:val="20"/>
              </w:rPr>
            </w:pPr>
            <w:r>
              <w:rPr>
                <w:rFonts w:asciiTheme="minorHAnsi" w:hAnsiTheme="minorHAnsi" w:cs="Arial"/>
                <w:szCs w:val="20"/>
              </w:rPr>
              <w:t>We calculated IA SUCs based on submitted data and we applied the same rules as for Repex and Capex SUCs. The</w:t>
            </w:r>
            <w:r w:rsidR="00A17CA9">
              <w:rPr>
                <w:rFonts w:asciiTheme="minorHAnsi" w:hAnsiTheme="minorHAnsi" w:cs="Arial"/>
                <w:szCs w:val="20"/>
              </w:rPr>
              <w:t xml:space="preserve"> connections values in the Inp_IA_SUCs sheet come from the Capex_Synthetic_Unit_Cost_Model file</w:t>
            </w:r>
            <w:r>
              <w:rPr>
                <w:rFonts w:asciiTheme="minorHAnsi" w:hAnsiTheme="minorHAnsi" w:cs="Arial"/>
                <w:szCs w:val="20"/>
              </w:rPr>
              <w:t>.</w:t>
            </w:r>
          </w:p>
          <w:p w14:paraId="2EE802AE" w14:textId="54E5FBFC" w:rsidR="0059221F" w:rsidRDefault="0059221F" w:rsidP="0059221F">
            <w:pPr>
              <w:pStyle w:val="ListParagraph"/>
              <w:numPr>
                <w:ilvl w:val="0"/>
                <w:numId w:val="11"/>
              </w:numPr>
              <w:rPr>
                <w:rFonts w:asciiTheme="minorHAnsi" w:hAnsiTheme="minorHAnsi" w:cs="Arial"/>
                <w:szCs w:val="20"/>
              </w:rPr>
            </w:pPr>
            <w:r>
              <w:rPr>
                <w:rFonts w:asciiTheme="minorHAnsi" w:hAnsiTheme="minorHAnsi" w:cs="Arial"/>
                <w:szCs w:val="20"/>
              </w:rPr>
              <w:t>Calculate the BU mains allowance – these calculations are located in the Cal_BUallowance sheet in the PCD_VD_UnitCostModel_noRPEs file.</w:t>
            </w:r>
          </w:p>
          <w:p w14:paraId="1600E56A" w14:textId="7DD5AFF0" w:rsidR="0059221F" w:rsidRDefault="0059221F" w:rsidP="0059221F">
            <w:pPr>
              <w:pStyle w:val="ListParagraph"/>
              <w:numPr>
                <w:ilvl w:val="0"/>
                <w:numId w:val="11"/>
              </w:numPr>
              <w:rPr>
                <w:rFonts w:asciiTheme="minorHAnsi" w:hAnsiTheme="minorHAnsi" w:cs="Arial"/>
                <w:szCs w:val="20"/>
              </w:rPr>
            </w:pPr>
            <w:r>
              <w:rPr>
                <w:rFonts w:asciiTheme="minorHAnsi" w:hAnsiTheme="minorHAnsi" w:cs="Arial"/>
                <w:szCs w:val="20"/>
              </w:rPr>
              <w:lastRenderedPageBreak/>
              <w:t>Top-down allowances – these are calculated in the Allowances_PCD_VD_noRPEs file, summarised I the Out_DisagAllow_Final sheet.</w:t>
            </w:r>
          </w:p>
          <w:p w14:paraId="09CB7FAE" w14:textId="1CE1CD37" w:rsidR="0059221F" w:rsidRDefault="0059221F" w:rsidP="0059221F">
            <w:pPr>
              <w:pStyle w:val="ListParagraph"/>
              <w:numPr>
                <w:ilvl w:val="0"/>
                <w:numId w:val="11"/>
              </w:numPr>
              <w:rPr>
                <w:rFonts w:asciiTheme="minorHAnsi" w:hAnsiTheme="minorHAnsi" w:cs="Arial"/>
                <w:szCs w:val="20"/>
              </w:rPr>
            </w:pPr>
            <w:r>
              <w:rPr>
                <w:rFonts w:asciiTheme="minorHAnsi" w:hAnsiTheme="minorHAnsi" w:cs="Arial"/>
                <w:szCs w:val="20"/>
              </w:rPr>
              <w:t>Calculate the UC adjustment factor – these calculations are done in the Cal_TDvsBU sheet in the PCD_VD_UnitCostModel_noRPEs file</w:t>
            </w:r>
          </w:p>
          <w:p w14:paraId="1D8A8835" w14:textId="3A9ACAF4" w:rsidR="0059221F" w:rsidRDefault="0059221F" w:rsidP="0059221F">
            <w:pPr>
              <w:pStyle w:val="ListParagraph"/>
              <w:numPr>
                <w:ilvl w:val="0"/>
                <w:numId w:val="11"/>
              </w:numPr>
              <w:rPr>
                <w:rFonts w:asciiTheme="minorHAnsi" w:hAnsiTheme="minorHAnsi" w:cs="Arial"/>
                <w:szCs w:val="20"/>
              </w:rPr>
            </w:pPr>
            <w:r>
              <w:rPr>
                <w:rFonts w:asciiTheme="minorHAnsi" w:hAnsiTheme="minorHAnsi" w:cs="Arial"/>
                <w:szCs w:val="20"/>
              </w:rPr>
              <w:t>Adjust IA SUCs by UC adjustment factor – the calculation are done in the Cal_UnitCosts sheet and summarised in the Out_UnitCost sheet of the PCD_VD_UnitCostModel_noRPEs file.</w:t>
            </w:r>
          </w:p>
          <w:p w14:paraId="5F68CC2E" w14:textId="2203243F" w:rsidR="0059221F" w:rsidRDefault="0059221F" w:rsidP="0059221F">
            <w:pPr>
              <w:rPr>
                <w:rFonts w:asciiTheme="minorHAnsi" w:hAnsiTheme="minorHAnsi" w:cs="Arial"/>
                <w:szCs w:val="20"/>
              </w:rPr>
            </w:pPr>
          </w:p>
          <w:p w14:paraId="6D925069" w14:textId="58DFBC0B" w:rsidR="003621E9" w:rsidRDefault="003621E9" w:rsidP="0059221F">
            <w:pPr>
              <w:rPr>
                <w:rFonts w:asciiTheme="minorHAnsi" w:hAnsiTheme="minorHAnsi" w:cs="Arial"/>
                <w:szCs w:val="20"/>
              </w:rPr>
            </w:pPr>
            <w:r>
              <w:rPr>
                <w:rFonts w:asciiTheme="minorHAnsi" w:hAnsiTheme="minorHAnsi" w:cs="Arial"/>
                <w:szCs w:val="20"/>
              </w:rPr>
              <w:t xml:space="preserve">The tables below show submitted FPNES unit costs for Draft and Final Determinations for each network. </w:t>
            </w:r>
          </w:p>
          <w:tbl>
            <w:tblPr>
              <w:tblW w:w="7520" w:type="dxa"/>
              <w:tblLayout w:type="fixed"/>
              <w:tblLook w:val="04A0" w:firstRow="1" w:lastRow="0" w:firstColumn="1" w:lastColumn="0" w:noHBand="0" w:noVBand="1"/>
            </w:tblPr>
            <w:tblGrid>
              <w:gridCol w:w="2620"/>
              <w:gridCol w:w="900"/>
              <w:gridCol w:w="800"/>
              <w:gridCol w:w="800"/>
              <w:gridCol w:w="800"/>
              <w:gridCol w:w="800"/>
              <w:gridCol w:w="800"/>
            </w:tblGrid>
            <w:tr w:rsidR="006D7788" w:rsidRPr="006D7788" w14:paraId="53352FD9" w14:textId="77777777" w:rsidTr="006D7788">
              <w:trPr>
                <w:trHeight w:val="195"/>
              </w:trPr>
              <w:tc>
                <w:tcPr>
                  <w:tcW w:w="2620" w:type="dxa"/>
                  <w:tcBorders>
                    <w:top w:val="nil"/>
                    <w:left w:val="nil"/>
                    <w:bottom w:val="nil"/>
                    <w:right w:val="nil"/>
                  </w:tcBorders>
                  <w:shd w:val="clear" w:color="auto" w:fill="auto"/>
                  <w:noWrap/>
                  <w:vAlign w:val="bottom"/>
                  <w:hideMark/>
                </w:tcPr>
                <w:p w14:paraId="4C2AABAE" w14:textId="77777777" w:rsidR="006D7788" w:rsidRPr="006D7788" w:rsidRDefault="006D7788" w:rsidP="006D7788">
                  <w:pPr>
                    <w:spacing w:after="0" w:line="240" w:lineRule="auto"/>
                    <w:rPr>
                      <w:rFonts w:ascii="Times New Roman" w:eastAsia="Times New Roman" w:hAnsi="Times New Roman" w:cs="Times New Roman"/>
                      <w:sz w:val="24"/>
                      <w:szCs w:val="24"/>
                      <w:lang w:eastAsia="en-GB"/>
                    </w:rPr>
                  </w:pPr>
                </w:p>
              </w:tc>
              <w:tc>
                <w:tcPr>
                  <w:tcW w:w="900" w:type="dxa"/>
                  <w:tcBorders>
                    <w:top w:val="nil"/>
                    <w:left w:val="nil"/>
                    <w:bottom w:val="nil"/>
                    <w:right w:val="nil"/>
                  </w:tcBorders>
                  <w:shd w:val="clear" w:color="auto" w:fill="auto"/>
                  <w:noWrap/>
                  <w:vAlign w:val="bottom"/>
                  <w:hideMark/>
                </w:tcPr>
                <w:p w14:paraId="1C09105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4000" w:type="dxa"/>
                  <w:gridSpan w:val="5"/>
                  <w:tcBorders>
                    <w:top w:val="nil"/>
                    <w:left w:val="nil"/>
                    <w:bottom w:val="nil"/>
                    <w:right w:val="nil"/>
                  </w:tcBorders>
                  <w:shd w:val="clear" w:color="auto" w:fill="auto"/>
                  <w:noWrap/>
                  <w:vAlign w:val="bottom"/>
                  <w:hideMark/>
                </w:tcPr>
                <w:p w14:paraId="22C3F906" w14:textId="77777777" w:rsidR="006D7788" w:rsidRPr="006D7788" w:rsidRDefault="006D7788" w:rsidP="006D7788">
                  <w:pPr>
                    <w:spacing w:after="0" w:line="240" w:lineRule="auto"/>
                    <w:jc w:val="center"/>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Draft Determinations</w:t>
                  </w:r>
                </w:p>
              </w:tc>
            </w:tr>
            <w:tr w:rsidR="006D7788" w:rsidRPr="006D7788" w14:paraId="1FF06485" w14:textId="77777777" w:rsidTr="006D7788">
              <w:trPr>
                <w:trHeight w:val="195"/>
              </w:trPr>
              <w:tc>
                <w:tcPr>
                  <w:tcW w:w="2620" w:type="dxa"/>
                  <w:tcBorders>
                    <w:top w:val="nil"/>
                    <w:left w:val="nil"/>
                    <w:bottom w:val="nil"/>
                    <w:right w:val="nil"/>
                  </w:tcBorders>
                  <w:shd w:val="clear" w:color="auto" w:fill="auto"/>
                  <w:noWrap/>
                  <w:vAlign w:val="bottom"/>
                  <w:hideMark/>
                </w:tcPr>
                <w:p w14:paraId="3A797B6A"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EoE</w:t>
                  </w:r>
                </w:p>
              </w:tc>
              <w:tc>
                <w:tcPr>
                  <w:tcW w:w="900" w:type="dxa"/>
                  <w:tcBorders>
                    <w:top w:val="nil"/>
                    <w:left w:val="nil"/>
                    <w:bottom w:val="nil"/>
                    <w:right w:val="nil"/>
                  </w:tcBorders>
                  <w:shd w:val="clear" w:color="auto" w:fill="auto"/>
                  <w:noWrap/>
                  <w:vAlign w:val="bottom"/>
                  <w:hideMark/>
                </w:tcPr>
                <w:p w14:paraId="61805458"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Units</w:t>
                  </w:r>
                </w:p>
              </w:tc>
              <w:tc>
                <w:tcPr>
                  <w:tcW w:w="800" w:type="dxa"/>
                  <w:tcBorders>
                    <w:top w:val="nil"/>
                    <w:left w:val="nil"/>
                    <w:bottom w:val="nil"/>
                    <w:right w:val="nil"/>
                  </w:tcBorders>
                  <w:shd w:val="clear" w:color="auto" w:fill="auto"/>
                  <w:noWrap/>
                  <w:vAlign w:val="bottom"/>
                  <w:hideMark/>
                </w:tcPr>
                <w:p w14:paraId="13308EB6"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2022</w:t>
                  </w:r>
                </w:p>
              </w:tc>
              <w:tc>
                <w:tcPr>
                  <w:tcW w:w="800" w:type="dxa"/>
                  <w:tcBorders>
                    <w:top w:val="nil"/>
                    <w:left w:val="nil"/>
                    <w:bottom w:val="nil"/>
                    <w:right w:val="nil"/>
                  </w:tcBorders>
                  <w:shd w:val="clear" w:color="auto" w:fill="auto"/>
                  <w:noWrap/>
                  <w:vAlign w:val="bottom"/>
                  <w:hideMark/>
                </w:tcPr>
                <w:p w14:paraId="48DF8E52"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2023</w:t>
                  </w:r>
                </w:p>
              </w:tc>
              <w:tc>
                <w:tcPr>
                  <w:tcW w:w="800" w:type="dxa"/>
                  <w:tcBorders>
                    <w:top w:val="nil"/>
                    <w:left w:val="nil"/>
                    <w:bottom w:val="nil"/>
                    <w:right w:val="nil"/>
                  </w:tcBorders>
                  <w:shd w:val="clear" w:color="auto" w:fill="auto"/>
                  <w:noWrap/>
                  <w:vAlign w:val="bottom"/>
                  <w:hideMark/>
                </w:tcPr>
                <w:p w14:paraId="4363AE17"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2024</w:t>
                  </w:r>
                </w:p>
              </w:tc>
              <w:tc>
                <w:tcPr>
                  <w:tcW w:w="800" w:type="dxa"/>
                  <w:tcBorders>
                    <w:top w:val="nil"/>
                    <w:left w:val="nil"/>
                    <w:bottom w:val="nil"/>
                    <w:right w:val="nil"/>
                  </w:tcBorders>
                  <w:shd w:val="clear" w:color="auto" w:fill="auto"/>
                  <w:noWrap/>
                  <w:vAlign w:val="bottom"/>
                  <w:hideMark/>
                </w:tcPr>
                <w:p w14:paraId="621A7B13"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2025</w:t>
                  </w:r>
                </w:p>
              </w:tc>
              <w:tc>
                <w:tcPr>
                  <w:tcW w:w="800" w:type="dxa"/>
                  <w:tcBorders>
                    <w:top w:val="nil"/>
                    <w:left w:val="nil"/>
                    <w:bottom w:val="nil"/>
                    <w:right w:val="nil"/>
                  </w:tcBorders>
                  <w:shd w:val="clear" w:color="auto" w:fill="auto"/>
                  <w:noWrap/>
                  <w:vAlign w:val="bottom"/>
                  <w:hideMark/>
                </w:tcPr>
                <w:p w14:paraId="2CF07620"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2026</w:t>
                  </w:r>
                </w:p>
              </w:tc>
            </w:tr>
            <w:tr w:rsidR="006D7788" w:rsidRPr="006D7788" w14:paraId="4CA74755" w14:textId="77777777" w:rsidTr="006D7788">
              <w:trPr>
                <w:trHeight w:val="195"/>
              </w:trPr>
              <w:tc>
                <w:tcPr>
                  <w:tcW w:w="2620" w:type="dxa"/>
                  <w:tcBorders>
                    <w:top w:val="nil"/>
                    <w:left w:val="nil"/>
                    <w:bottom w:val="nil"/>
                    <w:right w:val="nil"/>
                  </w:tcBorders>
                  <w:shd w:val="clear" w:color="auto" w:fill="auto"/>
                  <w:noWrap/>
                  <w:vAlign w:val="bottom"/>
                  <w:hideMark/>
                </w:tcPr>
                <w:p w14:paraId="644D135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7BEACB76"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798C612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19791088"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547BFDC2"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33C2D8D7"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5505700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r>
            <w:tr w:rsidR="006D7788" w:rsidRPr="006D7788" w14:paraId="37D46D3D" w14:textId="77777777" w:rsidTr="006D7788">
              <w:trPr>
                <w:trHeight w:val="195"/>
              </w:trPr>
              <w:tc>
                <w:tcPr>
                  <w:tcW w:w="2620" w:type="dxa"/>
                  <w:tcBorders>
                    <w:top w:val="nil"/>
                    <w:left w:val="nil"/>
                    <w:bottom w:val="nil"/>
                    <w:right w:val="nil"/>
                  </w:tcBorders>
                  <w:shd w:val="clear" w:color="auto" w:fill="auto"/>
                  <w:noWrap/>
                  <w:vAlign w:val="bottom"/>
                  <w:hideMark/>
                </w:tcPr>
                <w:p w14:paraId="486867B6"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685F972B"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3637359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7F0FF46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22206B7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0C674F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880FF7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5123D3F9" w14:textId="77777777" w:rsidTr="006D7788">
              <w:trPr>
                <w:trHeight w:val="195"/>
              </w:trPr>
              <w:tc>
                <w:tcPr>
                  <w:tcW w:w="2620" w:type="dxa"/>
                  <w:tcBorders>
                    <w:top w:val="nil"/>
                    <w:left w:val="nil"/>
                    <w:bottom w:val="nil"/>
                    <w:right w:val="nil"/>
                  </w:tcBorders>
                  <w:shd w:val="clear" w:color="auto" w:fill="auto"/>
                  <w:noWrap/>
                  <w:vAlign w:val="bottom"/>
                  <w:hideMark/>
                </w:tcPr>
                <w:p w14:paraId="6B6F992B"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335408E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9E71AC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1FB245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AAE654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F70A49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F6642F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1E5C44E2" w14:textId="77777777" w:rsidTr="006D7788">
              <w:trPr>
                <w:trHeight w:val="195"/>
              </w:trPr>
              <w:tc>
                <w:tcPr>
                  <w:tcW w:w="2620" w:type="dxa"/>
                  <w:tcBorders>
                    <w:top w:val="nil"/>
                    <w:left w:val="nil"/>
                    <w:bottom w:val="nil"/>
                    <w:right w:val="nil"/>
                  </w:tcBorders>
                  <w:shd w:val="clear" w:color="auto" w:fill="auto"/>
                  <w:noWrap/>
                  <w:vAlign w:val="bottom"/>
                  <w:hideMark/>
                </w:tcPr>
                <w:p w14:paraId="6687D3EB"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Lon</w:t>
                  </w:r>
                </w:p>
              </w:tc>
              <w:tc>
                <w:tcPr>
                  <w:tcW w:w="900" w:type="dxa"/>
                  <w:tcBorders>
                    <w:top w:val="nil"/>
                    <w:left w:val="nil"/>
                    <w:bottom w:val="nil"/>
                    <w:right w:val="nil"/>
                  </w:tcBorders>
                  <w:shd w:val="clear" w:color="auto" w:fill="auto"/>
                  <w:noWrap/>
                  <w:vAlign w:val="bottom"/>
                  <w:hideMark/>
                </w:tcPr>
                <w:p w14:paraId="03D9BDC2"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535177B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76AA92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1E933A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A6FAE3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97C3DD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5163FA7B" w14:textId="77777777" w:rsidTr="006D7788">
              <w:trPr>
                <w:trHeight w:val="195"/>
              </w:trPr>
              <w:tc>
                <w:tcPr>
                  <w:tcW w:w="2620" w:type="dxa"/>
                  <w:tcBorders>
                    <w:top w:val="nil"/>
                    <w:left w:val="nil"/>
                    <w:bottom w:val="nil"/>
                    <w:right w:val="nil"/>
                  </w:tcBorders>
                  <w:shd w:val="clear" w:color="auto" w:fill="auto"/>
                  <w:noWrap/>
                  <w:vAlign w:val="bottom"/>
                  <w:hideMark/>
                </w:tcPr>
                <w:p w14:paraId="54CB504B"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16D41DF2"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628D987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6D1E047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339EF64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745B6EC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72B6298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444A76DD" w14:textId="77777777" w:rsidTr="006D7788">
              <w:trPr>
                <w:trHeight w:val="195"/>
              </w:trPr>
              <w:tc>
                <w:tcPr>
                  <w:tcW w:w="2620" w:type="dxa"/>
                  <w:tcBorders>
                    <w:top w:val="nil"/>
                    <w:left w:val="nil"/>
                    <w:bottom w:val="nil"/>
                    <w:right w:val="nil"/>
                  </w:tcBorders>
                  <w:shd w:val="clear" w:color="auto" w:fill="auto"/>
                  <w:noWrap/>
                  <w:vAlign w:val="bottom"/>
                  <w:hideMark/>
                </w:tcPr>
                <w:p w14:paraId="038D23D1"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58A3C85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1E48988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210495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25DB31DB"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514537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7D2927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1CF9479C" w14:textId="77777777" w:rsidTr="006D7788">
              <w:trPr>
                <w:trHeight w:val="195"/>
              </w:trPr>
              <w:tc>
                <w:tcPr>
                  <w:tcW w:w="2620" w:type="dxa"/>
                  <w:tcBorders>
                    <w:top w:val="nil"/>
                    <w:left w:val="nil"/>
                    <w:bottom w:val="nil"/>
                    <w:right w:val="nil"/>
                  </w:tcBorders>
                  <w:shd w:val="clear" w:color="auto" w:fill="auto"/>
                  <w:noWrap/>
                  <w:vAlign w:val="bottom"/>
                  <w:hideMark/>
                </w:tcPr>
                <w:p w14:paraId="77BED1A0"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6E7CE30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81F7AB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AB35DD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E25385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4EF0CB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1C6A6C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38033F0A" w14:textId="77777777" w:rsidTr="006D7788">
              <w:trPr>
                <w:trHeight w:val="195"/>
              </w:trPr>
              <w:tc>
                <w:tcPr>
                  <w:tcW w:w="2620" w:type="dxa"/>
                  <w:tcBorders>
                    <w:top w:val="nil"/>
                    <w:left w:val="nil"/>
                    <w:bottom w:val="nil"/>
                    <w:right w:val="nil"/>
                  </w:tcBorders>
                  <w:shd w:val="clear" w:color="auto" w:fill="auto"/>
                  <w:noWrap/>
                  <w:vAlign w:val="bottom"/>
                  <w:hideMark/>
                </w:tcPr>
                <w:p w14:paraId="223CF64D"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NW</w:t>
                  </w:r>
                </w:p>
              </w:tc>
              <w:tc>
                <w:tcPr>
                  <w:tcW w:w="900" w:type="dxa"/>
                  <w:tcBorders>
                    <w:top w:val="nil"/>
                    <w:left w:val="nil"/>
                    <w:bottom w:val="nil"/>
                    <w:right w:val="nil"/>
                  </w:tcBorders>
                  <w:shd w:val="clear" w:color="auto" w:fill="auto"/>
                  <w:noWrap/>
                  <w:vAlign w:val="bottom"/>
                  <w:hideMark/>
                </w:tcPr>
                <w:p w14:paraId="17C1BE85"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7EB69FE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F2215F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9B2BBD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8DC152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E240C9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80B3DFD" w14:textId="77777777" w:rsidTr="006D7788">
              <w:trPr>
                <w:trHeight w:val="195"/>
              </w:trPr>
              <w:tc>
                <w:tcPr>
                  <w:tcW w:w="2620" w:type="dxa"/>
                  <w:tcBorders>
                    <w:top w:val="nil"/>
                    <w:left w:val="nil"/>
                    <w:bottom w:val="nil"/>
                    <w:right w:val="nil"/>
                  </w:tcBorders>
                  <w:shd w:val="clear" w:color="auto" w:fill="auto"/>
                  <w:noWrap/>
                  <w:vAlign w:val="bottom"/>
                  <w:hideMark/>
                </w:tcPr>
                <w:p w14:paraId="6F964217"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727255E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275762C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5E74511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2F58BEE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7AA1211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127FB33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2368054D" w14:textId="77777777" w:rsidTr="006D7788">
              <w:trPr>
                <w:trHeight w:val="195"/>
              </w:trPr>
              <w:tc>
                <w:tcPr>
                  <w:tcW w:w="2620" w:type="dxa"/>
                  <w:tcBorders>
                    <w:top w:val="nil"/>
                    <w:left w:val="nil"/>
                    <w:bottom w:val="nil"/>
                    <w:right w:val="nil"/>
                  </w:tcBorders>
                  <w:shd w:val="clear" w:color="auto" w:fill="auto"/>
                  <w:noWrap/>
                  <w:vAlign w:val="bottom"/>
                  <w:hideMark/>
                </w:tcPr>
                <w:p w14:paraId="7255FA2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676ADC4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09913A22"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236FCF8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1378D86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1E123B36"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3C765A0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7B2134EB" w14:textId="77777777" w:rsidTr="006D7788">
              <w:trPr>
                <w:trHeight w:val="195"/>
              </w:trPr>
              <w:tc>
                <w:tcPr>
                  <w:tcW w:w="2620" w:type="dxa"/>
                  <w:tcBorders>
                    <w:top w:val="nil"/>
                    <w:left w:val="nil"/>
                    <w:bottom w:val="nil"/>
                    <w:right w:val="nil"/>
                  </w:tcBorders>
                  <w:shd w:val="clear" w:color="auto" w:fill="auto"/>
                  <w:noWrap/>
                  <w:vAlign w:val="bottom"/>
                  <w:hideMark/>
                </w:tcPr>
                <w:p w14:paraId="68A01723"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60A4947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4DFC77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7F4B35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191F66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7A61A9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A57F36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D8AB2AF" w14:textId="77777777" w:rsidTr="006D7788">
              <w:trPr>
                <w:trHeight w:val="195"/>
              </w:trPr>
              <w:tc>
                <w:tcPr>
                  <w:tcW w:w="2620" w:type="dxa"/>
                  <w:tcBorders>
                    <w:top w:val="nil"/>
                    <w:left w:val="nil"/>
                    <w:bottom w:val="nil"/>
                    <w:right w:val="nil"/>
                  </w:tcBorders>
                  <w:shd w:val="clear" w:color="auto" w:fill="auto"/>
                  <w:noWrap/>
                  <w:vAlign w:val="bottom"/>
                  <w:hideMark/>
                </w:tcPr>
                <w:p w14:paraId="43F8034C"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WM</w:t>
                  </w:r>
                </w:p>
              </w:tc>
              <w:tc>
                <w:tcPr>
                  <w:tcW w:w="900" w:type="dxa"/>
                  <w:tcBorders>
                    <w:top w:val="nil"/>
                    <w:left w:val="nil"/>
                    <w:bottom w:val="nil"/>
                    <w:right w:val="nil"/>
                  </w:tcBorders>
                  <w:shd w:val="clear" w:color="auto" w:fill="auto"/>
                  <w:noWrap/>
                  <w:vAlign w:val="bottom"/>
                  <w:hideMark/>
                </w:tcPr>
                <w:p w14:paraId="1CA3520E"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408F959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F6A85A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496B35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46B99C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EF73A7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CCB0790" w14:textId="77777777" w:rsidTr="006D7788">
              <w:trPr>
                <w:trHeight w:val="195"/>
              </w:trPr>
              <w:tc>
                <w:tcPr>
                  <w:tcW w:w="2620" w:type="dxa"/>
                  <w:tcBorders>
                    <w:top w:val="nil"/>
                    <w:left w:val="nil"/>
                    <w:bottom w:val="nil"/>
                    <w:right w:val="nil"/>
                  </w:tcBorders>
                  <w:shd w:val="clear" w:color="auto" w:fill="auto"/>
                  <w:noWrap/>
                  <w:vAlign w:val="bottom"/>
                  <w:hideMark/>
                </w:tcPr>
                <w:p w14:paraId="5CF5BA0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59EF030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4152EA0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24E8A58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0C23BCA3"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5208655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2724E0A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6C40A39C" w14:textId="77777777" w:rsidTr="006D7788">
              <w:trPr>
                <w:trHeight w:val="195"/>
              </w:trPr>
              <w:tc>
                <w:tcPr>
                  <w:tcW w:w="2620" w:type="dxa"/>
                  <w:tcBorders>
                    <w:top w:val="nil"/>
                    <w:left w:val="nil"/>
                    <w:bottom w:val="nil"/>
                    <w:right w:val="nil"/>
                  </w:tcBorders>
                  <w:shd w:val="clear" w:color="auto" w:fill="auto"/>
                  <w:noWrap/>
                  <w:vAlign w:val="bottom"/>
                  <w:hideMark/>
                </w:tcPr>
                <w:p w14:paraId="23EDEF3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79FDD00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1922F40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CF8E66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23AB8477"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06057FB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1C00F841"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37EA17FC" w14:textId="77777777" w:rsidTr="006D7788">
              <w:trPr>
                <w:trHeight w:val="195"/>
              </w:trPr>
              <w:tc>
                <w:tcPr>
                  <w:tcW w:w="2620" w:type="dxa"/>
                  <w:tcBorders>
                    <w:top w:val="nil"/>
                    <w:left w:val="nil"/>
                    <w:bottom w:val="nil"/>
                    <w:right w:val="nil"/>
                  </w:tcBorders>
                  <w:shd w:val="clear" w:color="auto" w:fill="auto"/>
                  <w:noWrap/>
                  <w:vAlign w:val="bottom"/>
                  <w:hideMark/>
                </w:tcPr>
                <w:p w14:paraId="06D19B40"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323D983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005C8D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8F64C1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BD2482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D27E01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DCD4C0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0550CB25" w14:textId="77777777" w:rsidTr="006D7788">
              <w:trPr>
                <w:trHeight w:val="195"/>
              </w:trPr>
              <w:tc>
                <w:tcPr>
                  <w:tcW w:w="2620" w:type="dxa"/>
                  <w:tcBorders>
                    <w:top w:val="nil"/>
                    <w:left w:val="nil"/>
                    <w:bottom w:val="nil"/>
                    <w:right w:val="nil"/>
                  </w:tcBorders>
                  <w:shd w:val="clear" w:color="auto" w:fill="auto"/>
                  <w:noWrap/>
                  <w:vAlign w:val="bottom"/>
                  <w:hideMark/>
                </w:tcPr>
                <w:p w14:paraId="2AA6F2EB"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NGN</w:t>
                  </w:r>
                </w:p>
              </w:tc>
              <w:tc>
                <w:tcPr>
                  <w:tcW w:w="900" w:type="dxa"/>
                  <w:tcBorders>
                    <w:top w:val="nil"/>
                    <w:left w:val="nil"/>
                    <w:bottom w:val="nil"/>
                    <w:right w:val="nil"/>
                  </w:tcBorders>
                  <w:shd w:val="clear" w:color="auto" w:fill="auto"/>
                  <w:noWrap/>
                  <w:vAlign w:val="bottom"/>
                  <w:hideMark/>
                </w:tcPr>
                <w:p w14:paraId="61C1E913"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6717779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A538EB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297829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979887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675EEA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38B88C6D" w14:textId="77777777" w:rsidTr="006D7788">
              <w:trPr>
                <w:trHeight w:val="195"/>
              </w:trPr>
              <w:tc>
                <w:tcPr>
                  <w:tcW w:w="2620" w:type="dxa"/>
                  <w:tcBorders>
                    <w:top w:val="nil"/>
                    <w:left w:val="nil"/>
                    <w:bottom w:val="nil"/>
                    <w:right w:val="nil"/>
                  </w:tcBorders>
                  <w:shd w:val="clear" w:color="auto" w:fill="auto"/>
                  <w:noWrap/>
                  <w:vAlign w:val="bottom"/>
                  <w:hideMark/>
                </w:tcPr>
                <w:p w14:paraId="078DFB7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6CF4164F"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6B08C2F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4A2D7280"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4C8E6573"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0DD6DB8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06B068F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r>
            <w:tr w:rsidR="006D7788" w:rsidRPr="006D7788" w14:paraId="78D93ACE" w14:textId="77777777" w:rsidTr="006D7788">
              <w:trPr>
                <w:trHeight w:val="195"/>
              </w:trPr>
              <w:tc>
                <w:tcPr>
                  <w:tcW w:w="2620" w:type="dxa"/>
                  <w:tcBorders>
                    <w:top w:val="nil"/>
                    <w:left w:val="nil"/>
                    <w:bottom w:val="nil"/>
                    <w:right w:val="nil"/>
                  </w:tcBorders>
                  <w:shd w:val="clear" w:color="auto" w:fill="auto"/>
                  <w:noWrap/>
                  <w:vAlign w:val="bottom"/>
                  <w:hideMark/>
                </w:tcPr>
                <w:p w14:paraId="1AEFF54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02A0BFA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6BE4C82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42E038C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2EEEC6F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1954C78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64785EC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r>
            <w:tr w:rsidR="006D7788" w:rsidRPr="006D7788" w14:paraId="6E108DC6" w14:textId="77777777" w:rsidTr="006D7788">
              <w:trPr>
                <w:trHeight w:val="195"/>
              </w:trPr>
              <w:tc>
                <w:tcPr>
                  <w:tcW w:w="2620" w:type="dxa"/>
                  <w:tcBorders>
                    <w:top w:val="nil"/>
                    <w:left w:val="nil"/>
                    <w:bottom w:val="nil"/>
                    <w:right w:val="nil"/>
                  </w:tcBorders>
                  <w:shd w:val="clear" w:color="auto" w:fill="auto"/>
                  <w:noWrap/>
                  <w:vAlign w:val="bottom"/>
                  <w:hideMark/>
                </w:tcPr>
                <w:p w14:paraId="40B1DF5B"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02D27CE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00E716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5213AD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6DAF9F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9B5150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2F3CD1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50F6F5F6" w14:textId="77777777" w:rsidTr="006D7788">
              <w:trPr>
                <w:trHeight w:val="195"/>
              </w:trPr>
              <w:tc>
                <w:tcPr>
                  <w:tcW w:w="2620" w:type="dxa"/>
                  <w:tcBorders>
                    <w:top w:val="nil"/>
                    <w:left w:val="nil"/>
                    <w:bottom w:val="nil"/>
                    <w:right w:val="nil"/>
                  </w:tcBorders>
                  <w:shd w:val="clear" w:color="auto" w:fill="auto"/>
                  <w:noWrap/>
                  <w:vAlign w:val="bottom"/>
                  <w:hideMark/>
                </w:tcPr>
                <w:p w14:paraId="0C1BE6A2"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Sc</w:t>
                  </w:r>
                </w:p>
              </w:tc>
              <w:tc>
                <w:tcPr>
                  <w:tcW w:w="900" w:type="dxa"/>
                  <w:tcBorders>
                    <w:top w:val="nil"/>
                    <w:left w:val="nil"/>
                    <w:bottom w:val="nil"/>
                    <w:right w:val="nil"/>
                  </w:tcBorders>
                  <w:shd w:val="clear" w:color="auto" w:fill="auto"/>
                  <w:noWrap/>
                  <w:vAlign w:val="bottom"/>
                  <w:hideMark/>
                </w:tcPr>
                <w:p w14:paraId="256B9884"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2BC6B44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0FDF33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968310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D2E1EF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D675A1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2C9FE3D3" w14:textId="77777777" w:rsidTr="006D7788">
              <w:trPr>
                <w:trHeight w:val="195"/>
              </w:trPr>
              <w:tc>
                <w:tcPr>
                  <w:tcW w:w="2620" w:type="dxa"/>
                  <w:tcBorders>
                    <w:top w:val="nil"/>
                    <w:left w:val="nil"/>
                    <w:bottom w:val="nil"/>
                    <w:right w:val="nil"/>
                  </w:tcBorders>
                  <w:shd w:val="clear" w:color="auto" w:fill="auto"/>
                  <w:noWrap/>
                  <w:vAlign w:val="bottom"/>
                  <w:hideMark/>
                </w:tcPr>
                <w:p w14:paraId="2D46ADE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0B8A5CA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5611FF9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1479</w:t>
                  </w:r>
                </w:p>
              </w:tc>
              <w:tc>
                <w:tcPr>
                  <w:tcW w:w="800" w:type="dxa"/>
                  <w:tcBorders>
                    <w:top w:val="nil"/>
                    <w:left w:val="nil"/>
                    <w:bottom w:val="nil"/>
                    <w:right w:val="nil"/>
                  </w:tcBorders>
                  <w:shd w:val="clear" w:color="auto" w:fill="auto"/>
                  <w:noWrap/>
                  <w:vAlign w:val="bottom"/>
                  <w:hideMark/>
                </w:tcPr>
                <w:p w14:paraId="0B86F3D0"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1478</w:t>
                  </w:r>
                </w:p>
              </w:tc>
              <w:tc>
                <w:tcPr>
                  <w:tcW w:w="800" w:type="dxa"/>
                  <w:tcBorders>
                    <w:top w:val="nil"/>
                    <w:left w:val="nil"/>
                    <w:bottom w:val="nil"/>
                    <w:right w:val="nil"/>
                  </w:tcBorders>
                  <w:shd w:val="clear" w:color="auto" w:fill="auto"/>
                  <w:noWrap/>
                  <w:vAlign w:val="bottom"/>
                  <w:hideMark/>
                </w:tcPr>
                <w:p w14:paraId="53442FA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1465</w:t>
                  </w:r>
                </w:p>
              </w:tc>
              <w:tc>
                <w:tcPr>
                  <w:tcW w:w="800" w:type="dxa"/>
                  <w:tcBorders>
                    <w:top w:val="nil"/>
                    <w:left w:val="nil"/>
                    <w:bottom w:val="nil"/>
                    <w:right w:val="nil"/>
                  </w:tcBorders>
                  <w:shd w:val="clear" w:color="auto" w:fill="auto"/>
                  <w:noWrap/>
                  <w:vAlign w:val="bottom"/>
                  <w:hideMark/>
                </w:tcPr>
                <w:p w14:paraId="79E40EBF"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1456</w:t>
                  </w:r>
                </w:p>
              </w:tc>
              <w:tc>
                <w:tcPr>
                  <w:tcW w:w="800" w:type="dxa"/>
                  <w:tcBorders>
                    <w:top w:val="nil"/>
                    <w:left w:val="nil"/>
                    <w:bottom w:val="nil"/>
                    <w:right w:val="nil"/>
                  </w:tcBorders>
                  <w:shd w:val="clear" w:color="auto" w:fill="auto"/>
                  <w:noWrap/>
                  <w:vAlign w:val="bottom"/>
                  <w:hideMark/>
                </w:tcPr>
                <w:p w14:paraId="3D16BEB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1470</w:t>
                  </w:r>
                </w:p>
              </w:tc>
            </w:tr>
            <w:tr w:rsidR="006D7788" w:rsidRPr="006D7788" w14:paraId="4E2C4F68" w14:textId="77777777" w:rsidTr="006D7788">
              <w:trPr>
                <w:trHeight w:val="195"/>
              </w:trPr>
              <w:tc>
                <w:tcPr>
                  <w:tcW w:w="2620" w:type="dxa"/>
                  <w:tcBorders>
                    <w:top w:val="nil"/>
                    <w:left w:val="nil"/>
                    <w:bottom w:val="nil"/>
                    <w:right w:val="nil"/>
                  </w:tcBorders>
                  <w:shd w:val="clear" w:color="auto" w:fill="auto"/>
                  <w:noWrap/>
                  <w:vAlign w:val="bottom"/>
                  <w:hideMark/>
                </w:tcPr>
                <w:p w14:paraId="0CF3F1F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0596622E"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7541433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127459</w:t>
                  </w:r>
                </w:p>
              </w:tc>
              <w:tc>
                <w:tcPr>
                  <w:tcW w:w="800" w:type="dxa"/>
                  <w:tcBorders>
                    <w:top w:val="nil"/>
                    <w:left w:val="nil"/>
                    <w:bottom w:val="nil"/>
                    <w:right w:val="nil"/>
                  </w:tcBorders>
                  <w:shd w:val="clear" w:color="auto" w:fill="auto"/>
                  <w:noWrap/>
                  <w:vAlign w:val="bottom"/>
                  <w:hideMark/>
                </w:tcPr>
                <w:p w14:paraId="63BBAFC0"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127322</w:t>
                  </w:r>
                </w:p>
              </w:tc>
              <w:tc>
                <w:tcPr>
                  <w:tcW w:w="800" w:type="dxa"/>
                  <w:tcBorders>
                    <w:top w:val="nil"/>
                    <w:left w:val="nil"/>
                    <w:bottom w:val="nil"/>
                    <w:right w:val="nil"/>
                  </w:tcBorders>
                  <w:shd w:val="clear" w:color="auto" w:fill="auto"/>
                  <w:noWrap/>
                  <w:vAlign w:val="bottom"/>
                  <w:hideMark/>
                </w:tcPr>
                <w:p w14:paraId="325249D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125888</w:t>
                  </w:r>
                </w:p>
              </w:tc>
              <w:tc>
                <w:tcPr>
                  <w:tcW w:w="800" w:type="dxa"/>
                  <w:tcBorders>
                    <w:top w:val="nil"/>
                    <w:left w:val="nil"/>
                    <w:bottom w:val="nil"/>
                    <w:right w:val="nil"/>
                  </w:tcBorders>
                  <w:shd w:val="clear" w:color="auto" w:fill="auto"/>
                  <w:noWrap/>
                  <w:vAlign w:val="bottom"/>
                  <w:hideMark/>
                </w:tcPr>
                <w:p w14:paraId="19E6B470"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124889</w:t>
                  </w:r>
                </w:p>
              </w:tc>
              <w:tc>
                <w:tcPr>
                  <w:tcW w:w="800" w:type="dxa"/>
                  <w:tcBorders>
                    <w:top w:val="nil"/>
                    <w:left w:val="nil"/>
                    <w:bottom w:val="nil"/>
                    <w:right w:val="nil"/>
                  </w:tcBorders>
                  <w:shd w:val="clear" w:color="auto" w:fill="auto"/>
                  <w:noWrap/>
                  <w:vAlign w:val="bottom"/>
                  <w:hideMark/>
                </w:tcPr>
                <w:p w14:paraId="42A4FA8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126474</w:t>
                  </w:r>
                </w:p>
              </w:tc>
            </w:tr>
            <w:tr w:rsidR="006D7788" w:rsidRPr="006D7788" w14:paraId="073FE088" w14:textId="77777777" w:rsidTr="006D7788">
              <w:trPr>
                <w:trHeight w:val="195"/>
              </w:trPr>
              <w:tc>
                <w:tcPr>
                  <w:tcW w:w="2620" w:type="dxa"/>
                  <w:tcBorders>
                    <w:top w:val="nil"/>
                    <w:left w:val="nil"/>
                    <w:bottom w:val="nil"/>
                    <w:right w:val="nil"/>
                  </w:tcBorders>
                  <w:shd w:val="clear" w:color="auto" w:fill="auto"/>
                  <w:noWrap/>
                  <w:vAlign w:val="bottom"/>
                  <w:hideMark/>
                </w:tcPr>
                <w:p w14:paraId="14EF295E"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3612B3C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68858E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7C652F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E6942B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7314BC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93527A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00AA7826" w14:textId="77777777" w:rsidTr="006D7788">
              <w:trPr>
                <w:trHeight w:val="195"/>
              </w:trPr>
              <w:tc>
                <w:tcPr>
                  <w:tcW w:w="2620" w:type="dxa"/>
                  <w:tcBorders>
                    <w:top w:val="nil"/>
                    <w:left w:val="nil"/>
                    <w:bottom w:val="nil"/>
                    <w:right w:val="nil"/>
                  </w:tcBorders>
                  <w:shd w:val="clear" w:color="auto" w:fill="auto"/>
                  <w:noWrap/>
                  <w:vAlign w:val="bottom"/>
                  <w:hideMark/>
                </w:tcPr>
                <w:p w14:paraId="38957C60"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So</w:t>
                  </w:r>
                </w:p>
              </w:tc>
              <w:tc>
                <w:tcPr>
                  <w:tcW w:w="900" w:type="dxa"/>
                  <w:tcBorders>
                    <w:top w:val="nil"/>
                    <w:left w:val="nil"/>
                    <w:bottom w:val="nil"/>
                    <w:right w:val="nil"/>
                  </w:tcBorders>
                  <w:shd w:val="clear" w:color="auto" w:fill="auto"/>
                  <w:noWrap/>
                  <w:vAlign w:val="bottom"/>
                  <w:hideMark/>
                </w:tcPr>
                <w:p w14:paraId="59D146D7"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4C97896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C7E684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873CA1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D1D44F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6EB01A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7BB5CA70" w14:textId="77777777" w:rsidTr="006D7788">
              <w:trPr>
                <w:trHeight w:val="195"/>
              </w:trPr>
              <w:tc>
                <w:tcPr>
                  <w:tcW w:w="2620" w:type="dxa"/>
                  <w:tcBorders>
                    <w:top w:val="nil"/>
                    <w:left w:val="nil"/>
                    <w:bottom w:val="nil"/>
                    <w:right w:val="nil"/>
                  </w:tcBorders>
                  <w:shd w:val="clear" w:color="auto" w:fill="auto"/>
                  <w:noWrap/>
                  <w:vAlign w:val="bottom"/>
                  <w:hideMark/>
                </w:tcPr>
                <w:p w14:paraId="26D00A8B"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16314DF1"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7C87D48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1677</w:t>
                  </w:r>
                </w:p>
              </w:tc>
              <w:tc>
                <w:tcPr>
                  <w:tcW w:w="800" w:type="dxa"/>
                  <w:tcBorders>
                    <w:top w:val="nil"/>
                    <w:left w:val="nil"/>
                    <w:bottom w:val="nil"/>
                    <w:right w:val="nil"/>
                  </w:tcBorders>
                  <w:shd w:val="clear" w:color="auto" w:fill="auto"/>
                  <w:noWrap/>
                  <w:vAlign w:val="bottom"/>
                  <w:hideMark/>
                </w:tcPr>
                <w:p w14:paraId="01F21E0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1681</w:t>
                  </w:r>
                </w:p>
              </w:tc>
              <w:tc>
                <w:tcPr>
                  <w:tcW w:w="800" w:type="dxa"/>
                  <w:tcBorders>
                    <w:top w:val="nil"/>
                    <w:left w:val="nil"/>
                    <w:bottom w:val="nil"/>
                    <w:right w:val="nil"/>
                  </w:tcBorders>
                  <w:shd w:val="clear" w:color="auto" w:fill="auto"/>
                  <w:noWrap/>
                  <w:vAlign w:val="bottom"/>
                  <w:hideMark/>
                </w:tcPr>
                <w:p w14:paraId="4077751F"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1668</w:t>
                  </w:r>
                </w:p>
              </w:tc>
              <w:tc>
                <w:tcPr>
                  <w:tcW w:w="800" w:type="dxa"/>
                  <w:tcBorders>
                    <w:top w:val="nil"/>
                    <w:left w:val="nil"/>
                    <w:bottom w:val="nil"/>
                    <w:right w:val="nil"/>
                  </w:tcBorders>
                  <w:shd w:val="clear" w:color="auto" w:fill="auto"/>
                  <w:noWrap/>
                  <w:vAlign w:val="bottom"/>
                  <w:hideMark/>
                </w:tcPr>
                <w:p w14:paraId="41D4FA0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1661</w:t>
                  </w:r>
                </w:p>
              </w:tc>
              <w:tc>
                <w:tcPr>
                  <w:tcW w:w="800" w:type="dxa"/>
                  <w:tcBorders>
                    <w:top w:val="nil"/>
                    <w:left w:val="nil"/>
                    <w:bottom w:val="nil"/>
                    <w:right w:val="nil"/>
                  </w:tcBorders>
                  <w:shd w:val="clear" w:color="auto" w:fill="auto"/>
                  <w:noWrap/>
                  <w:vAlign w:val="bottom"/>
                  <w:hideMark/>
                </w:tcPr>
                <w:p w14:paraId="2288F89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1678</w:t>
                  </w:r>
                </w:p>
              </w:tc>
            </w:tr>
            <w:tr w:rsidR="006D7788" w:rsidRPr="006D7788" w14:paraId="51978F47" w14:textId="77777777" w:rsidTr="006D7788">
              <w:trPr>
                <w:trHeight w:val="195"/>
              </w:trPr>
              <w:tc>
                <w:tcPr>
                  <w:tcW w:w="2620" w:type="dxa"/>
                  <w:tcBorders>
                    <w:top w:val="nil"/>
                    <w:left w:val="nil"/>
                    <w:bottom w:val="nil"/>
                    <w:right w:val="nil"/>
                  </w:tcBorders>
                  <w:shd w:val="clear" w:color="auto" w:fill="auto"/>
                  <w:noWrap/>
                  <w:vAlign w:val="bottom"/>
                  <w:hideMark/>
                </w:tcPr>
                <w:p w14:paraId="0824281F"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6E23E36F"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71D8FFA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246304</w:t>
                  </w:r>
                </w:p>
              </w:tc>
              <w:tc>
                <w:tcPr>
                  <w:tcW w:w="800" w:type="dxa"/>
                  <w:tcBorders>
                    <w:top w:val="nil"/>
                    <w:left w:val="nil"/>
                    <w:bottom w:val="nil"/>
                    <w:right w:val="nil"/>
                  </w:tcBorders>
                  <w:shd w:val="clear" w:color="auto" w:fill="auto"/>
                  <w:noWrap/>
                  <w:vAlign w:val="bottom"/>
                  <w:hideMark/>
                </w:tcPr>
                <w:p w14:paraId="2CD56E7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247318</w:t>
                  </w:r>
                </w:p>
              </w:tc>
              <w:tc>
                <w:tcPr>
                  <w:tcW w:w="800" w:type="dxa"/>
                  <w:tcBorders>
                    <w:top w:val="nil"/>
                    <w:left w:val="nil"/>
                    <w:bottom w:val="nil"/>
                    <w:right w:val="nil"/>
                  </w:tcBorders>
                  <w:shd w:val="clear" w:color="auto" w:fill="auto"/>
                  <w:noWrap/>
                  <w:vAlign w:val="bottom"/>
                  <w:hideMark/>
                </w:tcPr>
                <w:p w14:paraId="12FC4E6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245203</w:t>
                  </w:r>
                </w:p>
              </w:tc>
              <w:tc>
                <w:tcPr>
                  <w:tcW w:w="800" w:type="dxa"/>
                  <w:tcBorders>
                    <w:top w:val="nil"/>
                    <w:left w:val="nil"/>
                    <w:bottom w:val="nil"/>
                    <w:right w:val="nil"/>
                  </w:tcBorders>
                  <w:shd w:val="clear" w:color="auto" w:fill="auto"/>
                  <w:noWrap/>
                  <w:vAlign w:val="bottom"/>
                  <w:hideMark/>
                </w:tcPr>
                <w:p w14:paraId="7458D0E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244291</w:t>
                  </w:r>
                </w:p>
              </w:tc>
              <w:tc>
                <w:tcPr>
                  <w:tcW w:w="800" w:type="dxa"/>
                  <w:tcBorders>
                    <w:top w:val="nil"/>
                    <w:left w:val="nil"/>
                    <w:bottom w:val="nil"/>
                    <w:right w:val="nil"/>
                  </w:tcBorders>
                  <w:shd w:val="clear" w:color="auto" w:fill="auto"/>
                  <w:noWrap/>
                  <w:vAlign w:val="bottom"/>
                  <w:hideMark/>
                </w:tcPr>
                <w:p w14:paraId="0E5442E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247776</w:t>
                  </w:r>
                </w:p>
              </w:tc>
            </w:tr>
            <w:tr w:rsidR="006D7788" w:rsidRPr="006D7788" w14:paraId="0FB0ABC8" w14:textId="77777777" w:rsidTr="006D7788">
              <w:trPr>
                <w:trHeight w:val="195"/>
              </w:trPr>
              <w:tc>
                <w:tcPr>
                  <w:tcW w:w="2620" w:type="dxa"/>
                  <w:tcBorders>
                    <w:top w:val="nil"/>
                    <w:left w:val="nil"/>
                    <w:bottom w:val="nil"/>
                    <w:right w:val="nil"/>
                  </w:tcBorders>
                  <w:shd w:val="clear" w:color="auto" w:fill="auto"/>
                  <w:noWrap/>
                  <w:vAlign w:val="bottom"/>
                  <w:hideMark/>
                </w:tcPr>
                <w:p w14:paraId="3E607E32"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16D6111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D5B744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888B37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F59B6B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FC4810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097840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1CE275CF" w14:textId="77777777" w:rsidTr="006D7788">
              <w:trPr>
                <w:trHeight w:val="195"/>
              </w:trPr>
              <w:tc>
                <w:tcPr>
                  <w:tcW w:w="2620" w:type="dxa"/>
                  <w:tcBorders>
                    <w:top w:val="nil"/>
                    <w:left w:val="nil"/>
                    <w:bottom w:val="nil"/>
                    <w:right w:val="nil"/>
                  </w:tcBorders>
                  <w:shd w:val="clear" w:color="auto" w:fill="auto"/>
                  <w:noWrap/>
                  <w:vAlign w:val="bottom"/>
                  <w:hideMark/>
                </w:tcPr>
                <w:p w14:paraId="07BAC3B8"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WWU</w:t>
                  </w:r>
                </w:p>
              </w:tc>
              <w:tc>
                <w:tcPr>
                  <w:tcW w:w="900" w:type="dxa"/>
                  <w:tcBorders>
                    <w:top w:val="nil"/>
                    <w:left w:val="nil"/>
                    <w:bottom w:val="nil"/>
                    <w:right w:val="nil"/>
                  </w:tcBorders>
                  <w:shd w:val="clear" w:color="auto" w:fill="auto"/>
                  <w:noWrap/>
                  <w:vAlign w:val="bottom"/>
                  <w:hideMark/>
                </w:tcPr>
                <w:p w14:paraId="22F315D4"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6299316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A08BF3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C9B89E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6071BB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9C02F4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16F90EB0" w14:textId="77777777" w:rsidTr="006D7788">
              <w:trPr>
                <w:trHeight w:val="195"/>
              </w:trPr>
              <w:tc>
                <w:tcPr>
                  <w:tcW w:w="2620" w:type="dxa"/>
                  <w:tcBorders>
                    <w:top w:val="nil"/>
                    <w:left w:val="nil"/>
                    <w:bottom w:val="nil"/>
                    <w:right w:val="nil"/>
                  </w:tcBorders>
                  <w:shd w:val="clear" w:color="auto" w:fill="auto"/>
                  <w:noWrap/>
                  <w:vAlign w:val="bottom"/>
                  <w:hideMark/>
                </w:tcPr>
                <w:p w14:paraId="36CE56D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24E5A137"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1866762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1662</w:t>
                  </w:r>
                </w:p>
              </w:tc>
              <w:tc>
                <w:tcPr>
                  <w:tcW w:w="800" w:type="dxa"/>
                  <w:tcBorders>
                    <w:top w:val="nil"/>
                    <w:left w:val="nil"/>
                    <w:bottom w:val="nil"/>
                    <w:right w:val="nil"/>
                  </w:tcBorders>
                  <w:shd w:val="clear" w:color="auto" w:fill="auto"/>
                  <w:noWrap/>
                  <w:vAlign w:val="bottom"/>
                  <w:hideMark/>
                </w:tcPr>
                <w:p w14:paraId="2DD062D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1807</w:t>
                  </w:r>
                </w:p>
              </w:tc>
              <w:tc>
                <w:tcPr>
                  <w:tcW w:w="800" w:type="dxa"/>
                  <w:tcBorders>
                    <w:top w:val="nil"/>
                    <w:left w:val="nil"/>
                    <w:bottom w:val="nil"/>
                    <w:right w:val="nil"/>
                  </w:tcBorders>
                  <w:shd w:val="clear" w:color="auto" w:fill="auto"/>
                  <w:noWrap/>
                  <w:vAlign w:val="bottom"/>
                  <w:hideMark/>
                </w:tcPr>
                <w:p w14:paraId="2E6D427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2157</w:t>
                  </w:r>
                </w:p>
              </w:tc>
              <w:tc>
                <w:tcPr>
                  <w:tcW w:w="800" w:type="dxa"/>
                  <w:tcBorders>
                    <w:top w:val="nil"/>
                    <w:left w:val="nil"/>
                    <w:bottom w:val="nil"/>
                    <w:right w:val="nil"/>
                  </w:tcBorders>
                  <w:shd w:val="clear" w:color="auto" w:fill="auto"/>
                  <w:noWrap/>
                  <w:vAlign w:val="bottom"/>
                  <w:hideMark/>
                </w:tcPr>
                <w:p w14:paraId="309C10C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2682</w:t>
                  </w:r>
                </w:p>
              </w:tc>
              <w:tc>
                <w:tcPr>
                  <w:tcW w:w="800" w:type="dxa"/>
                  <w:tcBorders>
                    <w:top w:val="nil"/>
                    <w:left w:val="nil"/>
                    <w:bottom w:val="nil"/>
                    <w:right w:val="nil"/>
                  </w:tcBorders>
                  <w:shd w:val="clear" w:color="auto" w:fill="auto"/>
                  <w:noWrap/>
                  <w:vAlign w:val="bottom"/>
                  <w:hideMark/>
                </w:tcPr>
                <w:p w14:paraId="6E3C363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3558</w:t>
                  </w:r>
                </w:p>
              </w:tc>
            </w:tr>
            <w:tr w:rsidR="006D7788" w:rsidRPr="006D7788" w14:paraId="4BF2B3B2" w14:textId="77777777" w:rsidTr="006D7788">
              <w:trPr>
                <w:trHeight w:val="195"/>
              </w:trPr>
              <w:tc>
                <w:tcPr>
                  <w:tcW w:w="2620" w:type="dxa"/>
                  <w:tcBorders>
                    <w:top w:val="nil"/>
                    <w:left w:val="nil"/>
                    <w:bottom w:val="nil"/>
                    <w:right w:val="nil"/>
                  </w:tcBorders>
                  <w:shd w:val="clear" w:color="auto" w:fill="auto"/>
                  <w:noWrap/>
                  <w:vAlign w:val="bottom"/>
                  <w:hideMark/>
                </w:tcPr>
                <w:p w14:paraId="6BB531A7"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213ECAF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00FCD31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143064</w:t>
                  </w:r>
                </w:p>
              </w:tc>
              <w:tc>
                <w:tcPr>
                  <w:tcW w:w="800" w:type="dxa"/>
                  <w:tcBorders>
                    <w:top w:val="nil"/>
                    <w:left w:val="nil"/>
                    <w:bottom w:val="nil"/>
                    <w:right w:val="nil"/>
                  </w:tcBorders>
                  <w:shd w:val="clear" w:color="auto" w:fill="auto"/>
                  <w:noWrap/>
                  <w:vAlign w:val="bottom"/>
                  <w:hideMark/>
                </w:tcPr>
                <w:p w14:paraId="7E3A50F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142583</w:t>
                  </w:r>
                </w:p>
              </w:tc>
              <w:tc>
                <w:tcPr>
                  <w:tcW w:w="800" w:type="dxa"/>
                  <w:tcBorders>
                    <w:top w:val="nil"/>
                    <w:left w:val="nil"/>
                    <w:bottom w:val="nil"/>
                    <w:right w:val="nil"/>
                  </w:tcBorders>
                  <w:shd w:val="clear" w:color="auto" w:fill="auto"/>
                  <w:noWrap/>
                  <w:vAlign w:val="bottom"/>
                  <w:hideMark/>
                </w:tcPr>
                <w:p w14:paraId="1E414ED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170193</w:t>
                  </w:r>
                </w:p>
              </w:tc>
              <w:tc>
                <w:tcPr>
                  <w:tcW w:w="800" w:type="dxa"/>
                  <w:tcBorders>
                    <w:top w:val="nil"/>
                    <w:left w:val="nil"/>
                    <w:bottom w:val="nil"/>
                    <w:right w:val="nil"/>
                  </w:tcBorders>
                  <w:shd w:val="clear" w:color="auto" w:fill="auto"/>
                  <w:noWrap/>
                  <w:vAlign w:val="bottom"/>
                  <w:hideMark/>
                </w:tcPr>
                <w:p w14:paraId="4A79EF7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211593</w:t>
                  </w:r>
                </w:p>
              </w:tc>
              <w:tc>
                <w:tcPr>
                  <w:tcW w:w="800" w:type="dxa"/>
                  <w:tcBorders>
                    <w:top w:val="nil"/>
                    <w:left w:val="nil"/>
                    <w:bottom w:val="nil"/>
                    <w:right w:val="nil"/>
                  </w:tcBorders>
                  <w:shd w:val="clear" w:color="auto" w:fill="auto"/>
                  <w:noWrap/>
                  <w:vAlign w:val="bottom"/>
                  <w:hideMark/>
                </w:tcPr>
                <w:p w14:paraId="42E4508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280719</w:t>
                  </w:r>
                </w:p>
              </w:tc>
            </w:tr>
          </w:tbl>
          <w:p w14:paraId="73714C84" w14:textId="0B2BA67E" w:rsidR="003621E9" w:rsidRDefault="003621E9" w:rsidP="0059221F">
            <w:pPr>
              <w:rPr>
                <w:rFonts w:asciiTheme="minorHAnsi" w:hAnsiTheme="minorHAnsi" w:cs="Arial"/>
                <w:szCs w:val="20"/>
              </w:rPr>
            </w:pPr>
          </w:p>
          <w:p w14:paraId="249ED683" w14:textId="7C9835E7" w:rsidR="006D7788" w:rsidRDefault="006D7788" w:rsidP="0059221F">
            <w:pPr>
              <w:rPr>
                <w:rFonts w:asciiTheme="minorHAnsi" w:hAnsiTheme="minorHAnsi" w:cs="Arial"/>
                <w:szCs w:val="20"/>
              </w:rPr>
            </w:pPr>
          </w:p>
          <w:tbl>
            <w:tblPr>
              <w:tblW w:w="7120" w:type="dxa"/>
              <w:tblLayout w:type="fixed"/>
              <w:tblLook w:val="04A0" w:firstRow="1" w:lastRow="0" w:firstColumn="1" w:lastColumn="0" w:noHBand="0" w:noVBand="1"/>
            </w:tblPr>
            <w:tblGrid>
              <w:gridCol w:w="2220"/>
              <w:gridCol w:w="900"/>
              <w:gridCol w:w="800"/>
              <w:gridCol w:w="800"/>
              <w:gridCol w:w="800"/>
              <w:gridCol w:w="800"/>
              <w:gridCol w:w="800"/>
            </w:tblGrid>
            <w:tr w:rsidR="006D7788" w:rsidRPr="006D7788" w14:paraId="2DB70E2D" w14:textId="77777777" w:rsidTr="006D7788">
              <w:trPr>
                <w:trHeight w:val="195"/>
              </w:trPr>
              <w:tc>
                <w:tcPr>
                  <w:tcW w:w="2220" w:type="dxa"/>
                  <w:tcBorders>
                    <w:top w:val="nil"/>
                    <w:left w:val="nil"/>
                    <w:bottom w:val="nil"/>
                    <w:right w:val="nil"/>
                  </w:tcBorders>
                  <w:shd w:val="clear" w:color="auto" w:fill="auto"/>
                  <w:noWrap/>
                  <w:vAlign w:val="bottom"/>
                  <w:hideMark/>
                </w:tcPr>
                <w:p w14:paraId="092F9F84" w14:textId="77777777" w:rsidR="006D7788" w:rsidRPr="006D7788" w:rsidRDefault="006D7788" w:rsidP="006D7788">
                  <w:pPr>
                    <w:spacing w:after="0" w:line="240" w:lineRule="auto"/>
                    <w:rPr>
                      <w:rFonts w:ascii="Times New Roman" w:eastAsia="Times New Roman" w:hAnsi="Times New Roman" w:cs="Times New Roman"/>
                      <w:sz w:val="24"/>
                      <w:szCs w:val="24"/>
                      <w:lang w:eastAsia="en-GB"/>
                    </w:rPr>
                  </w:pPr>
                </w:p>
              </w:tc>
              <w:tc>
                <w:tcPr>
                  <w:tcW w:w="900" w:type="dxa"/>
                  <w:tcBorders>
                    <w:top w:val="nil"/>
                    <w:left w:val="nil"/>
                    <w:bottom w:val="nil"/>
                    <w:right w:val="nil"/>
                  </w:tcBorders>
                  <w:shd w:val="clear" w:color="auto" w:fill="auto"/>
                  <w:noWrap/>
                  <w:vAlign w:val="bottom"/>
                  <w:hideMark/>
                </w:tcPr>
                <w:p w14:paraId="03074E3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4000" w:type="dxa"/>
                  <w:gridSpan w:val="5"/>
                  <w:tcBorders>
                    <w:top w:val="nil"/>
                    <w:left w:val="nil"/>
                    <w:bottom w:val="nil"/>
                    <w:right w:val="nil"/>
                  </w:tcBorders>
                  <w:shd w:val="clear" w:color="auto" w:fill="auto"/>
                  <w:noWrap/>
                  <w:vAlign w:val="bottom"/>
                  <w:hideMark/>
                </w:tcPr>
                <w:p w14:paraId="4A515858" w14:textId="77777777" w:rsidR="006D7788" w:rsidRPr="006D7788" w:rsidRDefault="006D7788" w:rsidP="006D7788">
                  <w:pPr>
                    <w:spacing w:after="0" w:line="240" w:lineRule="auto"/>
                    <w:jc w:val="center"/>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Final Determinations</w:t>
                  </w:r>
                </w:p>
              </w:tc>
            </w:tr>
            <w:tr w:rsidR="006D7788" w:rsidRPr="006D7788" w14:paraId="014FEB84" w14:textId="77777777" w:rsidTr="006D7788">
              <w:trPr>
                <w:trHeight w:val="195"/>
              </w:trPr>
              <w:tc>
                <w:tcPr>
                  <w:tcW w:w="2220" w:type="dxa"/>
                  <w:tcBorders>
                    <w:top w:val="nil"/>
                    <w:left w:val="nil"/>
                    <w:bottom w:val="nil"/>
                    <w:right w:val="nil"/>
                  </w:tcBorders>
                  <w:shd w:val="clear" w:color="auto" w:fill="auto"/>
                  <w:noWrap/>
                  <w:vAlign w:val="bottom"/>
                  <w:hideMark/>
                </w:tcPr>
                <w:p w14:paraId="62A79589"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EoE</w:t>
                  </w:r>
                </w:p>
              </w:tc>
              <w:tc>
                <w:tcPr>
                  <w:tcW w:w="900" w:type="dxa"/>
                  <w:tcBorders>
                    <w:top w:val="nil"/>
                    <w:left w:val="nil"/>
                    <w:bottom w:val="nil"/>
                    <w:right w:val="nil"/>
                  </w:tcBorders>
                  <w:shd w:val="clear" w:color="auto" w:fill="auto"/>
                  <w:noWrap/>
                  <w:vAlign w:val="bottom"/>
                  <w:hideMark/>
                </w:tcPr>
                <w:p w14:paraId="522083A8"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Units</w:t>
                  </w:r>
                </w:p>
              </w:tc>
              <w:tc>
                <w:tcPr>
                  <w:tcW w:w="800" w:type="dxa"/>
                  <w:tcBorders>
                    <w:top w:val="nil"/>
                    <w:left w:val="nil"/>
                    <w:bottom w:val="nil"/>
                    <w:right w:val="nil"/>
                  </w:tcBorders>
                  <w:shd w:val="clear" w:color="auto" w:fill="auto"/>
                  <w:noWrap/>
                  <w:vAlign w:val="bottom"/>
                  <w:hideMark/>
                </w:tcPr>
                <w:p w14:paraId="4467AA89"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2022</w:t>
                  </w:r>
                </w:p>
              </w:tc>
              <w:tc>
                <w:tcPr>
                  <w:tcW w:w="800" w:type="dxa"/>
                  <w:tcBorders>
                    <w:top w:val="nil"/>
                    <w:left w:val="nil"/>
                    <w:bottom w:val="nil"/>
                    <w:right w:val="nil"/>
                  </w:tcBorders>
                  <w:shd w:val="clear" w:color="auto" w:fill="auto"/>
                  <w:noWrap/>
                  <w:vAlign w:val="bottom"/>
                  <w:hideMark/>
                </w:tcPr>
                <w:p w14:paraId="58060FD4"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2023</w:t>
                  </w:r>
                </w:p>
              </w:tc>
              <w:tc>
                <w:tcPr>
                  <w:tcW w:w="800" w:type="dxa"/>
                  <w:tcBorders>
                    <w:top w:val="nil"/>
                    <w:left w:val="nil"/>
                    <w:bottom w:val="nil"/>
                    <w:right w:val="nil"/>
                  </w:tcBorders>
                  <w:shd w:val="clear" w:color="auto" w:fill="auto"/>
                  <w:noWrap/>
                  <w:vAlign w:val="bottom"/>
                  <w:hideMark/>
                </w:tcPr>
                <w:p w14:paraId="7B9A0B7C"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2024</w:t>
                  </w:r>
                </w:p>
              </w:tc>
              <w:tc>
                <w:tcPr>
                  <w:tcW w:w="800" w:type="dxa"/>
                  <w:tcBorders>
                    <w:top w:val="nil"/>
                    <w:left w:val="nil"/>
                    <w:bottom w:val="nil"/>
                    <w:right w:val="nil"/>
                  </w:tcBorders>
                  <w:shd w:val="clear" w:color="auto" w:fill="auto"/>
                  <w:noWrap/>
                  <w:vAlign w:val="bottom"/>
                  <w:hideMark/>
                </w:tcPr>
                <w:p w14:paraId="5FB77B39"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2025</w:t>
                  </w:r>
                </w:p>
              </w:tc>
              <w:tc>
                <w:tcPr>
                  <w:tcW w:w="800" w:type="dxa"/>
                  <w:tcBorders>
                    <w:top w:val="nil"/>
                    <w:left w:val="nil"/>
                    <w:bottom w:val="nil"/>
                    <w:right w:val="nil"/>
                  </w:tcBorders>
                  <w:shd w:val="clear" w:color="auto" w:fill="auto"/>
                  <w:noWrap/>
                  <w:vAlign w:val="bottom"/>
                  <w:hideMark/>
                </w:tcPr>
                <w:p w14:paraId="1CFF1832" w14:textId="77777777" w:rsidR="006D7788" w:rsidRPr="006D7788" w:rsidRDefault="006D7788" w:rsidP="006D7788">
                  <w:pPr>
                    <w:spacing w:after="0" w:line="240" w:lineRule="auto"/>
                    <w:jc w:val="right"/>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2026</w:t>
                  </w:r>
                </w:p>
              </w:tc>
            </w:tr>
            <w:tr w:rsidR="006D7788" w:rsidRPr="006D7788" w14:paraId="3309C51B" w14:textId="77777777" w:rsidTr="006D7788">
              <w:trPr>
                <w:trHeight w:val="195"/>
              </w:trPr>
              <w:tc>
                <w:tcPr>
                  <w:tcW w:w="2220" w:type="dxa"/>
                  <w:tcBorders>
                    <w:top w:val="nil"/>
                    <w:left w:val="nil"/>
                    <w:bottom w:val="nil"/>
                    <w:right w:val="nil"/>
                  </w:tcBorders>
                  <w:shd w:val="clear" w:color="auto" w:fill="auto"/>
                  <w:noWrap/>
                  <w:vAlign w:val="bottom"/>
                  <w:hideMark/>
                </w:tcPr>
                <w:p w14:paraId="720AE70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lastRenderedPageBreak/>
                    <w:t>FPNES - services</w:t>
                  </w:r>
                </w:p>
              </w:tc>
              <w:tc>
                <w:tcPr>
                  <w:tcW w:w="900" w:type="dxa"/>
                  <w:tcBorders>
                    <w:top w:val="nil"/>
                    <w:left w:val="nil"/>
                    <w:bottom w:val="nil"/>
                    <w:right w:val="nil"/>
                  </w:tcBorders>
                  <w:shd w:val="clear" w:color="auto" w:fill="auto"/>
                  <w:noWrap/>
                  <w:vAlign w:val="bottom"/>
                  <w:hideMark/>
                </w:tcPr>
                <w:p w14:paraId="274D69E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5FE4CC6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6782BDE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1DBBEDA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4D991C5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c>
                <w:tcPr>
                  <w:tcW w:w="800" w:type="dxa"/>
                  <w:tcBorders>
                    <w:top w:val="nil"/>
                    <w:left w:val="nil"/>
                    <w:bottom w:val="nil"/>
                    <w:right w:val="nil"/>
                  </w:tcBorders>
                  <w:shd w:val="clear" w:color="auto" w:fill="auto"/>
                  <w:noWrap/>
                  <w:vAlign w:val="bottom"/>
                  <w:hideMark/>
                </w:tcPr>
                <w:p w14:paraId="05E165C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2299</w:t>
                  </w:r>
                </w:p>
              </w:tc>
            </w:tr>
            <w:tr w:rsidR="006D7788" w:rsidRPr="006D7788" w14:paraId="2CACB304" w14:textId="77777777" w:rsidTr="006D7788">
              <w:trPr>
                <w:trHeight w:val="195"/>
              </w:trPr>
              <w:tc>
                <w:tcPr>
                  <w:tcW w:w="2220" w:type="dxa"/>
                  <w:tcBorders>
                    <w:top w:val="nil"/>
                    <w:left w:val="nil"/>
                    <w:bottom w:val="nil"/>
                    <w:right w:val="nil"/>
                  </w:tcBorders>
                  <w:shd w:val="clear" w:color="auto" w:fill="auto"/>
                  <w:noWrap/>
                  <w:vAlign w:val="bottom"/>
                  <w:hideMark/>
                </w:tcPr>
                <w:p w14:paraId="18DB596E"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3202826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2551F1D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3B80DC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6F4DC5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0AB4C72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449C23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6A5F51EE" w14:textId="77777777" w:rsidTr="006D7788">
              <w:trPr>
                <w:trHeight w:val="195"/>
              </w:trPr>
              <w:tc>
                <w:tcPr>
                  <w:tcW w:w="2220" w:type="dxa"/>
                  <w:tcBorders>
                    <w:top w:val="nil"/>
                    <w:left w:val="nil"/>
                    <w:bottom w:val="nil"/>
                    <w:right w:val="nil"/>
                  </w:tcBorders>
                  <w:shd w:val="clear" w:color="auto" w:fill="auto"/>
                  <w:noWrap/>
                  <w:vAlign w:val="bottom"/>
                  <w:hideMark/>
                </w:tcPr>
                <w:p w14:paraId="785C5DAB"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0A82525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49CEE8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377899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BE6F3F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62A6A2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4382E9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0AA8DF81" w14:textId="77777777" w:rsidTr="006D7788">
              <w:trPr>
                <w:trHeight w:val="195"/>
              </w:trPr>
              <w:tc>
                <w:tcPr>
                  <w:tcW w:w="2220" w:type="dxa"/>
                  <w:tcBorders>
                    <w:top w:val="nil"/>
                    <w:left w:val="nil"/>
                    <w:bottom w:val="nil"/>
                    <w:right w:val="nil"/>
                  </w:tcBorders>
                  <w:shd w:val="clear" w:color="auto" w:fill="auto"/>
                  <w:noWrap/>
                  <w:vAlign w:val="bottom"/>
                  <w:hideMark/>
                </w:tcPr>
                <w:p w14:paraId="65D70ED2"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Lon</w:t>
                  </w:r>
                </w:p>
              </w:tc>
              <w:tc>
                <w:tcPr>
                  <w:tcW w:w="900" w:type="dxa"/>
                  <w:tcBorders>
                    <w:top w:val="nil"/>
                    <w:left w:val="nil"/>
                    <w:bottom w:val="nil"/>
                    <w:right w:val="nil"/>
                  </w:tcBorders>
                  <w:shd w:val="clear" w:color="auto" w:fill="auto"/>
                  <w:noWrap/>
                  <w:vAlign w:val="bottom"/>
                  <w:hideMark/>
                </w:tcPr>
                <w:p w14:paraId="066075B2"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3D8FD44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1CE89F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B90C0F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B46DE6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8CFE59E"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BF578D9" w14:textId="77777777" w:rsidTr="006D7788">
              <w:trPr>
                <w:trHeight w:val="195"/>
              </w:trPr>
              <w:tc>
                <w:tcPr>
                  <w:tcW w:w="2220" w:type="dxa"/>
                  <w:tcBorders>
                    <w:top w:val="nil"/>
                    <w:left w:val="nil"/>
                    <w:bottom w:val="nil"/>
                    <w:right w:val="nil"/>
                  </w:tcBorders>
                  <w:shd w:val="clear" w:color="auto" w:fill="auto"/>
                  <w:noWrap/>
                  <w:vAlign w:val="bottom"/>
                  <w:hideMark/>
                </w:tcPr>
                <w:p w14:paraId="0B930A12"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22F5FC7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51E3A70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258C18D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0AA2447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0E28E72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5238111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1E06EF92" w14:textId="77777777" w:rsidTr="006D7788">
              <w:trPr>
                <w:trHeight w:val="195"/>
              </w:trPr>
              <w:tc>
                <w:tcPr>
                  <w:tcW w:w="2220" w:type="dxa"/>
                  <w:tcBorders>
                    <w:top w:val="nil"/>
                    <w:left w:val="nil"/>
                    <w:bottom w:val="nil"/>
                    <w:right w:val="nil"/>
                  </w:tcBorders>
                  <w:shd w:val="clear" w:color="auto" w:fill="auto"/>
                  <w:noWrap/>
                  <w:vAlign w:val="bottom"/>
                  <w:hideMark/>
                </w:tcPr>
                <w:p w14:paraId="232A0B9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1F0AF21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01F59D6B"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46A4D58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3CA09D1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78B6A423"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11C3C27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5756DA69" w14:textId="77777777" w:rsidTr="006D7788">
              <w:trPr>
                <w:trHeight w:val="195"/>
              </w:trPr>
              <w:tc>
                <w:tcPr>
                  <w:tcW w:w="2220" w:type="dxa"/>
                  <w:tcBorders>
                    <w:top w:val="nil"/>
                    <w:left w:val="nil"/>
                    <w:bottom w:val="nil"/>
                    <w:right w:val="nil"/>
                  </w:tcBorders>
                  <w:shd w:val="clear" w:color="auto" w:fill="auto"/>
                  <w:noWrap/>
                  <w:vAlign w:val="bottom"/>
                  <w:hideMark/>
                </w:tcPr>
                <w:p w14:paraId="0B218650"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202A6F7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703489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404248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DF9B21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F3324E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81BA35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1DE70915" w14:textId="77777777" w:rsidTr="006D7788">
              <w:trPr>
                <w:trHeight w:val="195"/>
              </w:trPr>
              <w:tc>
                <w:tcPr>
                  <w:tcW w:w="2220" w:type="dxa"/>
                  <w:tcBorders>
                    <w:top w:val="nil"/>
                    <w:left w:val="nil"/>
                    <w:bottom w:val="nil"/>
                    <w:right w:val="nil"/>
                  </w:tcBorders>
                  <w:shd w:val="clear" w:color="auto" w:fill="auto"/>
                  <w:noWrap/>
                  <w:vAlign w:val="bottom"/>
                  <w:hideMark/>
                </w:tcPr>
                <w:p w14:paraId="3A05CDD4"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NW</w:t>
                  </w:r>
                </w:p>
              </w:tc>
              <w:tc>
                <w:tcPr>
                  <w:tcW w:w="900" w:type="dxa"/>
                  <w:tcBorders>
                    <w:top w:val="nil"/>
                    <w:left w:val="nil"/>
                    <w:bottom w:val="nil"/>
                    <w:right w:val="nil"/>
                  </w:tcBorders>
                  <w:shd w:val="clear" w:color="auto" w:fill="auto"/>
                  <w:noWrap/>
                  <w:vAlign w:val="bottom"/>
                  <w:hideMark/>
                </w:tcPr>
                <w:p w14:paraId="0BB61623"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637BE13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27B735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504963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C038C0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F1EDBE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7B542891" w14:textId="77777777" w:rsidTr="006D7788">
              <w:trPr>
                <w:trHeight w:val="195"/>
              </w:trPr>
              <w:tc>
                <w:tcPr>
                  <w:tcW w:w="2220" w:type="dxa"/>
                  <w:tcBorders>
                    <w:top w:val="nil"/>
                    <w:left w:val="nil"/>
                    <w:bottom w:val="nil"/>
                    <w:right w:val="nil"/>
                  </w:tcBorders>
                  <w:shd w:val="clear" w:color="auto" w:fill="auto"/>
                  <w:noWrap/>
                  <w:vAlign w:val="bottom"/>
                  <w:hideMark/>
                </w:tcPr>
                <w:p w14:paraId="43542E24"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0F7AE7CF"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791BA3A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3462F58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5371C8D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4F3355B8"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7F6C5DB7"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46F887C1" w14:textId="77777777" w:rsidTr="006D7788">
              <w:trPr>
                <w:trHeight w:val="195"/>
              </w:trPr>
              <w:tc>
                <w:tcPr>
                  <w:tcW w:w="2220" w:type="dxa"/>
                  <w:tcBorders>
                    <w:top w:val="nil"/>
                    <w:left w:val="nil"/>
                    <w:bottom w:val="nil"/>
                    <w:right w:val="nil"/>
                  </w:tcBorders>
                  <w:shd w:val="clear" w:color="auto" w:fill="auto"/>
                  <w:noWrap/>
                  <w:vAlign w:val="bottom"/>
                  <w:hideMark/>
                </w:tcPr>
                <w:p w14:paraId="66A542E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6D03837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3AD80C6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0D60BC0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31A7F5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3A93C67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231438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71E01A4B" w14:textId="77777777" w:rsidTr="006D7788">
              <w:trPr>
                <w:trHeight w:val="195"/>
              </w:trPr>
              <w:tc>
                <w:tcPr>
                  <w:tcW w:w="2220" w:type="dxa"/>
                  <w:tcBorders>
                    <w:top w:val="nil"/>
                    <w:left w:val="nil"/>
                    <w:bottom w:val="nil"/>
                    <w:right w:val="nil"/>
                  </w:tcBorders>
                  <w:shd w:val="clear" w:color="auto" w:fill="auto"/>
                  <w:noWrap/>
                  <w:vAlign w:val="bottom"/>
                  <w:hideMark/>
                </w:tcPr>
                <w:p w14:paraId="477CDEAA"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1C76FAA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B7A727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385457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AC7066D"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04E6AC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B630C6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57E5834A" w14:textId="77777777" w:rsidTr="006D7788">
              <w:trPr>
                <w:trHeight w:val="195"/>
              </w:trPr>
              <w:tc>
                <w:tcPr>
                  <w:tcW w:w="2220" w:type="dxa"/>
                  <w:tcBorders>
                    <w:top w:val="nil"/>
                    <w:left w:val="nil"/>
                    <w:bottom w:val="nil"/>
                    <w:right w:val="nil"/>
                  </w:tcBorders>
                  <w:shd w:val="clear" w:color="auto" w:fill="auto"/>
                  <w:noWrap/>
                  <w:vAlign w:val="bottom"/>
                  <w:hideMark/>
                </w:tcPr>
                <w:p w14:paraId="3D5D9CA4"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WM</w:t>
                  </w:r>
                </w:p>
              </w:tc>
              <w:tc>
                <w:tcPr>
                  <w:tcW w:w="900" w:type="dxa"/>
                  <w:tcBorders>
                    <w:top w:val="nil"/>
                    <w:left w:val="nil"/>
                    <w:bottom w:val="nil"/>
                    <w:right w:val="nil"/>
                  </w:tcBorders>
                  <w:shd w:val="clear" w:color="auto" w:fill="auto"/>
                  <w:noWrap/>
                  <w:vAlign w:val="bottom"/>
                  <w:hideMark/>
                </w:tcPr>
                <w:p w14:paraId="4B4F20E9"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35AE629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E09DDF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B94A6F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0D63CF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5ED33B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671B44C2" w14:textId="77777777" w:rsidTr="006D7788">
              <w:trPr>
                <w:trHeight w:val="195"/>
              </w:trPr>
              <w:tc>
                <w:tcPr>
                  <w:tcW w:w="2220" w:type="dxa"/>
                  <w:tcBorders>
                    <w:top w:val="nil"/>
                    <w:left w:val="nil"/>
                    <w:bottom w:val="nil"/>
                    <w:right w:val="nil"/>
                  </w:tcBorders>
                  <w:shd w:val="clear" w:color="auto" w:fill="auto"/>
                  <w:noWrap/>
                  <w:vAlign w:val="bottom"/>
                  <w:hideMark/>
                </w:tcPr>
                <w:p w14:paraId="1AEA943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3445A048"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6E22C5D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2650</w:t>
                  </w:r>
                </w:p>
              </w:tc>
              <w:tc>
                <w:tcPr>
                  <w:tcW w:w="800" w:type="dxa"/>
                  <w:tcBorders>
                    <w:top w:val="nil"/>
                    <w:left w:val="nil"/>
                    <w:bottom w:val="nil"/>
                    <w:right w:val="nil"/>
                  </w:tcBorders>
                  <w:shd w:val="clear" w:color="auto" w:fill="auto"/>
                  <w:noWrap/>
                  <w:vAlign w:val="bottom"/>
                  <w:hideMark/>
                </w:tcPr>
                <w:p w14:paraId="470DBC13"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2642</w:t>
                  </w:r>
                </w:p>
              </w:tc>
              <w:tc>
                <w:tcPr>
                  <w:tcW w:w="800" w:type="dxa"/>
                  <w:tcBorders>
                    <w:top w:val="nil"/>
                    <w:left w:val="nil"/>
                    <w:bottom w:val="nil"/>
                    <w:right w:val="nil"/>
                  </w:tcBorders>
                  <w:shd w:val="clear" w:color="auto" w:fill="auto"/>
                  <w:noWrap/>
                  <w:vAlign w:val="bottom"/>
                  <w:hideMark/>
                </w:tcPr>
                <w:p w14:paraId="74F50A6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2634</w:t>
                  </w:r>
                </w:p>
              </w:tc>
              <w:tc>
                <w:tcPr>
                  <w:tcW w:w="800" w:type="dxa"/>
                  <w:tcBorders>
                    <w:top w:val="nil"/>
                    <w:left w:val="nil"/>
                    <w:bottom w:val="nil"/>
                    <w:right w:val="nil"/>
                  </w:tcBorders>
                  <w:shd w:val="clear" w:color="auto" w:fill="auto"/>
                  <w:noWrap/>
                  <w:vAlign w:val="bottom"/>
                  <w:hideMark/>
                </w:tcPr>
                <w:p w14:paraId="779DFC8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2626</w:t>
                  </w:r>
                </w:p>
              </w:tc>
              <w:tc>
                <w:tcPr>
                  <w:tcW w:w="800" w:type="dxa"/>
                  <w:tcBorders>
                    <w:top w:val="nil"/>
                    <w:left w:val="nil"/>
                    <w:bottom w:val="nil"/>
                    <w:right w:val="nil"/>
                  </w:tcBorders>
                  <w:shd w:val="clear" w:color="auto" w:fill="auto"/>
                  <w:noWrap/>
                  <w:vAlign w:val="bottom"/>
                  <w:hideMark/>
                </w:tcPr>
                <w:p w14:paraId="02ED5D27"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2618</w:t>
                  </w:r>
                </w:p>
              </w:tc>
            </w:tr>
            <w:tr w:rsidR="006D7788" w:rsidRPr="006D7788" w14:paraId="1FD664EC" w14:textId="77777777" w:rsidTr="006D7788">
              <w:trPr>
                <w:trHeight w:val="195"/>
              </w:trPr>
              <w:tc>
                <w:tcPr>
                  <w:tcW w:w="2220" w:type="dxa"/>
                  <w:tcBorders>
                    <w:top w:val="nil"/>
                    <w:left w:val="nil"/>
                    <w:bottom w:val="nil"/>
                    <w:right w:val="nil"/>
                  </w:tcBorders>
                  <w:shd w:val="clear" w:color="auto" w:fill="auto"/>
                  <w:noWrap/>
                  <w:vAlign w:val="bottom"/>
                  <w:hideMark/>
                </w:tcPr>
                <w:p w14:paraId="1C29AB0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0593399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7C15D821"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D116E9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50CD43FE"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6DB641B6"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c>
                <w:tcPr>
                  <w:tcW w:w="800" w:type="dxa"/>
                  <w:tcBorders>
                    <w:top w:val="nil"/>
                    <w:left w:val="nil"/>
                    <w:bottom w:val="nil"/>
                    <w:right w:val="nil"/>
                  </w:tcBorders>
                  <w:shd w:val="clear" w:color="auto" w:fill="auto"/>
                  <w:noWrap/>
                  <w:vAlign w:val="bottom"/>
                  <w:hideMark/>
                </w:tcPr>
                <w:p w14:paraId="0403C62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w:t>
                  </w:r>
                </w:p>
              </w:tc>
            </w:tr>
            <w:tr w:rsidR="006D7788" w:rsidRPr="006D7788" w14:paraId="67A98B88" w14:textId="77777777" w:rsidTr="006D7788">
              <w:trPr>
                <w:trHeight w:val="195"/>
              </w:trPr>
              <w:tc>
                <w:tcPr>
                  <w:tcW w:w="2220" w:type="dxa"/>
                  <w:tcBorders>
                    <w:top w:val="nil"/>
                    <w:left w:val="nil"/>
                    <w:bottom w:val="nil"/>
                    <w:right w:val="nil"/>
                  </w:tcBorders>
                  <w:shd w:val="clear" w:color="auto" w:fill="auto"/>
                  <w:noWrap/>
                  <w:vAlign w:val="bottom"/>
                  <w:hideMark/>
                </w:tcPr>
                <w:p w14:paraId="7EEA6A87" w14:textId="77777777" w:rsidR="006D7788" w:rsidRPr="006D7788" w:rsidRDefault="006D7788" w:rsidP="006D7788">
                  <w:pPr>
                    <w:spacing w:after="0" w:line="240" w:lineRule="auto"/>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0205B11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F684096"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D8283E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30BE5E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A7EA6D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7D3E94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0163342E" w14:textId="77777777" w:rsidTr="006D7788">
              <w:trPr>
                <w:trHeight w:val="195"/>
              </w:trPr>
              <w:tc>
                <w:tcPr>
                  <w:tcW w:w="2220" w:type="dxa"/>
                  <w:tcBorders>
                    <w:top w:val="nil"/>
                    <w:left w:val="nil"/>
                    <w:bottom w:val="nil"/>
                    <w:right w:val="nil"/>
                  </w:tcBorders>
                  <w:shd w:val="clear" w:color="auto" w:fill="auto"/>
                  <w:noWrap/>
                  <w:vAlign w:val="bottom"/>
                  <w:hideMark/>
                </w:tcPr>
                <w:p w14:paraId="6E5ABD77"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NGN</w:t>
                  </w:r>
                </w:p>
              </w:tc>
              <w:tc>
                <w:tcPr>
                  <w:tcW w:w="900" w:type="dxa"/>
                  <w:tcBorders>
                    <w:top w:val="nil"/>
                    <w:left w:val="nil"/>
                    <w:bottom w:val="nil"/>
                    <w:right w:val="nil"/>
                  </w:tcBorders>
                  <w:shd w:val="clear" w:color="auto" w:fill="auto"/>
                  <w:noWrap/>
                  <w:vAlign w:val="bottom"/>
                  <w:hideMark/>
                </w:tcPr>
                <w:p w14:paraId="2A236F00"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2C6614B7"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3356F6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4004BE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A6C328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3DA866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734249EF" w14:textId="77777777" w:rsidTr="006D7788">
              <w:trPr>
                <w:trHeight w:val="195"/>
              </w:trPr>
              <w:tc>
                <w:tcPr>
                  <w:tcW w:w="2220" w:type="dxa"/>
                  <w:tcBorders>
                    <w:top w:val="nil"/>
                    <w:left w:val="nil"/>
                    <w:bottom w:val="nil"/>
                    <w:right w:val="nil"/>
                  </w:tcBorders>
                  <w:shd w:val="clear" w:color="auto" w:fill="auto"/>
                  <w:noWrap/>
                  <w:vAlign w:val="bottom"/>
                  <w:hideMark/>
                </w:tcPr>
                <w:p w14:paraId="55D56781"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76F0B2C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0B08603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5B5F7CF0"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7948D90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7ABBCE1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c>
                <w:tcPr>
                  <w:tcW w:w="800" w:type="dxa"/>
                  <w:tcBorders>
                    <w:top w:val="nil"/>
                    <w:left w:val="nil"/>
                    <w:bottom w:val="nil"/>
                    <w:right w:val="nil"/>
                  </w:tcBorders>
                  <w:shd w:val="clear" w:color="auto" w:fill="auto"/>
                  <w:noWrap/>
                  <w:vAlign w:val="bottom"/>
                  <w:hideMark/>
                </w:tcPr>
                <w:p w14:paraId="11DD563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1998</w:t>
                  </w:r>
                </w:p>
              </w:tc>
            </w:tr>
            <w:tr w:rsidR="006D7788" w:rsidRPr="006D7788" w14:paraId="5CD176D2" w14:textId="77777777" w:rsidTr="006D7788">
              <w:trPr>
                <w:trHeight w:val="195"/>
              </w:trPr>
              <w:tc>
                <w:tcPr>
                  <w:tcW w:w="2220" w:type="dxa"/>
                  <w:tcBorders>
                    <w:top w:val="nil"/>
                    <w:left w:val="nil"/>
                    <w:bottom w:val="nil"/>
                    <w:right w:val="nil"/>
                  </w:tcBorders>
                  <w:shd w:val="clear" w:color="auto" w:fill="auto"/>
                  <w:noWrap/>
                  <w:vAlign w:val="bottom"/>
                  <w:hideMark/>
                </w:tcPr>
                <w:p w14:paraId="511B459E"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1E4A988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2ECAAD5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3067C55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180A1D9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571E80F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c>
                <w:tcPr>
                  <w:tcW w:w="800" w:type="dxa"/>
                  <w:tcBorders>
                    <w:top w:val="nil"/>
                    <w:left w:val="nil"/>
                    <w:bottom w:val="nil"/>
                    <w:right w:val="nil"/>
                  </w:tcBorders>
                  <w:shd w:val="clear" w:color="auto" w:fill="auto"/>
                  <w:noWrap/>
                  <w:vAlign w:val="bottom"/>
                  <w:hideMark/>
                </w:tcPr>
                <w:p w14:paraId="4846BD1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125046</w:t>
                  </w:r>
                </w:p>
              </w:tc>
            </w:tr>
            <w:tr w:rsidR="006D7788" w:rsidRPr="006D7788" w14:paraId="54E85A05" w14:textId="77777777" w:rsidTr="006D7788">
              <w:trPr>
                <w:trHeight w:val="195"/>
              </w:trPr>
              <w:tc>
                <w:tcPr>
                  <w:tcW w:w="2220" w:type="dxa"/>
                  <w:tcBorders>
                    <w:top w:val="nil"/>
                    <w:left w:val="nil"/>
                    <w:bottom w:val="nil"/>
                    <w:right w:val="nil"/>
                  </w:tcBorders>
                  <w:shd w:val="clear" w:color="auto" w:fill="auto"/>
                  <w:noWrap/>
                  <w:vAlign w:val="bottom"/>
                  <w:hideMark/>
                </w:tcPr>
                <w:p w14:paraId="6AC8311A"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1D1091F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1FBD147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3C5E6C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A323A54"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3F4758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44E24D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5DFD4F84" w14:textId="77777777" w:rsidTr="006D7788">
              <w:trPr>
                <w:trHeight w:val="195"/>
              </w:trPr>
              <w:tc>
                <w:tcPr>
                  <w:tcW w:w="2220" w:type="dxa"/>
                  <w:tcBorders>
                    <w:top w:val="nil"/>
                    <w:left w:val="nil"/>
                    <w:bottom w:val="nil"/>
                    <w:right w:val="nil"/>
                  </w:tcBorders>
                  <w:shd w:val="clear" w:color="auto" w:fill="auto"/>
                  <w:noWrap/>
                  <w:vAlign w:val="bottom"/>
                  <w:hideMark/>
                </w:tcPr>
                <w:p w14:paraId="70D24CB4"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Sc</w:t>
                  </w:r>
                </w:p>
              </w:tc>
              <w:tc>
                <w:tcPr>
                  <w:tcW w:w="900" w:type="dxa"/>
                  <w:tcBorders>
                    <w:top w:val="nil"/>
                    <w:left w:val="nil"/>
                    <w:bottom w:val="nil"/>
                    <w:right w:val="nil"/>
                  </w:tcBorders>
                  <w:shd w:val="clear" w:color="auto" w:fill="auto"/>
                  <w:noWrap/>
                  <w:vAlign w:val="bottom"/>
                  <w:hideMark/>
                </w:tcPr>
                <w:p w14:paraId="4ED57BE4"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6EFEC63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F0858B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E40722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968C7F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3CC419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35B604A5" w14:textId="77777777" w:rsidTr="006D7788">
              <w:trPr>
                <w:trHeight w:val="195"/>
              </w:trPr>
              <w:tc>
                <w:tcPr>
                  <w:tcW w:w="2220" w:type="dxa"/>
                  <w:tcBorders>
                    <w:top w:val="nil"/>
                    <w:left w:val="nil"/>
                    <w:bottom w:val="nil"/>
                    <w:right w:val="nil"/>
                  </w:tcBorders>
                  <w:shd w:val="clear" w:color="auto" w:fill="auto"/>
                  <w:noWrap/>
                  <w:vAlign w:val="bottom"/>
                  <w:hideMark/>
                </w:tcPr>
                <w:p w14:paraId="59E058F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0EC2BA2E"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5F6D2923"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1479</w:t>
                  </w:r>
                </w:p>
              </w:tc>
              <w:tc>
                <w:tcPr>
                  <w:tcW w:w="800" w:type="dxa"/>
                  <w:tcBorders>
                    <w:top w:val="nil"/>
                    <w:left w:val="nil"/>
                    <w:bottom w:val="nil"/>
                    <w:right w:val="nil"/>
                  </w:tcBorders>
                  <w:shd w:val="clear" w:color="auto" w:fill="auto"/>
                  <w:noWrap/>
                  <w:vAlign w:val="bottom"/>
                  <w:hideMark/>
                </w:tcPr>
                <w:p w14:paraId="79D006E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1478</w:t>
                  </w:r>
                </w:p>
              </w:tc>
              <w:tc>
                <w:tcPr>
                  <w:tcW w:w="800" w:type="dxa"/>
                  <w:tcBorders>
                    <w:top w:val="nil"/>
                    <w:left w:val="nil"/>
                    <w:bottom w:val="nil"/>
                    <w:right w:val="nil"/>
                  </w:tcBorders>
                  <w:shd w:val="clear" w:color="auto" w:fill="auto"/>
                  <w:noWrap/>
                  <w:vAlign w:val="bottom"/>
                  <w:hideMark/>
                </w:tcPr>
                <w:p w14:paraId="3CA65218"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1465</w:t>
                  </w:r>
                </w:p>
              </w:tc>
              <w:tc>
                <w:tcPr>
                  <w:tcW w:w="800" w:type="dxa"/>
                  <w:tcBorders>
                    <w:top w:val="nil"/>
                    <w:left w:val="nil"/>
                    <w:bottom w:val="nil"/>
                    <w:right w:val="nil"/>
                  </w:tcBorders>
                  <w:shd w:val="clear" w:color="auto" w:fill="auto"/>
                  <w:noWrap/>
                  <w:vAlign w:val="bottom"/>
                  <w:hideMark/>
                </w:tcPr>
                <w:p w14:paraId="53A82BC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1456</w:t>
                  </w:r>
                </w:p>
              </w:tc>
              <w:tc>
                <w:tcPr>
                  <w:tcW w:w="800" w:type="dxa"/>
                  <w:tcBorders>
                    <w:top w:val="nil"/>
                    <w:left w:val="nil"/>
                    <w:bottom w:val="nil"/>
                    <w:right w:val="nil"/>
                  </w:tcBorders>
                  <w:shd w:val="clear" w:color="auto" w:fill="auto"/>
                  <w:noWrap/>
                  <w:vAlign w:val="bottom"/>
                  <w:hideMark/>
                </w:tcPr>
                <w:p w14:paraId="75A42896"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1470</w:t>
                  </w:r>
                </w:p>
              </w:tc>
            </w:tr>
            <w:tr w:rsidR="006D7788" w:rsidRPr="006D7788" w14:paraId="0A29AA0A" w14:textId="77777777" w:rsidTr="006D7788">
              <w:trPr>
                <w:trHeight w:val="195"/>
              </w:trPr>
              <w:tc>
                <w:tcPr>
                  <w:tcW w:w="2220" w:type="dxa"/>
                  <w:tcBorders>
                    <w:top w:val="nil"/>
                    <w:left w:val="nil"/>
                    <w:bottom w:val="nil"/>
                    <w:right w:val="nil"/>
                  </w:tcBorders>
                  <w:shd w:val="clear" w:color="auto" w:fill="auto"/>
                  <w:noWrap/>
                  <w:vAlign w:val="bottom"/>
                  <w:hideMark/>
                </w:tcPr>
                <w:p w14:paraId="22DCF50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11B1B5AA"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6992E83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127459</w:t>
                  </w:r>
                </w:p>
              </w:tc>
              <w:tc>
                <w:tcPr>
                  <w:tcW w:w="800" w:type="dxa"/>
                  <w:tcBorders>
                    <w:top w:val="nil"/>
                    <w:left w:val="nil"/>
                    <w:bottom w:val="nil"/>
                    <w:right w:val="nil"/>
                  </w:tcBorders>
                  <w:shd w:val="clear" w:color="auto" w:fill="auto"/>
                  <w:noWrap/>
                  <w:vAlign w:val="bottom"/>
                  <w:hideMark/>
                </w:tcPr>
                <w:p w14:paraId="43E44FD1"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127322</w:t>
                  </w:r>
                </w:p>
              </w:tc>
              <w:tc>
                <w:tcPr>
                  <w:tcW w:w="800" w:type="dxa"/>
                  <w:tcBorders>
                    <w:top w:val="nil"/>
                    <w:left w:val="nil"/>
                    <w:bottom w:val="nil"/>
                    <w:right w:val="nil"/>
                  </w:tcBorders>
                  <w:shd w:val="clear" w:color="auto" w:fill="auto"/>
                  <w:noWrap/>
                  <w:vAlign w:val="bottom"/>
                  <w:hideMark/>
                </w:tcPr>
                <w:p w14:paraId="28D6CEB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125888</w:t>
                  </w:r>
                </w:p>
              </w:tc>
              <w:tc>
                <w:tcPr>
                  <w:tcW w:w="800" w:type="dxa"/>
                  <w:tcBorders>
                    <w:top w:val="nil"/>
                    <w:left w:val="nil"/>
                    <w:bottom w:val="nil"/>
                    <w:right w:val="nil"/>
                  </w:tcBorders>
                  <w:shd w:val="clear" w:color="auto" w:fill="auto"/>
                  <w:noWrap/>
                  <w:vAlign w:val="bottom"/>
                  <w:hideMark/>
                </w:tcPr>
                <w:p w14:paraId="53C5B28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124889</w:t>
                  </w:r>
                </w:p>
              </w:tc>
              <w:tc>
                <w:tcPr>
                  <w:tcW w:w="800" w:type="dxa"/>
                  <w:tcBorders>
                    <w:top w:val="nil"/>
                    <w:left w:val="nil"/>
                    <w:bottom w:val="nil"/>
                    <w:right w:val="nil"/>
                  </w:tcBorders>
                  <w:shd w:val="clear" w:color="auto" w:fill="auto"/>
                  <w:noWrap/>
                  <w:vAlign w:val="bottom"/>
                  <w:hideMark/>
                </w:tcPr>
                <w:p w14:paraId="625FA42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126474</w:t>
                  </w:r>
                </w:p>
              </w:tc>
            </w:tr>
            <w:tr w:rsidR="006D7788" w:rsidRPr="006D7788" w14:paraId="4635D7C9" w14:textId="77777777" w:rsidTr="006D7788">
              <w:trPr>
                <w:trHeight w:val="195"/>
              </w:trPr>
              <w:tc>
                <w:tcPr>
                  <w:tcW w:w="2220" w:type="dxa"/>
                  <w:tcBorders>
                    <w:top w:val="nil"/>
                    <w:left w:val="nil"/>
                    <w:bottom w:val="nil"/>
                    <w:right w:val="nil"/>
                  </w:tcBorders>
                  <w:shd w:val="clear" w:color="auto" w:fill="auto"/>
                  <w:noWrap/>
                  <w:vAlign w:val="bottom"/>
                  <w:hideMark/>
                </w:tcPr>
                <w:p w14:paraId="7B6CFFBF"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1F9C327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649685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93461F2"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99E24F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2FC8CA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DAC4DE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04B520B" w14:textId="77777777" w:rsidTr="006D7788">
              <w:trPr>
                <w:trHeight w:val="195"/>
              </w:trPr>
              <w:tc>
                <w:tcPr>
                  <w:tcW w:w="2220" w:type="dxa"/>
                  <w:tcBorders>
                    <w:top w:val="nil"/>
                    <w:left w:val="nil"/>
                    <w:bottom w:val="nil"/>
                    <w:right w:val="nil"/>
                  </w:tcBorders>
                  <w:shd w:val="clear" w:color="auto" w:fill="auto"/>
                  <w:noWrap/>
                  <w:vAlign w:val="bottom"/>
                  <w:hideMark/>
                </w:tcPr>
                <w:p w14:paraId="1AA41955"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So</w:t>
                  </w:r>
                </w:p>
              </w:tc>
              <w:tc>
                <w:tcPr>
                  <w:tcW w:w="900" w:type="dxa"/>
                  <w:tcBorders>
                    <w:top w:val="nil"/>
                    <w:left w:val="nil"/>
                    <w:bottom w:val="nil"/>
                    <w:right w:val="nil"/>
                  </w:tcBorders>
                  <w:shd w:val="clear" w:color="auto" w:fill="auto"/>
                  <w:noWrap/>
                  <w:vAlign w:val="bottom"/>
                  <w:hideMark/>
                </w:tcPr>
                <w:p w14:paraId="246C8728"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7289C2A0"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9FC5DB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1A37351"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68BDBB9"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E78EDE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CDDA1F2" w14:textId="77777777" w:rsidTr="006D7788">
              <w:trPr>
                <w:trHeight w:val="195"/>
              </w:trPr>
              <w:tc>
                <w:tcPr>
                  <w:tcW w:w="2220" w:type="dxa"/>
                  <w:tcBorders>
                    <w:top w:val="nil"/>
                    <w:left w:val="nil"/>
                    <w:bottom w:val="nil"/>
                    <w:right w:val="nil"/>
                  </w:tcBorders>
                  <w:shd w:val="clear" w:color="auto" w:fill="auto"/>
                  <w:noWrap/>
                  <w:vAlign w:val="bottom"/>
                  <w:hideMark/>
                </w:tcPr>
                <w:p w14:paraId="2497406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598E38B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402265AD"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1677</w:t>
                  </w:r>
                </w:p>
              </w:tc>
              <w:tc>
                <w:tcPr>
                  <w:tcW w:w="800" w:type="dxa"/>
                  <w:tcBorders>
                    <w:top w:val="nil"/>
                    <w:left w:val="nil"/>
                    <w:bottom w:val="nil"/>
                    <w:right w:val="nil"/>
                  </w:tcBorders>
                  <w:shd w:val="clear" w:color="auto" w:fill="auto"/>
                  <w:noWrap/>
                  <w:vAlign w:val="bottom"/>
                  <w:hideMark/>
                </w:tcPr>
                <w:p w14:paraId="02A3633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1681</w:t>
                  </w:r>
                </w:p>
              </w:tc>
              <w:tc>
                <w:tcPr>
                  <w:tcW w:w="800" w:type="dxa"/>
                  <w:tcBorders>
                    <w:top w:val="nil"/>
                    <w:left w:val="nil"/>
                    <w:bottom w:val="nil"/>
                    <w:right w:val="nil"/>
                  </w:tcBorders>
                  <w:shd w:val="clear" w:color="auto" w:fill="auto"/>
                  <w:noWrap/>
                  <w:vAlign w:val="bottom"/>
                  <w:hideMark/>
                </w:tcPr>
                <w:p w14:paraId="5122AFE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1668</w:t>
                  </w:r>
                </w:p>
              </w:tc>
              <w:tc>
                <w:tcPr>
                  <w:tcW w:w="800" w:type="dxa"/>
                  <w:tcBorders>
                    <w:top w:val="nil"/>
                    <w:left w:val="nil"/>
                    <w:bottom w:val="nil"/>
                    <w:right w:val="nil"/>
                  </w:tcBorders>
                  <w:shd w:val="clear" w:color="auto" w:fill="auto"/>
                  <w:noWrap/>
                  <w:vAlign w:val="bottom"/>
                  <w:hideMark/>
                </w:tcPr>
                <w:p w14:paraId="3AC389E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1661</w:t>
                  </w:r>
                </w:p>
              </w:tc>
              <w:tc>
                <w:tcPr>
                  <w:tcW w:w="800" w:type="dxa"/>
                  <w:tcBorders>
                    <w:top w:val="nil"/>
                    <w:left w:val="nil"/>
                    <w:bottom w:val="nil"/>
                    <w:right w:val="nil"/>
                  </w:tcBorders>
                  <w:shd w:val="clear" w:color="auto" w:fill="auto"/>
                  <w:noWrap/>
                  <w:vAlign w:val="bottom"/>
                  <w:hideMark/>
                </w:tcPr>
                <w:p w14:paraId="7A8EA1AF"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1678</w:t>
                  </w:r>
                </w:p>
              </w:tc>
            </w:tr>
            <w:tr w:rsidR="006D7788" w:rsidRPr="006D7788" w14:paraId="520FD7B5" w14:textId="77777777" w:rsidTr="006D7788">
              <w:trPr>
                <w:trHeight w:val="195"/>
              </w:trPr>
              <w:tc>
                <w:tcPr>
                  <w:tcW w:w="2220" w:type="dxa"/>
                  <w:tcBorders>
                    <w:top w:val="nil"/>
                    <w:left w:val="nil"/>
                    <w:bottom w:val="nil"/>
                    <w:right w:val="nil"/>
                  </w:tcBorders>
                  <w:shd w:val="clear" w:color="auto" w:fill="auto"/>
                  <w:noWrap/>
                  <w:vAlign w:val="bottom"/>
                  <w:hideMark/>
                </w:tcPr>
                <w:p w14:paraId="6D9AA5FD"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60DEDC62"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60B99702"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246304</w:t>
                  </w:r>
                </w:p>
              </w:tc>
              <w:tc>
                <w:tcPr>
                  <w:tcW w:w="800" w:type="dxa"/>
                  <w:tcBorders>
                    <w:top w:val="nil"/>
                    <w:left w:val="nil"/>
                    <w:bottom w:val="nil"/>
                    <w:right w:val="nil"/>
                  </w:tcBorders>
                  <w:shd w:val="clear" w:color="auto" w:fill="auto"/>
                  <w:noWrap/>
                  <w:vAlign w:val="bottom"/>
                  <w:hideMark/>
                </w:tcPr>
                <w:p w14:paraId="4AE307C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247318</w:t>
                  </w:r>
                </w:p>
              </w:tc>
              <w:tc>
                <w:tcPr>
                  <w:tcW w:w="800" w:type="dxa"/>
                  <w:tcBorders>
                    <w:top w:val="nil"/>
                    <w:left w:val="nil"/>
                    <w:bottom w:val="nil"/>
                    <w:right w:val="nil"/>
                  </w:tcBorders>
                  <w:shd w:val="clear" w:color="auto" w:fill="auto"/>
                  <w:noWrap/>
                  <w:vAlign w:val="bottom"/>
                  <w:hideMark/>
                </w:tcPr>
                <w:p w14:paraId="02AE7E9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245203</w:t>
                  </w:r>
                </w:p>
              </w:tc>
              <w:tc>
                <w:tcPr>
                  <w:tcW w:w="800" w:type="dxa"/>
                  <w:tcBorders>
                    <w:top w:val="nil"/>
                    <w:left w:val="nil"/>
                    <w:bottom w:val="nil"/>
                    <w:right w:val="nil"/>
                  </w:tcBorders>
                  <w:shd w:val="clear" w:color="auto" w:fill="auto"/>
                  <w:noWrap/>
                  <w:vAlign w:val="bottom"/>
                  <w:hideMark/>
                </w:tcPr>
                <w:p w14:paraId="7B3C29A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244291</w:t>
                  </w:r>
                </w:p>
              </w:tc>
              <w:tc>
                <w:tcPr>
                  <w:tcW w:w="800" w:type="dxa"/>
                  <w:tcBorders>
                    <w:top w:val="nil"/>
                    <w:left w:val="nil"/>
                    <w:bottom w:val="nil"/>
                    <w:right w:val="nil"/>
                  </w:tcBorders>
                  <w:shd w:val="clear" w:color="auto" w:fill="auto"/>
                  <w:noWrap/>
                  <w:vAlign w:val="bottom"/>
                  <w:hideMark/>
                </w:tcPr>
                <w:p w14:paraId="4E168C43"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247776</w:t>
                  </w:r>
                </w:p>
              </w:tc>
            </w:tr>
            <w:tr w:rsidR="006D7788" w:rsidRPr="006D7788" w14:paraId="254B139D" w14:textId="77777777" w:rsidTr="006D7788">
              <w:trPr>
                <w:trHeight w:val="195"/>
              </w:trPr>
              <w:tc>
                <w:tcPr>
                  <w:tcW w:w="2220" w:type="dxa"/>
                  <w:tcBorders>
                    <w:top w:val="nil"/>
                    <w:left w:val="nil"/>
                    <w:bottom w:val="nil"/>
                    <w:right w:val="nil"/>
                  </w:tcBorders>
                  <w:shd w:val="clear" w:color="auto" w:fill="auto"/>
                  <w:noWrap/>
                  <w:vAlign w:val="bottom"/>
                  <w:hideMark/>
                </w:tcPr>
                <w:p w14:paraId="44D30DC6" w14:textId="77777777" w:rsidR="006D7788" w:rsidRPr="006D7788" w:rsidRDefault="006D7788" w:rsidP="006D7788">
                  <w:pPr>
                    <w:spacing w:after="0" w:line="240" w:lineRule="auto"/>
                    <w:jc w:val="right"/>
                    <w:rPr>
                      <w:rFonts w:eastAsia="Times New Roman" w:cs="Times New Roman"/>
                      <w:color w:val="000000"/>
                      <w:sz w:val="16"/>
                      <w:szCs w:val="16"/>
                      <w:lang w:eastAsia="en-GB"/>
                    </w:rPr>
                  </w:pPr>
                </w:p>
              </w:tc>
              <w:tc>
                <w:tcPr>
                  <w:tcW w:w="900" w:type="dxa"/>
                  <w:tcBorders>
                    <w:top w:val="nil"/>
                    <w:left w:val="nil"/>
                    <w:bottom w:val="nil"/>
                    <w:right w:val="nil"/>
                  </w:tcBorders>
                  <w:shd w:val="clear" w:color="auto" w:fill="auto"/>
                  <w:noWrap/>
                  <w:vAlign w:val="bottom"/>
                  <w:hideMark/>
                </w:tcPr>
                <w:p w14:paraId="6FC448A8"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58244C2B"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38AE04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01CA77F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4F68B10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E5BDD70"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425BCDE7" w14:textId="77777777" w:rsidTr="006D7788">
              <w:trPr>
                <w:trHeight w:val="195"/>
              </w:trPr>
              <w:tc>
                <w:tcPr>
                  <w:tcW w:w="2220" w:type="dxa"/>
                  <w:tcBorders>
                    <w:top w:val="nil"/>
                    <w:left w:val="nil"/>
                    <w:bottom w:val="nil"/>
                    <w:right w:val="nil"/>
                  </w:tcBorders>
                  <w:shd w:val="clear" w:color="auto" w:fill="auto"/>
                  <w:noWrap/>
                  <w:vAlign w:val="bottom"/>
                  <w:hideMark/>
                </w:tcPr>
                <w:p w14:paraId="4C3C46AD" w14:textId="77777777" w:rsidR="006D7788" w:rsidRPr="006D7788" w:rsidRDefault="006D7788" w:rsidP="006D7788">
                  <w:pPr>
                    <w:spacing w:after="0" w:line="240" w:lineRule="auto"/>
                    <w:rPr>
                      <w:rFonts w:eastAsia="Times New Roman" w:cs="Times New Roman"/>
                      <w:b/>
                      <w:bCs/>
                      <w:color w:val="000000"/>
                      <w:sz w:val="16"/>
                      <w:szCs w:val="16"/>
                      <w:lang w:eastAsia="en-GB"/>
                    </w:rPr>
                  </w:pPr>
                  <w:r w:rsidRPr="006D7788">
                    <w:rPr>
                      <w:rFonts w:eastAsia="Times New Roman" w:cs="Times New Roman"/>
                      <w:b/>
                      <w:bCs/>
                      <w:color w:val="000000"/>
                      <w:sz w:val="16"/>
                      <w:szCs w:val="16"/>
                      <w:lang w:eastAsia="en-GB"/>
                    </w:rPr>
                    <w:t>WWU</w:t>
                  </w:r>
                </w:p>
              </w:tc>
              <w:tc>
                <w:tcPr>
                  <w:tcW w:w="900" w:type="dxa"/>
                  <w:tcBorders>
                    <w:top w:val="nil"/>
                    <w:left w:val="nil"/>
                    <w:bottom w:val="nil"/>
                    <w:right w:val="nil"/>
                  </w:tcBorders>
                  <w:shd w:val="clear" w:color="auto" w:fill="auto"/>
                  <w:noWrap/>
                  <w:vAlign w:val="bottom"/>
                  <w:hideMark/>
                </w:tcPr>
                <w:p w14:paraId="3F70301E" w14:textId="77777777" w:rsidR="006D7788" w:rsidRPr="006D7788" w:rsidRDefault="006D7788" w:rsidP="006D7788">
                  <w:pPr>
                    <w:spacing w:after="0" w:line="240" w:lineRule="auto"/>
                    <w:rPr>
                      <w:rFonts w:eastAsia="Times New Roman" w:cs="Times New Roman"/>
                      <w:b/>
                      <w:bCs/>
                      <w:color w:val="000000"/>
                      <w:sz w:val="16"/>
                      <w:szCs w:val="16"/>
                      <w:lang w:eastAsia="en-GB"/>
                    </w:rPr>
                  </w:pPr>
                </w:p>
              </w:tc>
              <w:tc>
                <w:tcPr>
                  <w:tcW w:w="800" w:type="dxa"/>
                  <w:tcBorders>
                    <w:top w:val="nil"/>
                    <w:left w:val="nil"/>
                    <w:bottom w:val="nil"/>
                    <w:right w:val="nil"/>
                  </w:tcBorders>
                  <w:shd w:val="clear" w:color="auto" w:fill="auto"/>
                  <w:noWrap/>
                  <w:vAlign w:val="bottom"/>
                  <w:hideMark/>
                </w:tcPr>
                <w:p w14:paraId="4DF2BD7F"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745C9FBA"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2068A6AC"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69CED0F3"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c>
                <w:tcPr>
                  <w:tcW w:w="800" w:type="dxa"/>
                  <w:tcBorders>
                    <w:top w:val="nil"/>
                    <w:left w:val="nil"/>
                    <w:bottom w:val="nil"/>
                    <w:right w:val="nil"/>
                  </w:tcBorders>
                  <w:shd w:val="clear" w:color="auto" w:fill="auto"/>
                  <w:noWrap/>
                  <w:vAlign w:val="bottom"/>
                  <w:hideMark/>
                </w:tcPr>
                <w:p w14:paraId="3E32EA85" w14:textId="77777777" w:rsidR="006D7788" w:rsidRPr="006D7788" w:rsidRDefault="006D7788" w:rsidP="006D7788">
                  <w:pPr>
                    <w:spacing w:after="0" w:line="240" w:lineRule="auto"/>
                    <w:rPr>
                      <w:rFonts w:ascii="Times New Roman" w:eastAsia="Times New Roman" w:hAnsi="Times New Roman" w:cs="Times New Roman"/>
                      <w:szCs w:val="20"/>
                      <w:lang w:eastAsia="en-GB"/>
                    </w:rPr>
                  </w:pPr>
                </w:p>
              </w:tc>
            </w:tr>
            <w:tr w:rsidR="006D7788" w:rsidRPr="006D7788" w14:paraId="01AFD9AE" w14:textId="77777777" w:rsidTr="006D7788">
              <w:trPr>
                <w:trHeight w:val="195"/>
              </w:trPr>
              <w:tc>
                <w:tcPr>
                  <w:tcW w:w="2220" w:type="dxa"/>
                  <w:tcBorders>
                    <w:top w:val="nil"/>
                    <w:left w:val="nil"/>
                    <w:bottom w:val="nil"/>
                    <w:right w:val="nil"/>
                  </w:tcBorders>
                  <w:shd w:val="clear" w:color="auto" w:fill="auto"/>
                  <w:noWrap/>
                  <w:vAlign w:val="bottom"/>
                  <w:hideMark/>
                </w:tcPr>
                <w:p w14:paraId="56F6EBBC"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services</w:t>
                  </w:r>
                </w:p>
              </w:tc>
              <w:tc>
                <w:tcPr>
                  <w:tcW w:w="900" w:type="dxa"/>
                  <w:tcBorders>
                    <w:top w:val="nil"/>
                    <w:left w:val="nil"/>
                    <w:bottom w:val="nil"/>
                    <w:right w:val="nil"/>
                  </w:tcBorders>
                  <w:shd w:val="clear" w:color="auto" w:fill="auto"/>
                  <w:noWrap/>
                  <w:vAlign w:val="bottom"/>
                  <w:hideMark/>
                </w:tcPr>
                <w:p w14:paraId="59BE7CD0"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£/service</w:t>
                  </w:r>
                </w:p>
              </w:tc>
              <w:tc>
                <w:tcPr>
                  <w:tcW w:w="800" w:type="dxa"/>
                  <w:tcBorders>
                    <w:top w:val="nil"/>
                    <w:left w:val="nil"/>
                    <w:bottom w:val="nil"/>
                    <w:right w:val="nil"/>
                  </w:tcBorders>
                  <w:shd w:val="clear" w:color="auto" w:fill="auto"/>
                  <w:noWrap/>
                  <w:vAlign w:val="bottom"/>
                  <w:hideMark/>
                </w:tcPr>
                <w:p w14:paraId="7BC71884"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1566</w:t>
                  </w:r>
                </w:p>
              </w:tc>
              <w:tc>
                <w:tcPr>
                  <w:tcW w:w="800" w:type="dxa"/>
                  <w:tcBorders>
                    <w:top w:val="nil"/>
                    <w:left w:val="nil"/>
                    <w:bottom w:val="nil"/>
                    <w:right w:val="nil"/>
                  </w:tcBorders>
                  <w:shd w:val="clear" w:color="auto" w:fill="auto"/>
                  <w:noWrap/>
                  <w:vAlign w:val="bottom"/>
                  <w:hideMark/>
                </w:tcPr>
                <w:p w14:paraId="200481C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1715</w:t>
                  </w:r>
                </w:p>
              </w:tc>
              <w:tc>
                <w:tcPr>
                  <w:tcW w:w="800" w:type="dxa"/>
                  <w:tcBorders>
                    <w:top w:val="nil"/>
                    <w:left w:val="nil"/>
                    <w:bottom w:val="nil"/>
                    <w:right w:val="nil"/>
                  </w:tcBorders>
                  <w:shd w:val="clear" w:color="auto" w:fill="auto"/>
                  <w:noWrap/>
                  <w:vAlign w:val="bottom"/>
                  <w:hideMark/>
                </w:tcPr>
                <w:p w14:paraId="67F48D6E"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2047</w:t>
                  </w:r>
                </w:p>
              </w:tc>
              <w:tc>
                <w:tcPr>
                  <w:tcW w:w="800" w:type="dxa"/>
                  <w:tcBorders>
                    <w:top w:val="nil"/>
                    <w:left w:val="nil"/>
                    <w:bottom w:val="nil"/>
                    <w:right w:val="nil"/>
                  </w:tcBorders>
                  <w:shd w:val="clear" w:color="auto" w:fill="auto"/>
                  <w:noWrap/>
                  <w:vAlign w:val="bottom"/>
                  <w:hideMark/>
                </w:tcPr>
                <w:p w14:paraId="2BE2ADBF"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2548</w:t>
                  </w:r>
                </w:p>
              </w:tc>
              <w:tc>
                <w:tcPr>
                  <w:tcW w:w="800" w:type="dxa"/>
                  <w:tcBorders>
                    <w:top w:val="nil"/>
                    <w:left w:val="nil"/>
                    <w:bottom w:val="nil"/>
                    <w:right w:val="nil"/>
                  </w:tcBorders>
                  <w:shd w:val="clear" w:color="auto" w:fill="auto"/>
                  <w:noWrap/>
                  <w:vAlign w:val="bottom"/>
                  <w:hideMark/>
                </w:tcPr>
                <w:p w14:paraId="32304ABC"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3382</w:t>
                  </w:r>
                </w:p>
              </w:tc>
            </w:tr>
            <w:tr w:rsidR="006D7788" w:rsidRPr="006D7788" w14:paraId="4F50279A" w14:textId="77777777" w:rsidTr="006D7788">
              <w:trPr>
                <w:trHeight w:val="195"/>
              </w:trPr>
              <w:tc>
                <w:tcPr>
                  <w:tcW w:w="2220" w:type="dxa"/>
                  <w:tcBorders>
                    <w:top w:val="nil"/>
                    <w:left w:val="nil"/>
                    <w:bottom w:val="nil"/>
                    <w:right w:val="nil"/>
                  </w:tcBorders>
                  <w:shd w:val="clear" w:color="auto" w:fill="auto"/>
                  <w:noWrap/>
                  <w:vAlign w:val="bottom"/>
                  <w:hideMark/>
                </w:tcPr>
                <w:p w14:paraId="523E9159"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FPNES - mains &lt;180mm</w:t>
                  </w:r>
                </w:p>
              </w:tc>
              <w:tc>
                <w:tcPr>
                  <w:tcW w:w="900" w:type="dxa"/>
                  <w:tcBorders>
                    <w:top w:val="nil"/>
                    <w:left w:val="nil"/>
                    <w:bottom w:val="nil"/>
                    <w:right w:val="nil"/>
                  </w:tcBorders>
                  <w:shd w:val="clear" w:color="auto" w:fill="auto"/>
                  <w:noWrap/>
                  <w:vAlign w:val="bottom"/>
                  <w:hideMark/>
                </w:tcPr>
                <w:p w14:paraId="455AD275" w14:textId="77777777" w:rsidR="006D7788" w:rsidRPr="006D7788" w:rsidRDefault="006D7788" w:rsidP="006D7788">
                  <w:pPr>
                    <w:spacing w:after="0" w:line="240" w:lineRule="auto"/>
                    <w:rPr>
                      <w:rFonts w:eastAsia="Times New Roman" w:cs="Times New Roman"/>
                      <w:color w:val="000000"/>
                      <w:sz w:val="16"/>
                      <w:szCs w:val="16"/>
                      <w:lang w:eastAsia="en-GB"/>
                    </w:rPr>
                  </w:pPr>
                  <w:r w:rsidRPr="006D7788">
                    <w:rPr>
                      <w:rFonts w:eastAsia="Times New Roman" w:cs="Times New Roman"/>
                      <w:color w:val="000000"/>
                      <w:sz w:val="16"/>
                      <w:szCs w:val="16"/>
                      <w:lang w:eastAsia="en-GB"/>
                    </w:rPr>
                    <w:t>£/km</w:t>
                  </w:r>
                </w:p>
              </w:tc>
              <w:tc>
                <w:tcPr>
                  <w:tcW w:w="800" w:type="dxa"/>
                  <w:tcBorders>
                    <w:top w:val="nil"/>
                    <w:left w:val="nil"/>
                    <w:bottom w:val="nil"/>
                    <w:right w:val="nil"/>
                  </w:tcBorders>
                  <w:shd w:val="clear" w:color="auto" w:fill="auto"/>
                  <w:noWrap/>
                  <w:vAlign w:val="bottom"/>
                  <w:hideMark/>
                </w:tcPr>
                <w:p w14:paraId="4848BC27"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313365</w:t>
                  </w:r>
                </w:p>
              </w:tc>
              <w:tc>
                <w:tcPr>
                  <w:tcW w:w="800" w:type="dxa"/>
                  <w:tcBorders>
                    <w:top w:val="nil"/>
                    <w:left w:val="nil"/>
                    <w:bottom w:val="nil"/>
                    <w:right w:val="nil"/>
                  </w:tcBorders>
                  <w:shd w:val="clear" w:color="auto" w:fill="auto"/>
                  <w:noWrap/>
                  <w:vAlign w:val="bottom"/>
                  <w:hideMark/>
                </w:tcPr>
                <w:p w14:paraId="2967025B"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306644</w:t>
                  </w:r>
                </w:p>
              </w:tc>
              <w:tc>
                <w:tcPr>
                  <w:tcW w:w="800" w:type="dxa"/>
                  <w:tcBorders>
                    <w:top w:val="nil"/>
                    <w:left w:val="nil"/>
                    <w:bottom w:val="nil"/>
                    <w:right w:val="nil"/>
                  </w:tcBorders>
                  <w:shd w:val="clear" w:color="auto" w:fill="auto"/>
                  <w:noWrap/>
                  <w:vAlign w:val="bottom"/>
                  <w:hideMark/>
                </w:tcPr>
                <w:p w14:paraId="6FD21CE5"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364943</w:t>
                  </w:r>
                </w:p>
              </w:tc>
              <w:tc>
                <w:tcPr>
                  <w:tcW w:w="800" w:type="dxa"/>
                  <w:tcBorders>
                    <w:top w:val="nil"/>
                    <w:left w:val="nil"/>
                    <w:bottom w:val="nil"/>
                    <w:right w:val="nil"/>
                  </w:tcBorders>
                  <w:shd w:val="clear" w:color="auto" w:fill="auto"/>
                  <w:noWrap/>
                  <w:vAlign w:val="bottom"/>
                  <w:hideMark/>
                </w:tcPr>
                <w:p w14:paraId="6AAB741A"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449611</w:t>
                  </w:r>
                </w:p>
              </w:tc>
              <w:tc>
                <w:tcPr>
                  <w:tcW w:w="800" w:type="dxa"/>
                  <w:tcBorders>
                    <w:top w:val="nil"/>
                    <w:left w:val="nil"/>
                    <w:bottom w:val="nil"/>
                    <w:right w:val="nil"/>
                  </w:tcBorders>
                  <w:shd w:val="clear" w:color="auto" w:fill="auto"/>
                  <w:noWrap/>
                  <w:vAlign w:val="bottom"/>
                  <w:hideMark/>
                </w:tcPr>
                <w:p w14:paraId="4E91ED79" w14:textId="77777777" w:rsidR="006D7788" w:rsidRPr="006D7788" w:rsidRDefault="006D7788" w:rsidP="006D7788">
                  <w:pPr>
                    <w:spacing w:after="0" w:line="240" w:lineRule="auto"/>
                    <w:jc w:val="right"/>
                    <w:rPr>
                      <w:rFonts w:eastAsia="Times New Roman" w:cs="Times New Roman"/>
                      <w:color w:val="000000"/>
                      <w:sz w:val="16"/>
                      <w:szCs w:val="16"/>
                      <w:lang w:eastAsia="en-GB"/>
                    </w:rPr>
                  </w:pPr>
                  <w:r w:rsidRPr="006D7788">
                    <w:rPr>
                      <w:rFonts w:eastAsia="Times New Roman" w:cs="Times New Roman"/>
                      <w:color w:val="000000"/>
                      <w:sz w:val="16"/>
                      <w:szCs w:val="16"/>
                      <w:lang w:eastAsia="en-GB"/>
                    </w:rPr>
                    <w:t>594571</w:t>
                  </w:r>
                </w:p>
              </w:tc>
            </w:tr>
          </w:tbl>
          <w:p w14:paraId="7658E8B5" w14:textId="77777777" w:rsidR="006D7788" w:rsidRDefault="006D7788" w:rsidP="0059221F">
            <w:pPr>
              <w:rPr>
                <w:rFonts w:asciiTheme="minorHAnsi" w:hAnsiTheme="minorHAnsi" w:cs="Arial"/>
                <w:szCs w:val="20"/>
              </w:rPr>
            </w:pPr>
          </w:p>
          <w:p w14:paraId="782DF6A9" w14:textId="69D49066" w:rsidR="00044FA0" w:rsidRPr="007D62EA" w:rsidRDefault="00044FA0" w:rsidP="006D7788">
            <w:pPr>
              <w:rPr>
                <w:rFonts w:asciiTheme="minorHAnsi" w:hAnsiTheme="minorHAnsi" w:cs="Arial"/>
                <w:szCs w:val="20"/>
              </w:rPr>
            </w:pPr>
          </w:p>
        </w:tc>
      </w:tr>
      <w:tr w:rsidR="00A06191" w:rsidRPr="007D62EA" w14:paraId="373E21DF" w14:textId="77777777" w:rsidTr="006D7788">
        <w:trPr>
          <w:trHeight w:val="127"/>
        </w:trPr>
        <w:tc>
          <w:tcPr>
            <w:tcW w:w="2269" w:type="dxa"/>
            <w:gridSpan w:val="2"/>
            <w:shd w:val="clear" w:color="auto" w:fill="auto"/>
            <w:vAlign w:val="center"/>
          </w:tcPr>
          <w:p w14:paraId="373E21DD" w14:textId="1F14EA0B" w:rsidR="00A06191" w:rsidRPr="007D62EA" w:rsidRDefault="00A06191" w:rsidP="00945C7C">
            <w:pPr>
              <w:rPr>
                <w:rFonts w:asciiTheme="minorHAnsi" w:hAnsiTheme="minorHAnsi" w:cs="Arial"/>
                <w:b/>
                <w:bCs/>
                <w:szCs w:val="20"/>
              </w:rPr>
            </w:pPr>
            <w:r w:rsidRPr="007D62EA">
              <w:rPr>
                <w:rFonts w:asciiTheme="minorHAnsi" w:hAnsiTheme="minorHAnsi" w:cs="Arial"/>
                <w:b/>
                <w:bCs/>
                <w:szCs w:val="20"/>
              </w:rPr>
              <w:lastRenderedPageBreak/>
              <w:t xml:space="preserve">Date </w:t>
            </w:r>
            <w:r w:rsidR="00673EE9" w:rsidRPr="007D62EA">
              <w:rPr>
                <w:rFonts w:asciiTheme="minorHAnsi" w:hAnsiTheme="minorHAnsi" w:cs="Arial"/>
                <w:b/>
                <w:bCs/>
                <w:szCs w:val="20"/>
              </w:rPr>
              <w:t xml:space="preserve">Original Question was sent </w:t>
            </w:r>
          </w:p>
        </w:tc>
        <w:tc>
          <w:tcPr>
            <w:tcW w:w="8363" w:type="dxa"/>
            <w:gridSpan w:val="2"/>
            <w:shd w:val="clear" w:color="auto" w:fill="auto"/>
            <w:vAlign w:val="center"/>
          </w:tcPr>
          <w:p w14:paraId="373E21DE" w14:textId="64E4D787" w:rsidR="00F82AB4" w:rsidRPr="007D62EA" w:rsidRDefault="0002042B" w:rsidP="00A0584E">
            <w:pPr>
              <w:rPr>
                <w:rFonts w:asciiTheme="minorHAnsi" w:hAnsiTheme="minorHAnsi" w:cs="Arial"/>
                <w:szCs w:val="20"/>
              </w:rPr>
            </w:pPr>
            <w:r w:rsidRPr="007D62EA">
              <w:rPr>
                <w:rFonts w:asciiTheme="minorHAnsi" w:hAnsiTheme="minorHAnsi" w:cs="Arial"/>
                <w:szCs w:val="20"/>
              </w:rPr>
              <w:t>17/12/2020</w:t>
            </w:r>
          </w:p>
        </w:tc>
      </w:tr>
      <w:tr w:rsidR="004B31F9" w:rsidRPr="007D62EA" w14:paraId="5E7955A0" w14:textId="77777777" w:rsidTr="006D7788">
        <w:trPr>
          <w:trHeight w:val="127"/>
        </w:trPr>
        <w:tc>
          <w:tcPr>
            <w:tcW w:w="2269" w:type="dxa"/>
            <w:gridSpan w:val="2"/>
            <w:shd w:val="clear" w:color="auto" w:fill="auto"/>
            <w:vAlign w:val="center"/>
          </w:tcPr>
          <w:p w14:paraId="560D4108" w14:textId="2CCBB3E8" w:rsidR="004B31F9" w:rsidRPr="007D62EA" w:rsidRDefault="00954F90" w:rsidP="004B31F9">
            <w:pPr>
              <w:rPr>
                <w:rFonts w:asciiTheme="minorHAnsi" w:hAnsiTheme="minorHAnsi" w:cs="Arial"/>
                <w:b/>
                <w:bCs/>
                <w:szCs w:val="20"/>
              </w:rPr>
            </w:pPr>
            <w:r w:rsidRPr="007D62EA">
              <w:rPr>
                <w:rFonts w:asciiTheme="minorHAnsi" w:hAnsiTheme="minorHAnsi" w:cs="Arial"/>
                <w:b/>
                <w:bCs/>
                <w:szCs w:val="20"/>
              </w:rPr>
              <w:t xml:space="preserve">Original Question </w:t>
            </w:r>
            <w:r w:rsidR="004B31F9" w:rsidRPr="007D62EA">
              <w:rPr>
                <w:rFonts w:asciiTheme="minorHAnsi" w:hAnsiTheme="minorHAnsi" w:cs="Arial"/>
                <w:b/>
                <w:bCs/>
                <w:szCs w:val="20"/>
              </w:rPr>
              <w:t>SGN</w:t>
            </w:r>
            <w:r w:rsidRPr="007D62EA">
              <w:rPr>
                <w:rFonts w:asciiTheme="minorHAnsi" w:hAnsiTheme="minorHAnsi" w:cs="Arial"/>
                <w:b/>
                <w:bCs/>
                <w:szCs w:val="20"/>
              </w:rPr>
              <w:t>_</w:t>
            </w:r>
            <w:r w:rsidR="004B31F9" w:rsidRPr="007D62EA">
              <w:rPr>
                <w:rFonts w:asciiTheme="minorHAnsi" w:hAnsiTheme="minorHAnsi" w:cs="Arial"/>
                <w:b/>
                <w:bCs/>
                <w:szCs w:val="20"/>
              </w:rPr>
              <w:t>FD</w:t>
            </w:r>
            <w:r w:rsidRPr="007D62EA">
              <w:rPr>
                <w:rFonts w:asciiTheme="minorHAnsi" w:hAnsiTheme="minorHAnsi" w:cs="Arial"/>
                <w:b/>
                <w:bCs/>
                <w:szCs w:val="20"/>
              </w:rPr>
              <w:t>Q_0</w:t>
            </w:r>
            <w:r w:rsidR="004B31F9" w:rsidRPr="007D62EA">
              <w:rPr>
                <w:rFonts w:asciiTheme="minorHAnsi" w:hAnsiTheme="minorHAnsi" w:cs="Arial"/>
                <w:b/>
                <w:bCs/>
                <w:szCs w:val="20"/>
              </w:rPr>
              <w:t>18</w:t>
            </w:r>
          </w:p>
        </w:tc>
        <w:tc>
          <w:tcPr>
            <w:tcW w:w="8363" w:type="dxa"/>
            <w:gridSpan w:val="2"/>
            <w:shd w:val="clear" w:color="auto" w:fill="auto"/>
            <w:vAlign w:val="center"/>
          </w:tcPr>
          <w:p w14:paraId="22C740B0" w14:textId="77777777" w:rsidR="004B31F9" w:rsidRPr="007D62EA" w:rsidRDefault="004B31F9" w:rsidP="004B31F9">
            <w:pPr>
              <w:pStyle w:val="xmsonormal"/>
              <w:rPr>
                <w:rFonts w:asciiTheme="minorHAnsi" w:hAnsiTheme="minorHAnsi"/>
                <w:color w:val="000000"/>
                <w:sz w:val="20"/>
                <w:szCs w:val="20"/>
              </w:rPr>
            </w:pPr>
          </w:p>
          <w:p w14:paraId="510957D5" w14:textId="77777777" w:rsidR="004B31F9" w:rsidRPr="007D62EA" w:rsidRDefault="004B31F9" w:rsidP="004B31F9">
            <w:pPr>
              <w:pStyle w:val="xmsonormal"/>
              <w:spacing w:after="120"/>
              <w:rPr>
                <w:rFonts w:asciiTheme="minorHAnsi" w:hAnsiTheme="minorHAnsi"/>
                <w:color w:val="000000"/>
                <w:sz w:val="20"/>
                <w:szCs w:val="20"/>
              </w:rPr>
            </w:pPr>
            <w:r w:rsidRPr="007D62EA">
              <w:rPr>
                <w:rFonts w:asciiTheme="minorHAnsi" w:hAnsiTheme="minorHAnsi"/>
                <w:color w:val="000000"/>
                <w:sz w:val="20"/>
                <w:szCs w:val="20"/>
              </w:rPr>
              <w:t xml:space="preserve">In GD1 there was a consistent allowance rate across GDNs for all networks to support the development of Fuel Poor Network Extension. The table below shows a wide variation in allowances and this change of policy was not discussed and has produced inconsistent allowances. </w:t>
            </w:r>
          </w:p>
          <w:p w14:paraId="6E7B738C" w14:textId="77777777" w:rsidR="004B31F9" w:rsidRPr="007D62EA" w:rsidRDefault="004B31F9" w:rsidP="004B31F9">
            <w:pPr>
              <w:pStyle w:val="xmsonormal"/>
              <w:spacing w:after="120"/>
              <w:rPr>
                <w:rFonts w:asciiTheme="minorHAnsi" w:hAnsiTheme="minorHAnsi"/>
                <w:color w:val="000000"/>
                <w:sz w:val="20"/>
                <w:szCs w:val="20"/>
              </w:rPr>
            </w:pPr>
            <w:r w:rsidRPr="007D62EA">
              <w:rPr>
                <w:rFonts w:asciiTheme="minorHAnsi" w:hAnsiTheme="minorHAnsi"/>
                <w:color w:val="000000"/>
                <w:sz w:val="20"/>
                <w:szCs w:val="20"/>
              </w:rPr>
              <w:t xml:space="preserve">This is clearly set out in the table below where network companies that have taken on the highest level of ambition also have the lowest unit costs for delivery. This is illogical as a more challenging target will incur higher costs associated with securing more challenging sites in order to deliver that target.  </w:t>
            </w:r>
          </w:p>
          <w:p w14:paraId="110CB4A7" w14:textId="77777777" w:rsidR="004B31F9" w:rsidRPr="007D62EA" w:rsidRDefault="004B31F9" w:rsidP="004B31F9">
            <w:pPr>
              <w:pStyle w:val="xmsonormal"/>
              <w:spacing w:after="120"/>
              <w:rPr>
                <w:rFonts w:asciiTheme="minorHAnsi" w:hAnsiTheme="minorHAnsi"/>
                <w:color w:val="000000"/>
                <w:sz w:val="20"/>
                <w:szCs w:val="20"/>
              </w:rPr>
            </w:pPr>
            <w:r w:rsidRPr="007D62EA">
              <w:rPr>
                <w:rFonts w:asciiTheme="minorHAnsi" w:hAnsiTheme="minorHAnsi"/>
                <w:color w:val="000000"/>
                <w:sz w:val="20"/>
                <w:szCs w:val="20"/>
              </w:rPr>
              <w:t xml:space="preserve">Secondly network companies that have been most inefficient in delivering their FPNES connections in GD1 have been rewarded for this inefficiency with both higher unit costs and lower overall reductions. </w:t>
            </w:r>
          </w:p>
          <w:p w14:paraId="2F7B28A3" w14:textId="77777777" w:rsidR="004B31F9" w:rsidRPr="007D62EA" w:rsidRDefault="004B31F9" w:rsidP="004B31F9">
            <w:pPr>
              <w:pStyle w:val="xmsonormal"/>
              <w:spacing w:after="120"/>
              <w:rPr>
                <w:rFonts w:asciiTheme="minorHAnsi" w:hAnsiTheme="minorHAnsi"/>
                <w:color w:val="000000"/>
                <w:sz w:val="20"/>
                <w:szCs w:val="20"/>
              </w:rPr>
            </w:pPr>
            <w:r w:rsidRPr="007D62EA">
              <w:rPr>
                <w:rFonts w:asciiTheme="minorHAnsi" w:hAnsiTheme="minorHAnsi"/>
                <w:color w:val="000000"/>
                <w:sz w:val="20"/>
                <w:szCs w:val="20"/>
              </w:rPr>
              <w:lastRenderedPageBreak/>
              <w:t>On the basis that this must be an error, can Ofgem either correct this so that all networks have an equivalent allowance consistent with the policy approach seen in GD1 and ensure any differences are clearly attributable to regional factors?</w:t>
            </w:r>
          </w:p>
          <w:p w14:paraId="22D2B102" w14:textId="77777777" w:rsidR="004B31F9" w:rsidRPr="007D62EA" w:rsidRDefault="004B31F9" w:rsidP="004B31F9">
            <w:pPr>
              <w:pStyle w:val="xmsonormal"/>
              <w:spacing w:after="120"/>
              <w:rPr>
                <w:rFonts w:asciiTheme="minorHAnsi" w:hAnsiTheme="minorHAnsi"/>
                <w:color w:val="000000"/>
                <w:sz w:val="20"/>
                <w:szCs w:val="20"/>
              </w:rPr>
            </w:pPr>
            <w:r w:rsidRPr="007D62EA">
              <w:rPr>
                <w:rFonts w:asciiTheme="minorHAnsi" w:hAnsiTheme="minorHAnsi"/>
                <w:color w:val="000000"/>
                <w:sz w:val="20"/>
                <w:szCs w:val="20"/>
              </w:rPr>
              <w:t>If not, then can Ofgem set out why they do not consider this to be an error and the basis on which they have made their assessment and changed policy?</w:t>
            </w:r>
          </w:p>
          <w:p w14:paraId="07DD719F" w14:textId="77777777" w:rsidR="004B31F9" w:rsidRPr="007D62EA" w:rsidRDefault="004B31F9" w:rsidP="004B31F9">
            <w:pPr>
              <w:pStyle w:val="xmsonormal"/>
              <w:spacing w:after="120"/>
              <w:rPr>
                <w:rFonts w:asciiTheme="minorHAnsi" w:hAnsiTheme="minorHAnsi"/>
                <w:color w:val="000000"/>
                <w:sz w:val="20"/>
                <w:szCs w:val="20"/>
              </w:rPr>
            </w:pPr>
          </w:p>
          <w:tbl>
            <w:tblPr>
              <w:tblW w:w="7134" w:type="dxa"/>
              <w:tblLayout w:type="fixed"/>
              <w:tblLook w:val="04A0" w:firstRow="1" w:lastRow="0" w:firstColumn="1" w:lastColumn="0" w:noHBand="0" w:noVBand="1"/>
            </w:tblPr>
            <w:tblGrid>
              <w:gridCol w:w="2031"/>
              <w:gridCol w:w="844"/>
              <w:gridCol w:w="843"/>
              <w:gridCol w:w="993"/>
              <w:gridCol w:w="822"/>
              <w:gridCol w:w="1034"/>
              <w:gridCol w:w="567"/>
            </w:tblGrid>
            <w:tr w:rsidR="004B31F9" w:rsidRPr="007D62EA" w14:paraId="7CCC7405" w14:textId="77777777" w:rsidTr="006D7788">
              <w:trPr>
                <w:trHeight w:val="885"/>
              </w:trPr>
              <w:tc>
                <w:tcPr>
                  <w:tcW w:w="2031" w:type="dxa"/>
                  <w:tcBorders>
                    <w:top w:val="single" w:sz="4" w:space="0" w:color="auto"/>
                    <w:left w:val="nil"/>
                    <w:bottom w:val="single" w:sz="4" w:space="0" w:color="auto"/>
                    <w:right w:val="nil"/>
                  </w:tcBorders>
                  <w:shd w:val="clear" w:color="000000" w:fill="1F4E78"/>
                  <w:noWrap/>
                  <w:vAlign w:val="center"/>
                  <w:hideMark/>
                </w:tcPr>
                <w:p w14:paraId="555C96B6" w14:textId="77777777" w:rsidR="004B31F9" w:rsidRPr="007D62EA" w:rsidRDefault="004B31F9" w:rsidP="004B31F9">
                  <w:pPr>
                    <w:spacing w:after="0" w:line="240" w:lineRule="auto"/>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 </w:t>
                  </w:r>
                </w:p>
              </w:tc>
              <w:tc>
                <w:tcPr>
                  <w:tcW w:w="844" w:type="dxa"/>
                  <w:tcBorders>
                    <w:top w:val="single" w:sz="4" w:space="0" w:color="auto"/>
                    <w:left w:val="nil"/>
                    <w:bottom w:val="single" w:sz="4" w:space="0" w:color="auto"/>
                    <w:right w:val="nil"/>
                  </w:tcBorders>
                  <w:shd w:val="clear" w:color="000000" w:fill="1F4E78"/>
                  <w:vAlign w:val="center"/>
                  <w:hideMark/>
                </w:tcPr>
                <w:p w14:paraId="5C0E9590"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GD1 Average BPDT</w:t>
                  </w:r>
                </w:p>
              </w:tc>
              <w:tc>
                <w:tcPr>
                  <w:tcW w:w="843" w:type="dxa"/>
                  <w:tcBorders>
                    <w:top w:val="single" w:sz="4" w:space="0" w:color="auto"/>
                    <w:left w:val="nil"/>
                    <w:bottom w:val="single" w:sz="4" w:space="0" w:color="auto"/>
                    <w:right w:val="nil"/>
                  </w:tcBorders>
                  <w:shd w:val="clear" w:color="000000" w:fill="1F4E78"/>
                  <w:vAlign w:val="center"/>
                  <w:hideMark/>
                </w:tcPr>
                <w:p w14:paraId="368CA029"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GD2 Average BPDT</w:t>
                  </w:r>
                </w:p>
              </w:tc>
              <w:tc>
                <w:tcPr>
                  <w:tcW w:w="993" w:type="dxa"/>
                  <w:tcBorders>
                    <w:top w:val="single" w:sz="4" w:space="0" w:color="auto"/>
                    <w:left w:val="nil"/>
                    <w:bottom w:val="single" w:sz="4" w:space="0" w:color="auto"/>
                    <w:right w:val="nil"/>
                  </w:tcBorders>
                  <w:shd w:val="clear" w:color="000000" w:fill="1F4E78"/>
                  <w:vAlign w:val="center"/>
                  <w:hideMark/>
                </w:tcPr>
                <w:p w14:paraId="4BE91F7C"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FPNES Volume Driver Unit Cost</w:t>
                  </w:r>
                </w:p>
              </w:tc>
              <w:tc>
                <w:tcPr>
                  <w:tcW w:w="822" w:type="dxa"/>
                  <w:tcBorders>
                    <w:top w:val="single" w:sz="4" w:space="0" w:color="auto"/>
                    <w:left w:val="nil"/>
                    <w:bottom w:val="single" w:sz="4" w:space="0" w:color="auto"/>
                    <w:right w:val="nil"/>
                  </w:tcBorders>
                  <w:shd w:val="clear" w:color="000000" w:fill="1F4E78"/>
                  <w:vAlign w:val="center"/>
                  <w:hideMark/>
                </w:tcPr>
                <w:p w14:paraId="4969A2AD"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 changes BPDT to FD</w:t>
                  </w:r>
                </w:p>
              </w:tc>
              <w:tc>
                <w:tcPr>
                  <w:tcW w:w="1034" w:type="dxa"/>
                  <w:tcBorders>
                    <w:top w:val="single" w:sz="4" w:space="0" w:color="auto"/>
                    <w:left w:val="nil"/>
                    <w:bottom w:val="single" w:sz="4" w:space="0" w:color="auto"/>
                    <w:right w:val="nil"/>
                  </w:tcBorders>
                  <w:shd w:val="clear" w:color="000000" w:fill="1F4E78"/>
                  <w:vAlign w:val="center"/>
                  <w:hideMark/>
                </w:tcPr>
                <w:p w14:paraId="74929D63"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 difference to most efficient  unit  cost</w:t>
                  </w:r>
                </w:p>
              </w:tc>
              <w:tc>
                <w:tcPr>
                  <w:tcW w:w="567" w:type="dxa"/>
                  <w:tcBorders>
                    <w:top w:val="single" w:sz="4" w:space="0" w:color="auto"/>
                    <w:left w:val="nil"/>
                    <w:bottom w:val="single" w:sz="4" w:space="0" w:color="auto"/>
                    <w:right w:val="nil"/>
                  </w:tcBorders>
                  <w:shd w:val="clear" w:color="000000" w:fill="1F4E78"/>
                  <w:vAlign w:val="center"/>
                  <w:hideMark/>
                </w:tcPr>
                <w:p w14:paraId="37ACD74D" w14:textId="77777777" w:rsidR="004B31F9" w:rsidRPr="007D62EA" w:rsidRDefault="004B31F9" w:rsidP="004B31F9">
                  <w:pPr>
                    <w:spacing w:after="0" w:line="240" w:lineRule="auto"/>
                    <w:jc w:val="center"/>
                    <w:rPr>
                      <w:rFonts w:asciiTheme="minorHAnsi" w:eastAsia="Times New Roman" w:hAnsiTheme="minorHAnsi" w:cs="Calibri"/>
                      <w:b/>
                      <w:bCs/>
                      <w:color w:val="FFFFFF"/>
                      <w:szCs w:val="20"/>
                      <w:lang w:eastAsia="en-GB"/>
                    </w:rPr>
                  </w:pPr>
                  <w:r w:rsidRPr="007D62EA">
                    <w:rPr>
                      <w:rFonts w:asciiTheme="minorHAnsi" w:eastAsia="Times New Roman" w:hAnsiTheme="minorHAnsi" w:cs="Calibri"/>
                      <w:b/>
                      <w:bCs/>
                      <w:color w:val="FFFFFF"/>
                      <w:szCs w:val="20"/>
                      <w:lang w:eastAsia="en-GB"/>
                    </w:rPr>
                    <w:t>GD2 Target Workload</w:t>
                  </w:r>
                </w:p>
              </w:tc>
            </w:tr>
            <w:tr w:rsidR="004B31F9" w:rsidRPr="007D62EA" w14:paraId="0E6C419A" w14:textId="77777777" w:rsidTr="006D7788">
              <w:trPr>
                <w:trHeight w:val="315"/>
              </w:trPr>
              <w:tc>
                <w:tcPr>
                  <w:tcW w:w="2031" w:type="dxa"/>
                  <w:tcBorders>
                    <w:top w:val="nil"/>
                    <w:left w:val="nil"/>
                    <w:bottom w:val="nil"/>
                    <w:right w:val="nil"/>
                  </w:tcBorders>
                  <w:shd w:val="clear" w:color="auto" w:fill="auto"/>
                  <w:noWrap/>
                  <w:vAlign w:val="center"/>
                  <w:hideMark/>
                </w:tcPr>
                <w:p w14:paraId="4A8BD5DB"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SGN - Scotland</w:t>
                  </w:r>
                </w:p>
              </w:tc>
              <w:tc>
                <w:tcPr>
                  <w:tcW w:w="844" w:type="dxa"/>
                  <w:tcBorders>
                    <w:top w:val="nil"/>
                    <w:left w:val="nil"/>
                    <w:bottom w:val="nil"/>
                    <w:right w:val="nil"/>
                  </w:tcBorders>
                  <w:shd w:val="clear" w:color="auto" w:fill="auto"/>
                  <w:vAlign w:val="center"/>
                  <w:hideMark/>
                </w:tcPr>
                <w:p w14:paraId="71981E14"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£1,403</w:t>
                  </w:r>
                </w:p>
              </w:tc>
              <w:tc>
                <w:tcPr>
                  <w:tcW w:w="843" w:type="dxa"/>
                  <w:tcBorders>
                    <w:top w:val="nil"/>
                    <w:left w:val="nil"/>
                    <w:bottom w:val="nil"/>
                    <w:right w:val="nil"/>
                  </w:tcBorders>
                  <w:shd w:val="clear" w:color="auto" w:fill="auto"/>
                  <w:vAlign w:val="center"/>
                  <w:hideMark/>
                </w:tcPr>
                <w:p w14:paraId="73C6D834"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£1,768</w:t>
                  </w:r>
                </w:p>
              </w:tc>
              <w:tc>
                <w:tcPr>
                  <w:tcW w:w="993" w:type="dxa"/>
                  <w:tcBorders>
                    <w:top w:val="nil"/>
                    <w:left w:val="nil"/>
                    <w:bottom w:val="nil"/>
                    <w:right w:val="nil"/>
                  </w:tcBorders>
                  <w:shd w:val="clear" w:color="auto" w:fill="auto"/>
                  <w:noWrap/>
                  <w:vAlign w:val="center"/>
                  <w:hideMark/>
                </w:tcPr>
                <w:p w14:paraId="2E61354F"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£1,440</w:t>
                  </w:r>
                </w:p>
              </w:tc>
              <w:tc>
                <w:tcPr>
                  <w:tcW w:w="822" w:type="dxa"/>
                  <w:tcBorders>
                    <w:top w:val="nil"/>
                    <w:left w:val="nil"/>
                    <w:bottom w:val="nil"/>
                    <w:right w:val="nil"/>
                  </w:tcBorders>
                  <w:shd w:val="clear" w:color="auto" w:fill="auto"/>
                  <w:noWrap/>
                  <w:vAlign w:val="center"/>
                  <w:hideMark/>
                </w:tcPr>
                <w:p w14:paraId="6246D942"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-19%</w:t>
                  </w:r>
                </w:p>
              </w:tc>
              <w:tc>
                <w:tcPr>
                  <w:tcW w:w="1034" w:type="dxa"/>
                  <w:tcBorders>
                    <w:top w:val="nil"/>
                    <w:left w:val="nil"/>
                    <w:bottom w:val="nil"/>
                    <w:right w:val="nil"/>
                  </w:tcBorders>
                  <w:shd w:val="clear" w:color="auto" w:fill="auto"/>
                  <w:noWrap/>
                  <w:vAlign w:val="center"/>
                  <w:hideMark/>
                </w:tcPr>
                <w:p w14:paraId="5309B6B5"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0%</w:t>
                  </w:r>
                </w:p>
              </w:tc>
              <w:tc>
                <w:tcPr>
                  <w:tcW w:w="567" w:type="dxa"/>
                  <w:tcBorders>
                    <w:top w:val="nil"/>
                    <w:left w:val="nil"/>
                    <w:bottom w:val="nil"/>
                    <w:right w:val="nil"/>
                  </w:tcBorders>
                  <w:shd w:val="clear" w:color="auto" w:fill="auto"/>
                  <w:vAlign w:val="center"/>
                  <w:hideMark/>
                </w:tcPr>
                <w:p w14:paraId="36B30FA7"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13,000</w:t>
                  </w:r>
                </w:p>
              </w:tc>
            </w:tr>
            <w:tr w:rsidR="004B31F9" w:rsidRPr="007D62EA" w14:paraId="6E1E2F3D" w14:textId="77777777" w:rsidTr="006D7788">
              <w:trPr>
                <w:trHeight w:val="315"/>
              </w:trPr>
              <w:tc>
                <w:tcPr>
                  <w:tcW w:w="2031" w:type="dxa"/>
                  <w:tcBorders>
                    <w:top w:val="nil"/>
                    <w:left w:val="nil"/>
                    <w:bottom w:val="single" w:sz="4" w:space="0" w:color="auto"/>
                    <w:right w:val="nil"/>
                  </w:tcBorders>
                  <w:shd w:val="clear" w:color="auto" w:fill="auto"/>
                  <w:noWrap/>
                  <w:vAlign w:val="center"/>
                  <w:hideMark/>
                </w:tcPr>
                <w:p w14:paraId="6A1D72CE"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SGN - Southern</w:t>
                  </w:r>
                </w:p>
              </w:tc>
              <w:tc>
                <w:tcPr>
                  <w:tcW w:w="844" w:type="dxa"/>
                  <w:tcBorders>
                    <w:top w:val="nil"/>
                    <w:left w:val="nil"/>
                    <w:bottom w:val="single" w:sz="4" w:space="0" w:color="auto"/>
                    <w:right w:val="nil"/>
                  </w:tcBorders>
                  <w:shd w:val="clear" w:color="auto" w:fill="auto"/>
                  <w:vAlign w:val="center"/>
                  <w:hideMark/>
                </w:tcPr>
                <w:p w14:paraId="06CA3C14"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£1,471</w:t>
                  </w:r>
                </w:p>
              </w:tc>
              <w:tc>
                <w:tcPr>
                  <w:tcW w:w="843" w:type="dxa"/>
                  <w:tcBorders>
                    <w:top w:val="nil"/>
                    <w:left w:val="nil"/>
                    <w:bottom w:val="single" w:sz="4" w:space="0" w:color="auto"/>
                    <w:right w:val="nil"/>
                  </w:tcBorders>
                  <w:shd w:val="clear" w:color="auto" w:fill="auto"/>
                  <w:vAlign w:val="center"/>
                  <w:hideMark/>
                </w:tcPr>
                <w:p w14:paraId="176F8CAE"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£2,168</w:t>
                  </w:r>
                </w:p>
              </w:tc>
              <w:tc>
                <w:tcPr>
                  <w:tcW w:w="993" w:type="dxa"/>
                  <w:tcBorders>
                    <w:top w:val="nil"/>
                    <w:left w:val="nil"/>
                    <w:bottom w:val="single" w:sz="4" w:space="0" w:color="auto"/>
                    <w:right w:val="nil"/>
                  </w:tcBorders>
                  <w:shd w:val="clear" w:color="auto" w:fill="auto"/>
                  <w:noWrap/>
                  <w:vAlign w:val="center"/>
                  <w:hideMark/>
                </w:tcPr>
                <w:p w14:paraId="2D74B8A4"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£1,507</w:t>
                  </w:r>
                </w:p>
              </w:tc>
              <w:tc>
                <w:tcPr>
                  <w:tcW w:w="822" w:type="dxa"/>
                  <w:tcBorders>
                    <w:top w:val="nil"/>
                    <w:left w:val="nil"/>
                    <w:bottom w:val="single" w:sz="4" w:space="0" w:color="auto"/>
                    <w:right w:val="nil"/>
                  </w:tcBorders>
                  <w:shd w:val="clear" w:color="auto" w:fill="auto"/>
                  <w:noWrap/>
                  <w:vAlign w:val="center"/>
                  <w:hideMark/>
                </w:tcPr>
                <w:p w14:paraId="71DC45B7"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-30%</w:t>
                  </w:r>
                </w:p>
              </w:tc>
              <w:tc>
                <w:tcPr>
                  <w:tcW w:w="1034" w:type="dxa"/>
                  <w:tcBorders>
                    <w:top w:val="nil"/>
                    <w:left w:val="nil"/>
                    <w:bottom w:val="single" w:sz="4" w:space="0" w:color="auto"/>
                    <w:right w:val="nil"/>
                  </w:tcBorders>
                  <w:shd w:val="clear" w:color="auto" w:fill="auto"/>
                  <w:noWrap/>
                  <w:vAlign w:val="center"/>
                  <w:hideMark/>
                </w:tcPr>
                <w:p w14:paraId="2A6B6B07"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5%</w:t>
                  </w:r>
                </w:p>
              </w:tc>
              <w:tc>
                <w:tcPr>
                  <w:tcW w:w="567" w:type="dxa"/>
                  <w:tcBorders>
                    <w:top w:val="nil"/>
                    <w:left w:val="nil"/>
                    <w:bottom w:val="single" w:sz="4" w:space="0" w:color="auto"/>
                    <w:right w:val="nil"/>
                  </w:tcBorders>
                  <w:shd w:val="clear" w:color="auto" w:fill="auto"/>
                  <w:vAlign w:val="center"/>
                  <w:hideMark/>
                </w:tcPr>
                <w:p w14:paraId="75F5B49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5,000</w:t>
                  </w:r>
                </w:p>
              </w:tc>
            </w:tr>
            <w:tr w:rsidR="004B31F9" w:rsidRPr="007D62EA" w14:paraId="3F35653D" w14:textId="77777777" w:rsidTr="006D7788">
              <w:trPr>
                <w:trHeight w:val="315"/>
              </w:trPr>
              <w:tc>
                <w:tcPr>
                  <w:tcW w:w="2031" w:type="dxa"/>
                  <w:tcBorders>
                    <w:top w:val="nil"/>
                    <w:left w:val="nil"/>
                    <w:bottom w:val="nil"/>
                    <w:right w:val="nil"/>
                  </w:tcBorders>
                  <w:shd w:val="clear" w:color="auto" w:fill="auto"/>
                  <w:noWrap/>
                  <w:vAlign w:val="center"/>
                  <w:hideMark/>
                </w:tcPr>
                <w:p w14:paraId="17073977"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NGN</w:t>
                  </w:r>
                </w:p>
              </w:tc>
              <w:tc>
                <w:tcPr>
                  <w:tcW w:w="844" w:type="dxa"/>
                  <w:tcBorders>
                    <w:top w:val="nil"/>
                    <w:left w:val="nil"/>
                    <w:bottom w:val="nil"/>
                    <w:right w:val="nil"/>
                  </w:tcBorders>
                  <w:shd w:val="clear" w:color="auto" w:fill="auto"/>
                  <w:vAlign w:val="center"/>
                  <w:hideMark/>
                </w:tcPr>
                <w:p w14:paraId="0B3438EA"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£1,963</w:t>
                  </w:r>
                </w:p>
              </w:tc>
              <w:tc>
                <w:tcPr>
                  <w:tcW w:w="843" w:type="dxa"/>
                  <w:tcBorders>
                    <w:top w:val="nil"/>
                    <w:left w:val="nil"/>
                    <w:bottom w:val="nil"/>
                    <w:right w:val="nil"/>
                  </w:tcBorders>
                  <w:shd w:val="clear" w:color="auto" w:fill="auto"/>
                  <w:vAlign w:val="center"/>
                  <w:hideMark/>
                </w:tcPr>
                <w:p w14:paraId="6D7822B3"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£2,526</w:t>
                  </w:r>
                </w:p>
              </w:tc>
              <w:tc>
                <w:tcPr>
                  <w:tcW w:w="993" w:type="dxa"/>
                  <w:tcBorders>
                    <w:top w:val="nil"/>
                    <w:left w:val="nil"/>
                    <w:bottom w:val="nil"/>
                    <w:right w:val="nil"/>
                  </w:tcBorders>
                  <w:shd w:val="clear" w:color="auto" w:fill="auto"/>
                  <w:noWrap/>
                  <w:vAlign w:val="center"/>
                  <w:hideMark/>
                </w:tcPr>
                <w:p w14:paraId="34D827FC"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£1,946</w:t>
                  </w:r>
                </w:p>
              </w:tc>
              <w:tc>
                <w:tcPr>
                  <w:tcW w:w="822" w:type="dxa"/>
                  <w:tcBorders>
                    <w:top w:val="nil"/>
                    <w:left w:val="nil"/>
                    <w:bottom w:val="nil"/>
                    <w:right w:val="nil"/>
                  </w:tcBorders>
                  <w:shd w:val="clear" w:color="auto" w:fill="auto"/>
                  <w:noWrap/>
                  <w:vAlign w:val="center"/>
                  <w:hideMark/>
                </w:tcPr>
                <w:p w14:paraId="6382CB3B"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-23%</w:t>
                  </w:r>
                </w:p>
              </w:tc>
              <w:tc>
                <w:tcPr>
                  <w:tcW w:w="1034" w:type="dxa"/>
                  <w:tcBorders>
                    <w:top w:val="nil"/>
                    <w:left w:val="nil"/>
                    <w:bottom w:val="nil"/>
                    <w:right w:val="nil"/>
                  </w:tcBorders>
                  <w:shd w:val="clear" w:color="000000" w:fill="FF0000"/>
                  <w:noWrap/>
                  <w:vAlign w:val="center"/>
                  <w:hideMark/>
                </w:tcPr>
                <w:p w14:paraId="2BBB8AB9"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35%</w:t>
                  </w:r>
                </w:p>
              </w:tc>
              <w:tc>
                <w:tcPr>
                  <w:tcW w:w="567" w:type="dxa"/>
                  <w:tcBorders>
                    <w:top w:val="nil"/>
                    <w:left w:val="nil"/>
                    <w:bottom w:val="nil"/>
                    <w:right w:val="nil"/>
                  </w:tcBorders>
                  <w:shd w:val="clear" w:color="auto" w:fill="auto"/>
                  <w:vAlign w:val="center"/>
                  <w:hideMark/>
                </w:tcPr>
                <w:p w14:paraId="54C5B173"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5,000</w:t>
                  </w:r>
                </w:p>
              </w:tc>
            </w:tr>
            <w:tr w:rsidR="004B31F9" w:rsidRPr="007D62EA" w14:paraId="000D2520" w14:textId="77777777" w:rsidTr="006D7788">
              <w:trPr>
                <w:trHeight w:val="315"/>
              </w:trPr>
              <w:tc>
                <w:tcPr>
                  <w:tcW w:w="2031" w:type="dxa"/>
                  <w:tcBorders>
                    <w:top w:val="nil"/>
                    <w:left w:val="nil"/>
                    <w:bottom w:val="single" w:sz="4" w:space="0" w:color="auto"/>
                    <w:right w:val="nil"/>
                  </w:tcBorders>
                  <w:shd w:val="clear" w:color="auto" w:fill="auto"/>
                  <w:noWrap/>
                  <w:vAlign w:val="center"/>
                  <w:hideMark/>
                </w:tcPr>
                <w:p w14:paraId="7E79B48A"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WWU</w:t>
                  </w:r>
                </w:p>
              </w:tc>
              <w:tc>
                <w:tcPr>
                  <w:tcW w:w="844" w:type="dxa"/>
                  <w:tcBorders>
                    <w:top w:val="nil"/>
                    <w:left w:val="nil"/>
                    <w:bottom w:val="single" w:sz="4" w:space="0" w:color="auto"/>
                    <w:right w:val="nil"/>
                  </w:tcBorders>
                  <w:shd w:val="clear" w:color="auto" w:fill="auto"/>
                  <w:vAlign w:val="center"/>
                  <w:hideMark/>
                </w:tcPr>
                <w:p w14:paraId="1E101B1B"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£2,397</w:t>
                  </w:r>
                </w:p>
              </w:tc>
              <w:tc>
                <w:tcPr>
                  <w:tcW w:w="843" w:type="dxa"/>
                  <w:tcBorders>
                    <w:top w:val="nil"/>
                    <w:left w:val="nil"/>
                    <w:bottom w:val="single" w:sz="4" w:space="0" w:color="auto"/>
                    <w:right w:val="nil"/>
                  </w:tcBorders>
                  <w:shd w:val="clear" w:color="auto" w:fill="auto"/>
                  <w:vAlign w:val="center"/>
                  <w:hideMark/>
                </w:tcPr>
                <w:p w14:paraId="6AEC8FC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£3,561</w:t>
                  </w:r>
                </w:p>
              </w:tc>
              <w:tc>
                <w:tcPr>
                  <w:tcW w:w="993" w:type="dxa"/>
                  <w:tcBorders>
                    <w:top w:val="nil"/>
                    <w:left w:val="nil"/>
                    <w:bottom w:val="single" w:sz="4" w:space="0" w:color="auto"/>
                    <w:right w:val="nil"/>
                  </w:tcBorders>
                  <w:shd w:val="clear" w:color="auto" w:fill="auto"/>
                  <w:noWrap/>
                  <w:vAlign w:val="center"/>
                  <w:hideMark/>
                </w:tcPr>
                <w:p w14:paraId="1054D59C"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£2,107</w:t>
                  </w:r>
                </w:p>
              </w:tc>
              <w:tc>
                <w:tcPr>
                  <w:tcW w:w="822" w:type="dxa"/>
                  <w:tcBorders>
                    <w:top w:val="nil"/>
                    <w:left w:val="nil"/>
                    <w:bottom w:val="single" w:sz="4" w:space="0" w:color="auto"/>
                    <w:right w:val="nil"/>
                  </w:tcBorders>
                  <w:shd w:val="clear" w:color="auto" w:fill="auto"/>
                  <w:noWrap/>
                  <w:vAlign w:val="center"/>
                  <w:hideMark/>
                </w:tcPr>
                <w:p w14:paraId="21936F2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-41%</w:t>
                  </w:r>
                </w:p>
              </w:tc>
              <w:tc>
                <w:tcPr>
                  <w:tcW w:w="1034" w:type="dxa"/>
                  <w:tcBorders>
                    <w:top w:val="nil"/>
                    <w:left w:val="nil"/>
                    <w:bottom w:val="single" w:sz="4" w:space="0" w:color="auto"/>
                    <w:right w:val="nil"/>
                  </w:tcBorders>
                  <w:shd w:val="clear" w:color="000000" w:fill="FF0000"/>
                  <w:noWrap/>
                  <w:vAlign w:val="center"/>
                  <w:hideMark/>
                </w:tcPr>
                <w:p w14:paraId="301C0ED3"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46%</w:t>
                  </w:r>
                </w:p>
              </w:tc>
              <w:tc>
                <w:tcPr>
                  <w:tcW w:w="567" w:type="dxa"/>
                  <w:tcBorders>
                    <w:top w:val="nil"/>
                    <w:left w:val="nil"/>
                    <w:bottom w:val="single" w:sz="4" w:space="0" w:color="auto"/>
                    <w:right w:val="nil"/>
                  </w:tcBorders>
                  <w:shd w:val="clear" w:color="auto" w:fill="auto"/>
                  <w:vAlign w:val="center"/>
                  <w:hideMark/>
                </w:tcPr>
                <w:p w14:paraId="3F717E75"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2,500</w:t>
                  </w:r>
                </w:p>
              </w:tc>
            </w:tr>
            <w:tr w:rsidR="004B31F9" w:rsidRPr="007D62EA" w14:paraId="33CA0686" w14:textId="77777777" w:rsidTr="006D7788">
              <w:trPr>
                <w:trHeight w:val="315"/>
              </w:trPr>
              <w:tc>
                <w:tcPr>
                  <w:tcW w:w="2031" w:type="dxa"/>
                  <w:tcBorders>
                    <w:top w:val="nil"/>
                    <w:left w:val="nil"/>
                    <w:bottom w:val="nil"/>
                    <w:right w:val="nil"/>
                  </w:tcBorders>
                  <w:shd w:val="clear" w:color="auto" w:fill="auto"/>
                  <w:noWrap/>
                  <w:vAlign w:val="center"/>
                  <w:hideMark/>
                </w:tcPr>
                <w:p w14:paraId="1355EF34"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Cadent - East of England</w:t>
                  </w:r>
                </w:p>
              </w:tc>
              <w:tc>
                <w:tcPr>
                  <w:tcW w:w="844" w:type="dxa"/>
                  <w:tcBorders>
                    <w:top w:val="nil"/>
                    <w:left w:val="nil"/>
                    <w:bottom w:val="nil"/>
                    <w:right w:val="nil"/>
                  </w:tcBorders>
                  <w:shd w:val="clear" w:color="auto" w:fill="auto"/>
                  <w:vAlign w:val="center"/>
                  <w:hideMark/>
                </w:tcPr>
                <w:p w14:paraId="62C668AB"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£2,181</w:t>
                  </w:r>
                </w:p>
              </w:tc>
              <w:tc>
                <w:tcPr>
                  <w:tcW w:w="843" w:type="dxa"/>
                  <w:tcBorders>
                    <w:top w:val="nil"/>
                    <w:left w:val="nil"/>
                    <w:bottom w:val="nil"/>
                    <w:right w:val="nil"/>
                  </w:tcBorders>
                  <w:shd w:val="clear" w:color="auto" w:fill="auto"/>
                  <w:vAlign w:val="center"/>
                  <w:hideMark/>
                </w:tcPr>
                <w:p w14:paraId="70AA5A41"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£2,634</w:t>
                  </w:r>
                </w:p>
              </w:tc>
              <w:tc>
                <w:tcPr>
                  <w:tcW w:w="993" w:type="dxa"/>
                  <w:tcBorders>
                    <w:top w:val="nil"/>
                    <w:left w:val="nil"/>
                    <w:bottom w:val="nil"/>
                    <w:right w:val="nil"/>
                  </w:tcBorders>
                  <w:shd w:val="clear" w:color="auto" w:fill="auto"/>
                  <w:noWrap/>
                  <w:vAlign w:val="center"/>
                  <w:hideMark/>
                </w:tcPr>
                <w:p w14:paraId="52555A16"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£2,046</w:t>
                  </w:r>
                </w:p>
              </w:tc>
              <w:tc>
                <w:tcPr>
                  <w:tcW w:w="822" w:type="dxa"/>
                  <w:tcBorders>
                    <w:top w:val="nil"/>
                    <w:left w:val="nil"/>
                    <w:bottom w:val="nil"/>
                    <w:right w:val="nil"/>
                  </w:tcBorders>
                  <w:shd w:val="clear" w:color="auto" w:fill="auto"/>
                  <w:noWrap/>
                  <w:vAlign w:val="center"/>
                  <w:hideMark/>
                </w:tcPr>
                <w:p w14:paraId="2F6DDC2E"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-22%</w:t>
                  </w:r>
                </w:p>
              </w:tc>
              <w:tc>
                <w:tcPr>
                  <w:tcW w:w="1034" w:type="dxa"/>
                  <w:tcBorders>
                    <w:top w:val="nil"/>
                    <w:left w:val="nil"/>
                    <w:bottom w:val="nil"/>
                    <w:right w:val="nil"/>
                  </w:tcBorders>
                  <w:shd w:val="clear" w:color="000000" w:fill="FF0000"/>
                  <w:noWrap/>
                  <w:vAlign w:val="center"/>
                  <w:hideMark/>
                </w:tcPr>
                <w:p w14:paraId="24A4908D"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42%</w:t>
                  </w:r>
                </w:p>
              </w:tc>
              <w:tc>
                <w:tcPr>
                  <w:tcW w:w="567" w:type="dxa"/>
                  <w:tcBorders>
                    <w:top w:val="nil"/>
                    <w:left w:val="nil"/>
                    <w:bottom w:val="nil"/>
                    <w:right w:val="nil"/>
                  </w:tcBorders>
                  <w:shd w:val="clear" w:color="auto" w:fill="auto"/>
                  <w:vAlign w:val="center"/>
                  <w:hideMark/>
                </w:tcPr>
                <w:p w14:paraId="584A41C5"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2,050</w:t>
                  </w:r>
                </w:p>
              </w:tc>
            </w:tr>
            <w:tr w:rsidR="004B31F9" w:rsidRPr="007D62EA" w14:paraId="1E2F708A" w14:textId="77777777" w:rsidTr="006D7788">
              <w:trPr>
                <w:trHeight w:val="315"/>
              </w:trPr>
              <w:tc>
                <w:tcPr>
                  <w:tcW w:w="2031" w:type="dxa"/>
                  <w:tcBorders>
                    <w:top w:val="nil"/>
                    <w:left w:val="nil"/>
                    <w:bottom w:val="nil"/>
                    <w:right w:val="nil"/>
                  </w:tcBorders>
                  <w:shd w:val="clear" w:color="auto" w:fill="auto"/>
                  <w:noWrap/>
                  <w:vAlign w:val="center"/>
                  <w:hideMark/>
                </w:tcPr>
                <w:p w14:paraId="686901FE"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Cadent - London</w:t>
                  </w:r>
                </w:p>
              </w:tc>
              <w:tc>
                <w:tcPr>
                  <w:tcW w:w="844" w:type="dxa"/>
                  <w:tcBorders>
                    <w:top w:val="nil"/>
                    <w:left w:val="nil"/>
                    <w:bottom w:val="nil"/>
                    <w:right w:val="nil"/>
                  </w:tcBorders>
                  <w:shd w:val="clear" w:color="auto" w:fill="auto"/>
                  <w:vAlign w:val="center"/>
                  <w:hideMark/>
                </w:tcPr>
                <w:p w14:paraId="1F7E59C6"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£2,490</w:t>
                  </w:r>
                </w:p>
              </w:tc>
              <w:tc>
                <w:tcPr>
                  <w:tcW w:w="843" w:type="dxa"/>
                  <w:tcBorders>
                    <w:top w:val="nil"/>
                    <w:left w:val="nil"/>
                    <w:bottom w:val="nil"/>
                    <w:right w:val="nil"/>
                  </w:tcBorders>
                  <w:shd w:val="clear" w:color="auto" w:fill="auto"/>
                  <w:vAlign w:val="center"/>
                  <w:hideMark/>
                </w:tcPr>
                <w:p w14:paraId="4D46B501"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£2,634</w:t>
                  </w:r>
                </w:p>
              </w:tc>
              <w:tc>
                <w:tcPr>
                  <w:tcW w:w="993" w:type="dxa"/>
                  <w:tcBorders>
                    <w:top w:val="nil"/>
                    <w:left w:val="nil"/>
                    <w:bottom w:val="nil"/>
                    <w:right w:val="nil"/>
                  </w:tcBorders>
                  <w:shd w:val="clear" w:color="auto" w:fill="auto"/>
                  <w:noWrap/>
                  <w:vAlign w:val="center"/>
                  <w:hideMark/>
                </w:tcPr>
                <w:p w14:paraId="2C9ACA6C"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£2,037</w:t>
                  </w:r>
                </w:p>
              </w:tc>
              <w:tc>
                <w:tcPr>
                  <w:tcW w:w="822" w:type="dxa"/>
                  <w:tcBorders>
                    <w:top w:val="nil"/>
                    <w:left w:val="nil"/>
                    <w:bottom w:val="nil"/>
                    <w:right w:val="nil"/>
                  </w:tcBorders>
                  <w:shd w:val="clear" w:color="auto" w:fill="auto"/>
                  <w:noWrap/>
                  <w:vAlign w:val="center"/>
                  <w:hideMark/>
                </w:tcPr>
                <w:p w14:paraId="495449A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-23%</w:t>
                  </w:r>
                </w:p>
              </w:tc>
              <w:tc>
                <w:tcPr>
                  <w:tcW w:w="1034" w:type="dxa"/>
                  <w:tcBorders>
                    <w:top w:val="nil"/>
                    <w:left w:val="nil"/>
                    <w:bottom w:val="nil"/>
                    <w:right w:val="nil"/>
                  </w:tcBorders>
                  <w:shd w:val="clear" w:color="000000" w:fill="FF0000"/>
                  <w:noWrap/>
                  <w:vAlign w:val="center"/>
                  <w:hideMark/>
                </w:tcPr>
                <w:p w14:paraId="419A8341"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41%</w:t>
                  </w:r>
                </w:p>
              </w:tc>
              <w:tc>
                <w:tcPr>
                  <w:tcW w:w="567" w:type="dxa"/>
                  <w:tcBorders>
                    <w:top w:val="nil"/>
                    <w:left w:val="nil"/>
                    <w:bottom w:val="nil"/>
                    <w:right w:val="nil"/>
                  </w:tcBorders>
                  <w:shd w:val="clear" w:color="auto" w:fill="auto"/>
                  <w:vAlign w:val="center"/>
                  <w:hideMark/>
                </w:tcPr>
                <w:p w14:paraId="5FAA2A8E"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500</w:t>
                  </w:r>
                </w:p>
              </w:tc>
            </w:tr>
            <w:tr w:rsidR="004B31F9" w:rsidRPr="007D62EA" w14:paraId="51225A98" w14:textId="77777777" w:rsidTr="006D7788">
              <w:trPr>
                <w:trHeight w:val="315"/>
              </w:trPr>
              <w:tc>
                <w:tcPr>
                  <w:tcW w:w="2031" w:type="dxa"/>
                  <w:tcBorders>
                    <w:top w:val="nil"/>
                    <w:left w:val="nil"/>
                    <w:bottom w:val="nil"/>
                    <w:right w:val="nil"/>
                  </w:tcBorders>
                  <w:shd w:val="clear" w:color="auto" w:fill="auto"/>
                  <w:noWrap/>
                  <w:vAlign w:val="center"/>
                  <w:hideMark/>
                </w:tcPr>
                <w:p w14:paraId="1CFD27A4"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Cadent - North West</w:t>
                  </w:r>
                </w:p>
              </w:tc>
              <w:tc>
                <w:tcPr>
                  <w:tcW w:w="844" w:type="dxa"/>
                  <w:tcBorders>
                    <w:top w:val="nil"/>
                    <w:left w:val="nil"/>
                    <w:bottom w:val="nil"/>
                    <w:right w:val="nil"/>
                  </w:tcBorders>
                  <w:shd w:val="clear" w:color="auto" w:fill="auto"/>
                  <w:vAlign w:val="center"/>
                  <w:hideMark/>
                </w:tcPr>
                <w:p w14:paraId="36E67953"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£2,165</w:t>
                  </w:r>
                </w:p>
              </w:tc>
              <w:tc>
                <w:tcPr>
                  <w:tcW w:w="843" w:type="dxa"/>
                  <w:tcBorders>
                    <w:top w:val="nil"/>
                    <w:left w:val="nil"/>
                    <w:bottom w:val="nil"/>
                    <w:right w:val="nil"/>
                  </w:tcBorders>
                  <w:shd w:val="clear" w:color="auto" w:fill="auto"/>
                  <w:vAlign w:val="center"/>
                  <w:hideMark/>
                </w:tcPr>
                <w:p w14:paraId="42C92837"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£2,299</w:t>
                  </w:r>
                </w:p>
              </w:tc>
              <w:tc>
                <w:tcPr>
                  <w:tcW w:w="993" w:type="dxa"/>
                  <w:tcBorders>
                    <w:top w:val="nil"/>
                    <w:left w:val="nil"/>
                    <w:bottom w:val="nil"/>
                    <w:right w:val="nil"/>
                  </w:tcBorders>
                  <w:shd w:val="clear" w:color="auto" w:fill="auto"/>
                  <w:noWrap/>
                  <w:vAlign w:val="center"/>
                  <w:hideMark/>
                </w:tcPr>
                <w:p w14:paraId="3A188F43"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£2,317</w:t>
                  </w:r>
                </w:p>
              </w:tc>
              <w:tc>
                <w:tcPr>
                  <w:tcW w:w="822" w:type="dxa"/>
                  <w:tcBorders>
                    <w:top w:val="nil"/>
                    <w:left w:val="nil"/>
                    <w:bottom w:val="nil"/>
                    <w:right w:val="nil"/>
                  </w:tcBorders>
                  <w:shd w:val="clear" w:color="000000" w:fill="FF0000"/>
                  <w:noWrap/>
                  <w:vAlign w:val="center"/>
                  <w:hideMark/>
                </w:tcPr>
                <w:p w14:paraId="5B3CC98A"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1%</w:t>
                  </w:r>
                </w:p>
              </w:tc>
              <w:tc>
                <w:tcPr>
                  <w:tcW w:w="1034" w:type="dxa"/>
                  <w:tcBorders>
                    <w:top w:val="nil"/>
                    <w:left w:val="nil"/>
                    <w:bottom w:val="nil"/>
                    <w:right w:val="nil"/>
                  </w:tcBorders>
                  <w:shd w:val="clear" w:color="000000" w:fill="FF0000"/>
                  <w:noWrap/>
                  <w:vAlign w:val="center"/>
                  <w:hideMark/>
                </w:tcPr>
                <w:p w14:paraId="460CA8EC"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61%</w:t>
                  </w:r>
                </w:p>
              </w:tc>
              <w:tc>
                <w:tcPr>
                  <w:tcW w:w="567" w:type="dxa"/>
                  <w:tcBorders>
                    <w:top w:val="nil"/>
                    <w:left w:val="nil"/>
                    <w:bottom w:val="nil"/>
                    <w:right w:val="nil"/>
                  </w:tcBorders>
                  <w:shd w:val="clear" w:color="auto" w:fill="auto"/>
                  <w:vAlign w:val="center"/>
                  <w:hideMark/>
                </w:tcPr>
                <w:p w14:paraId="6EB92DE3"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2,250</w:t>
                  </w:r>
                </w:p>
              </w:tc>
            </w:tr>
            <w:tr w:rsidR="004B31F9" w:rsidRPr="007D62EA" w14:paraId="6F025878" w14:textId="77777777" w:rsidTr="006D7788">
              <w:trPr>
                <w:trHeight w:val="315"/>
              </w:trPr>
              <w:tc>
                <w:tcPr>
                  <w:tcW w:w="2031" w:type="dxa"/>
                  <w:tcBorders>
                    <w:top w:val="nil"/>
                    <w:left w:val="nil"/>
                    <w:bottom w:val="single" w:sz="4" w:space="0" w:color="auto"/>
                    <w:right w:val="nil"/>
                  </w:tcBorders>
                  <w:shd w:val="clear" w:color="auto" w:fill="auto"/>
                  <w:noWrap/>
                  <w:vAlign w:val="center"/>
                  <w:hideMark/>
                </w:tcPr>
                <w:p w14:paraId="2DFA603F" w14:textId="77777777" w:rsidR="004B31F9" w:rsidRPr="007D62EA" w:rsidRDefault="004B31F9" w:rsidP="004B31F9">
                  <w:pPr>
                    <w:spacing w:after="0" w:line="240" w:lineRule="auto"/>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Cadent - West Midlands</w:t>
                  </w:r>
                </w:p>
              </w:tc>
              <w:tc>
                <w:tcPr>
                  <w:tcW w:w="844" w:type="dxa"/>
                  <w:tcBorders>
                    <w:top w:val="nil"/>
                    <w:left w:val="nil"/>
                    <w:bottom w:val="single" w:sz="4" w:space="0" w:color="auto"/>
                    <w:right w:val="nil"/>
                  </w:tcBorders>
                  <w:shd w:val="clear" w:color="auto" w:fill="auto"/>
                  <w:vAlign w:val="center"/>
                  <w:hideMark/>
                </w:tcPr>
                <w:p w14:paraId="794B215B"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£2,598</w:t>
                  </w:r>
                </w:p>
              </w:tc>
              <w:tc>
                <w:tcPr>
                  <w:tcW w:w="843" w:type="dxa"/>
                  <w:tcBorders>
                    <w:top w:val="nil"/>
                    <w:left w:val="nil"/>
                    <w:bottom w:val="single" w:sz="4" w:space="0" w:color="auto"/>
                    <w:right w:val="nil"/>
                  </w:tcBorders>
                  <w:shd w:val="clear" w:color="auto" w:fill="auto"/>
                  <w:vAlign w:val="center"/>
                  <w:hideMark/>
                </w:tcPr>
                <w:p w14:paraId="524BA36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£2,634</w:t>
                  </w:r>
                </w:p>
              </w:tc>
              <w:tc>
                <w:tcPr>
                  <w:tcW w:w="993" w:type="dxa"/>
                  <w:tcBorders>
                    <w:top w:val="nil"/>
                    <w:left w:val="nil"/>
                    <w:bottom w:val="single" w:sz="4" w:space="0" w:color="auto"/>
                    <w:right w:val="nil"/>
                  </w:tcBorders>
                  <w:shd w:val="clear" w:color="auto" w:fill="auto"/>
                  <w:noWrap/>
                  <w:vAlign w:val="center"/>
                  <w:hideMark/>
                </w:tcPr>
                <w:p w14:paraId="3AC8B6A8"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£2,438</w:t>
                  </w:r>
                </w:p>
              </w:tc>
              <w:tc>
                <w:tcPr>
                  <w:tcW w:w="822" w:type="dxa"/>
                  <w:tcBorders>
                    <w:top w:val="nil"/>
                    <w:left w:val="nil"/>
                    <w:bottom w:val="single" w:sz="4" w:space="0" w:color="auto"/>
                    <w:right w:val="nil"/>
                  </w:tcBorders>
                  <w:shd w:val="clear" w:color="000000" w:fill="FF0000"/>
                  <w:noWrap/>
                  <w:vAlign w:val="center"/>
                  <w:hideMark/>
                </w:tcPr>
                <w:p w14:paraId="411417C2"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-7%</w:t>
                  </w:r>
                </w:p>
              </w:tc>
              <w:tc>
                <w:tcPr>
                  <w:tcW w:w="1034" w:type="dxa"/>
                  <w:tcBorders>
                    <w:top w:val="nil"/>
                    <w:left w:val="nil"/>
                    <w:bottom w:val="single" w:sz="4" w:space="0" w:color="auto"/>
                    <w:right w:val="nil"/>
                  </w:tcBorders>
                  <w:shd w:val="clear" w:color="000000" w:fill="FF0000"/>
                  <w:noWrap/>
                  <w:vAlign w:val="center"/>
                  <w:hideMark/>
                </w:tcPr>
                <w:p w14:paraId="3AE04751" w14:textId="77777777" w:rsidR="004B31F9" w:rsidRPr="007D62EA" w:rsidRDefault="004B31F9" w:rsidP="004B31F9">
                  <w:pPr>
                    <w:spacing w:after="0" w:line="240" w:lineRule="auto"/>
                    <w:jc w:val="center"/>
                    <w:rPr>
                      <w:rFonts w:asciiTheme="minorHAnsi" w:eastAsia="Times New Roman" w:hAnsiTheme="minorHAnsi" w:cs="Calibri"/>
                      <w:color w:val="FFFFFF"/>
                      <w:szCs w:val="20"/>
                      <w:lang w:eastAsia="en-GB"/>
                    </w:rPr>
                  </w:pPr>
                  <w:r w:rsidRPr="007D62EA">
                    <w:rPr>
                      <w:rFonts w:asciiTheme="minorHAnsi" w:eastAsia="Times New Roman" w:hAnsiTheme="minorHAnsi" w:cs="Calibri"/>
                      <w:color w:val="FFFFFF"/>
                      <w:szCs w:val="20"/>
                      <w:lang w:eastAsia="en-GB"/>
                    </w:rPr>
                    <w:t>69%</w:t>
                  </w:r>
                </w:p>
              </w:tc>
              <w:tc>
                <w:tcPr>
                  <w:tcW w:w="567" w:type="dxa"/>
                  <w:tcBorders>
                    <w:top w:val="nil"/>
                    <w:left w:val="nil"/>
                    <w:bottom w:val="single" w:sz="4" w:space="0" w:color="auto"/>
                    <w:right w:val="nil"/>
                  </w:tcBorders>
                  <w:shd w:val="clear" w:color="auto" w:fill="auto"/>
                  <w:vAlign w:val="center"/>
                  <w:hideMark/>
                </w:tcPr>
                <w:p w14:paraId="491CC019" w14:textId="77777777" w:rsidR="004B31F9" w:rsidRPr="007D62EA" w:rsidRDefault="004B31F9" w:rsidP="004B31F9">
                  <w:pPr>
                    <w:spacing w:after="0" w:line="240" w:lineRule="auto"/>
                    <w:jc w:val="center"/>
                    <w:rPr>
                      <w:rFonts w:asciiTheme="minorHAnsi" w:eastAsia="Times New Roman" w:hAnsiTheme="minorHAnsi" w:cs="Calibri"/>
                      <w:color w:val="000000"/>
                      <w:szCs w:val="20"/>
                      <w:lang w:eastAsia="en-GB"/>
                    </w:rPr>
                  </w:pPr>
                  <w:r w:rsidRPr="007D62EA">
                    <w:rPr>
                      <w:rFonts w:asciiTheme="minorHAnsi" w:eastAsia="Times New Roman" w:hAnsiTheme="minorHAnsi" w:cs="Calibri"/>
                      <w:color w:val="000000"/>
                      <w:szCs w:val="20"/>
                      <w:lang w:eastAsia="en-GB"/>
                    </w:rPr>
                    <w:t>1,450</w:t>
                  </w:r>
                </w:p>
              </w:tc>
            </w:tr>
          </w:tbl>
          <w:p w14:paraId="5584B0A4" w14:textId="77777777" w:rsidR="004B31F9" w:rsidRPr="007D62EA" w:rsidRDefault="004B31F9" w:rsidP="004B31F9">
            <w:pPr>
              <w:rPr>
                <w:rFonts w:asciiTheme="minorHAnsi" w:hAnsiTheme="minorHAnsi" w:cs="Arial"/>
                <w:szCs w:val="20"/>
              </w:rPr>
            </w:pPr>
          </w:p>
        </w:tc>
      </w:tr>
      <w:tr w:rsidR="004B31F9" w:rsidRPr="007D62EA" w14:paraId="237714F0" w14:textId="77777777" w:rsidTr="006D7788">
        <w:trPr>
          <w:trHeight w:val="127"/>
        </w:trPr>
        <w:tc>
          <w:tcPr>
            <w:tcW w:w="2269" w:type="dxa"/>
            <w:gridSpan w:val="2"/>
            <w:shd w:val="clear" w:color="auto" w:fill="auto"/>
            <w:vAlign w:val="center"/>
          </w:tcPr>
          <w:p w14:paraId="4CD6EE6F" w14:textId="6841A84D" w:rsidR="004B31F9" w:rsidRPr="007D62EA" w:rsidRDefault="004B31F9" w:rsidP="004B31F9">
            <w:pPr>
              <w:rPr>
                <w:rFonts w:asciiTheme="minorHAnsi" w:hAnsiTheme="minorHAnsi" w:cs="Arial"/>
                <w:b/>
                <w:bCs/>
                <w:szCs w:val="20"/>
              </w:rPr>
            </w:pPr>
            <w:r w:rsidRPr="007D62EA">
              <w:rPr>
                <w:rFonts w:asciiTheme="minorHAnsi" w:hAnsiTheme="minorHAnsi" w:cs="Arial"/>
                <w:b/>
                <w:bCs/>
                <w:szCs w:val="20"/>
              </w:rPr>
              <w:lastRenderedPageBreak/>
              <w:t xml:space="preserve">Ofgem Response to </w:t>
            </w:r>
            <w:r w:rsidR="00954F90" w:rsidRPr="007D62EA">
              <w:rPr>
                <w:rFonts w:asciiTheme="minorHAnsi" w:hAnsiTheme="minorHAnsi" w:cs="Arial"/>
                <w:b/>
                <w:bCs/>
                <w:szCs w:val="20"/>
              </w:rPr>
              <w:t>SGN_FDQ_018</w:t>
            </w:r>
          </w:p>
          <w:p w14:paraId="68C4F125" w14:textId="77777777" w:rsidR="004B31F9" w:rsidRPr="007D62EA" w:rsidRDefault="004B31F9" w:rsidP="004B31F9">
            <w:pPr>
              <w:rPr>
                <w:rFonts w:asciiTheme="minorHAnsi" w:hAnsiTheme="minorHAnsi" w:cs="Arial"/>
                <w:b/>
                <w:bCs/>
                <w:szCs w:val="20"/>
              </w:rPr>
            </w:pPr>
          </w:p>
          <w:p w14:paraId="260FE646" w14:textId="77777777" w:rsidR="004B31F9" w:rsidRPr="007D62EA" w:rsidRDefault="004B31F9" w:rsidP="004B31F9">
            <w:pPr>
              <w:rPr>
                <w:rFonts w:asciiTheme="minorHAnsi" w:hAnsiTheme="minorHAnsi" w:cs="Arial"/>
                <w:b/>
                <w:bCs/>
                <w:szCs w:val="20"/>
              </w:rPr>
            </w:pPr>
          </w:p>
          <w:p w14:paraId="02C5C34A" w14:textId="66640490" w:rsidR="004B31F9" w:rsidRPr="007D62EA" w:rsidRDefault="004B31F9" w:rsidP="004B31F9">
            <w:pPr>
              <w:rPr>
                <w:rFonts w:asciiTheme="minorHAnsi" w:hAnsiTheme="minorHAnsi" w:cs="Arial"/>
                <w:b/>
                <w:bCs/>
                <w:szCs w:val="20"/>
              </w:rPr>
            </w:pPr>
          </w:p>
        </w:tc>
        <w:tc>
          <w:tcPr>
            <w:tcW w:w="8363" w:type="dxa"/>
            <w:gridSpan w:val="2"/>
            <w:shd w:val="clear" w:color="auto" w:fill="auto"/>
            <w:vAlign w:val="center"/>
          </w:tcPr>
          <w:p w14:paraId="6A0EE2AF" w14:textId="77777777" w:rsidR="004B31F9" w:rsidRPr="007D62EA" w:rsidRDefault="004B31F9" w:rsidP="004B31F9">
            <w:pPr>
              <w:rPr>
                <w:rFonts w:asciiTheme="minorHAnsi" w:hAnsiTheme="minorHAnsi" w:cs="Arial"/>
                <w:szCs w:val="20"/>
              </w:rPr>
            </w:pPr>
            <w:r w:rsidRPr="007D62EA">
              <w:rPr>
                <w:rFonts w:asciiTheme="minorHAnsi" w:hAnsiTheme="minorHAnsi" w:cs="Arial"/>
                <w:szCs w:val="20"/>
              </w:rPr>
              <w:t xml:space="preserve">Our approaches to FPNES policy and to setting unit costs are set out in the GD Annex. Our decision on the approach to setting unit costs reflects our choice of methodology from the options consulted on through the Repex Working Group. </w:t>
            </w:r>
          </w:p>
          <w:p w14:paraId="77E190A5" w14:textId="42C065D1" w:rsidR="004B31F9" w:rsidRPr="007D62EA" w:rsidRDefault="004B31F9" w:rsidP="004B31F9">
            <w:pPr>
              <w:rPr>
                <w:rFonts w:asciiTheme="minorHAnsi" w:hAnsiTheme="minorHAnsi" w:cs="Arial"/>
                <w:szCs w:val="20"/>
              </w:rPr>
            </w:pPr>
            <w:r w:rsidRPr="007D62EA">
              <w:rPr>
                <w:rFonts w:asciiTheme="minorHAnsi" w:hAnsiTheme="minorHAnsi" w:cs="Arial"/>
                <w:szCs w:val="20"/>
              </w:rPr>
              <w:t xml:space="preserve">We will update unit costs to reflect any errors that impact totex or the calculation of unit costs. However, we will not change any of our decisions with respect to the methodology used to calculate unit costs for FD. </w:t>
            </w:r>
          </w:p>
        </w:tc>
      </w:tr>
      <w:tr w:rsidR="00673EE9" w:rsidRPr="007D62EA" w14:paraId="4EDC54C0" w14:textId="77777777" w:rsidTr="006D7788">
        <w:trPr>
          <w:trHeight w:val="127"/>
        </w:trPr>
        <w:tc>
          <w:tcPr>
            <w:tcW w:w="2269" w:type="dxa"/>
            <w:gridSpan w:val="2"/>
            <w:shd w:val="clear" w:color="auto" w:fill="auto"/>
            <w:vAlign w:val="center"/>
          </w:tcPr>
          <w:p w14:paraId="4168E4CB" w14:textId="22349A08" w:rsidR="00673EE9" w:rsidRPr="007D62EA" w:rsidRDefault="00673EE9" w:rsidP="004B31F9">
            <w:pPr>
              <w:rPr>
                <w:rFonts w:asciiTheme="minorHAnsi" w:hAnsiTheme="minorHAnsi" w:cs="Arial"/>
                <w:b/>
                <w:bCs/>
                <w:szCs w:val="20"/>
              </w:rPr>
            </w:pPr>
            <w:r w:rsidRPr="007D62EA">
              <w:rPr>
                <w:rFonts w:asciiTheme="minorHAnsi" w:hAnsiTheme="minorHAnsi" w:cs="Arial"/>
                <w:b/>
                <w:bCs/>
                <w:szCs w:val="20"/>
              </w:rPr>
              <w:t>Date of Ofgem Response</w:t>
            </w:r>
          </w:p>
        </w:tc>
        <w:tc>
          <w:tcPr>
            <w:tcW w:w="8363" w:type="dxa"/>
            <w:gridSpan w:val="2"/>
            <w:shd w:val="clear" w:color="auto" w:fill="auto"/>
            <w:vAlign w:val="center"/>
          </w:tcPr>
          <w:p w14:paraId="701E20C7" w14:textId="068FC3B2" w:rsidR="00673EE9" w:rsidRPr="007D62EA" w:rsidRDefault="00673EE9" w:rsidP="004B31F9">
            <w:pPr>
              <w:rPr>
                <w:rFonts w:asciiTheme="minorHAnsi" w:hAnsiTheme="minorHAnsi" w:cs="Arial"/>
                <w:szCs w:val="20"/>
              </w:rPr>
            </w:pPr>
            <w:r w:rsidRPr="007D62EA">
              <w:rPr>
                <w:rFonts w:asciiTheme="minorHAnsi" w:hAnsiTheme="minorHAnsi" w:cs="Arial"/>
                <w:szCs w:val="20"/>
              </w:rPr>
              <w:t>6</w:t>
            </w:r>
            <w:r w:rsidRPr="007D62EA">
              <w:rPr>
                <w:rFonts w:asciiTheme="minorHAnsi" w:hAnsiTheme="minorHAnsi" w:cs="Arial"/>
                <w:szCs w:val="20"/>
                <w:vertAlign w:val="superscript"/>
              </w:rPr>
              <w:t>th</w:t>
            </w:r>
            <w:r w:rsidRPr="007D62EA">
              <w:rPr>
                <w:rFonts w:asciiTheme="minorHAnsi" w:hAnsiTheme="minorHAnsi" w:cs="Arial"/>
                <w:szCs w:val="20"/>
              </w:rPr>
              <w:t xml:space="preserve"> January 2021</w:t>
            </w:r>
          </w:p>
        </w:tc>
      </w:tr>
    </w:tbl>
    <w:p w14:paraId="373E21F4" w14:textId="77777777" w:rsidR="00945C7C" w:rsidRPr="00954F90" w:rsidRDefault="00945C7C" w:rsidP="008A5062">
      <w:pPr>
        <w:rPr>
          <w:szCs w:val="20"/>
        </w:rPr>
      </w:pPr>
    </w:p>
    <w:sectPr w:rsidR="00945C7C" w:rsidRPr="00954F90" w:rsidSect="008A5062">
      <w:footerReference w:type="default" r:id="rId18"/>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D16DA" w14:textId="77777777" w:rsidR="0037106A" w:rsidRDefault="0037106A" w:rsidP="00526623">
      <w:pPr>
        <w:spacing w:after="0" w:line="240" w:lineRule="auto"/>
      </w:pPr>
      <w:r>
        <w:separator/>
      </w:r>
    </w:p>
  </w:endnote>
  <w:endnote w:type="continuationSeparator" w:id="0">
    <w:p w14:paraId="3737EB62" w14:textId="77777777" w:rsidR="0037106A" w:rsidRDefault="003710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lang w:eastAsia="en-GB"/>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fapNzsQIAAEcFAAAO&#10;AAAAAAAAAAAAAAAAAC4CAABkcnMvZTJvRG9jLnhtbFBLAQItABQABgAIAAAAIQB8dgjh3wAAAAsB&#10;AAAPAAAAAAAAAAAAAAAAAAsFAABkcnMvZG93bnJldi54bWxQSwUGAAAAAAQABADzAAAAFwY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66F4A" w14:textId="77777777" w:rsidR="0037106A" w:rsidRDefault="0037106A" w:rsidP="00526623">
      <w:pPr>
        <w:spacing w:after="0" w:line="240" w:lineRule="auto"/>
      </w:pPr>
      <w:r>
        <w:separator/>
      </w:r>
    </w:p>
  </w:footnote>
  <w:footnote w:type="continuationSeparator" w:id="0">
    <w:p w14:paraId="7462FF08" w14:textId="77777777" w:rsidR="0037106A" w:rsidRDefault="003710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850EFB"/>
    <w:multiLevelType w:val="hybridMultilevel"/>
    <w:tmpl w:val="80720E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000208"/>
    <w:multiLevelType w:val="hybridMultilevel"/>
    <w:tmpl w:val="25360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B3427F"/>
    <w:multiLevelType w:val="hybridMultilevel"/>
    <w:tmpl w:val="85766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5010BE"/>
    <w:multiLevelType w:val="hybridMultilevel"/>
    <w:tmpl w:val="EB12B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4"/>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AB6"/>
    <w:rsid w:val="0001551F"/>
    <w:rsid w:val="000172DC"/>
    <w:rsid w:val="0002042B"/>
    <w:rsid w:val="00041711"/>
    <w:rsid w:val="000436C2"/>
    <w:rsid w:val="00044FA0"/>
    <w:rsid w:val="000473D3"/>
    <w:rsid w:val="00050C54"/>
    <w:rsid w:val="000B0536"/>
    <w:rsid w:val="000D609A"/>
    <w:rsid w:val="000E5B6D"/>
    <w:rsid w:val="000F036B"/>
    <w:rsid w:val="000F371F"/>
    <w:rsid w:val="000F7256"/>
    <w:rsid w:val="0010126C"/>
    <w:rsid w:val="00107296"/>
    <w:rsid w:val="00133BD9"/>
    <w:rsid w:val="00133CFC"/>
    <w:rsid w:val="00172809"/>
    <w:rsid w:val="0017489A"/>
    <w:rsid w:val="001A06C9"/>
    <w:rsid w:val="001A43EE"/>
    <w:rsid w:val="001B3112"/>
    <w:rsid w:val="001B7E17"/>
    <w:rsid w:val="001D0151"/>
    <w:rsid w:val="00206D5F"/>
    <w:rsid w:val="0022587E"/>
    <w:rsid w:val="002352A4"/>
    <w:rsid w:val="002400F7"/>
    <w:rsid w:val="0025146C"/>
    <w:rsid w:val="002707B1"/>
    <w:rsid w:val="002874F3"/>
    <w:rsid w:val="00291D51"/>
    <w:rsid w:val="00293724"/>
    <w:rsid w:val="002A4AD8"/>
    <w:rsid w:val="002B4955"/>
    <w:rsid w:val="002B7A3D"/>
    <w:rsid w:val="002D5AD9"/>
    <w:rsid w:val="002E3EFB"/>
    <w:rsid w:val="00300FB4"/>
    <w:rsid w:val="003043A4"/>
    <w:rsid w:val="00321B49"/>
    <w:rsid w:val="00335FE7"/>
    <w:rsid w:val="00342E6F"/>
    <w:rsid w:val="003452B0"/>
    <w:rsid w:val="00353D48"/>
    <w:rsid w:val="00360385"/>
    <w:rsid w:val="003621E9"/>
    <w:rsid w:val="0037106A"/>
    <w:rsid w:val="00385085"/>
    <w:rsid w:val="003A2353"/>
    <w:rsid w:val="003A6BEB"/>
    <w:rsid w:val="003B3576"/>
    <w:rsid w:val="003F465C"/>
    <w:rsid w:val="00400822"/>
    <w:rsid w:val="00457A5F"/>
    <w:rsid w:val="00471B46"/>
    <w:rsid w:val="004B31F9"/>
    <w:rsid w:val="004C4D2B"/>
    <w:rsid w:val="004D0311"/>
    <w:rsid w:val="004D1F2F"/>
    <w:rsid w:val="004F26CB"/>
    <w:rsid w:val="00503895"/>
    <w:rsid w:val="00526623"/>
    <w:rsid w:val="00526A8E"/>
    <w:rsid w:val="00534E92"/>
    <w:rsid w:val="00536220"/>
    <w:rsid w:val="00584F30"/>
    <w:rsid w:val="00586A8E"/>
    <w:rsid w:val="0059221F"/>
    <w:rsid w:val="005927B6"/>
    <w:rsid w:val="005A506C"/>
    <w:rsid w:val="005A74DE"/>
    <w:rsid w:val="005E2894"/>
    <w:rsid w:val="0060723D"/>
    <w:rsid w:val="006224A0"/>
    <w:rsid w:val="006224F4"/>
    <w:rsid w:val="006279ED"/>
    <w:rsid w:val="006411D5"/>
    <w:rsid w:val="006456A4"/>
    <w:rsid w:val="00673EE9"/>
    <w:rsid w:val="006847DA"/>
    <w:rsid w:val="006A4458"/>
    <w:rsid w:val="006A48A0"/>
    <w:rsid w:val="006A714D"/>
    <w:rsid w:val="006B26DE"/>
    <w:rsid w:val="006B653F"/>
    <w:rsid w:val="006C6B25"/>
    <w:rsid w:val="006D4614"/>
    <w:rsid w:val="006D7788"/>
    <w:rsid w:val="007046C3"/>
    <w:rsid w:val="00716508"/>
    <w:rsid w:val="00721734"/>
    <w:rsid w:val="007400B7"/>
    <w:rsid w:val="00742C19"/>
    <w:rsid w:val="00745FBB"/>
    <w:rsid w:val="00753976"/>
    <w:rsid w:val="0075726F"/>
    <w:rsid w:val="007572D8"/>
    <w:rsid w:val="007649AC"/>
    <w:rsid w:val="00772D1E"/>
    <w:rsid w:val="007869B0"/>
    <w:rsid w:val="007974DA"/>
    <w:rsid w:val="007B29A9"/>
    <w:rsid w:val="007C2E37"/>
    <w:rsid w:val="007D62EA"/>
    <w:rsid w:val="007D7648"/>
    <w:rsid w:val="007E30C4"/>
    <w:rsid w:val="007F6EC9"/>
    <w:rsid w:val="008170C7"/>
    <w:rsid w:val="00817DDE"/>
    <w:rsid w:val="008341B1"/>
    <w:rsid w:val="00845396"/>
    <w:rsid w:val="0085400C"/>
    <w:rsid w:val="00866F86"/>
    <w:rsid w:val="0089691D"/>
    <w:rsid w:val="008A4058"/>
    <w:rsid w:val="008A5062"/>
    <w:rsid w:val="008B3636"/>
    <w:rsid w:val="008B7043"/>
    <w:rsid w:val="008C5A35"/>
    <w:rsid w:val="00924DEC"/>
    <w:rsid w:val="00935000"/>
    <w:rsid w:val="00937BF5"/>
    <w:rsid w:val="00942721"/>
    <w:rsid w:val="00945C7C"/>
    <w:rsid w:val="00946125"/>
    <w:rsid w:val="009509D8"/>
    <w:rsid w:val="00954F90"/>
    <w:rsid w:val="009762C9"/>
    <w:rsid w:val="009845A8"/>
    <w:rsid w:val="009A7A81"/>
    <w:rsid w:val="009B1A44"/>
    <w:rsid w:val="009B26A0"/>
    <w:rsid w:val="009B7577"/>
    <w:rsid w:val="009D4F56"/>
    <w:rsid w:val="009D6D19"/>
    <w:rsid w:val="009F2D65"/>
    <w:rsid w:val="00A054D1"/>
    <w:rsid w:val="00A0584E"/>
    <w:rsid w:val="00A06191"/>
    <w:rsid w:val="00A06B0D"/>
    <w:rsid w:val="00A163D9"/>
    <w:rsid w:val="00A17CA9"/>
    <w:rsid w:val="00A56CF3"/>
    <w:rsid w:val="00A77899"/>
    <w:rsid w:val="00A922CF"/>
    <w:rsid w:val="00AA2DCE"/>
    <w:rsid w:val="00AC3655"/>
    <w:rsid w:val="00AC6418"/>
    <w:rsid w:val="00AE2C71"/>
    <w:rsid w:val="00AF2854"/>
    <w:rsid w:val="00B33B74"/>
    <w:rsid w:val="00B33BDA"/>
    <w:rsid w:val="00B35E40"/>
    <w:rsid w:val="00B378CC"/>
    <w:rsid w:val="00B37A61"/>
    <w:rsid w:val="00B41AEB"/>
    <w:rsid w:val="00B437A9"/>
    <w:rsid w:val="00B82400"/>
    <w:rsid w:val="00B86DDF"/>
    <w:rsid w:val="00BA4154"/>
    <w:rsid w:val="00BA5A79"/>
    <w:rsid w:val="00BB4793"/>
    <w:rsid w:val="00BB56A8"/>
    <w:rsid w:val="00BB682C"/>
    <w:rsid w:val="00BB763A"/>
    <w:rsid w:val="00BD48A8"/>
    <w:rsid w:val="00BE209A"/>
    <w:rsid w:val="00C10D99"/>
    <w:rsid w:val="00C57345"/>
    <w:rsid w:val="00C6320E"/>
    <w:rsid w:val="00C814D0"/>
    <w:rsid w:val="00C81B4C"/>
    <w:rsid w:val="00CA4297"/>
    <w:rsid w:val="00CB4105"/>
    <w:rsid w:val="00CC7214"/>
    <w:rsid w:val="00CD1785"/>
    <w:rsid w:val="00CD2458"/>
    <w:rsid w:val="00CD6B5F"/>
    <w:rsid w:val="00CF22EF"/>
    <w:rsid w:val="00CF61F1"/>
    <w:rsid w:val="00D1736D"/>
    <w:rsid w:val="00D3385D"/>
    <w:rsid w:val="00D3739C"/>
    <w:rsid w:val="00D50036"/>
    <w:rsid w:val="00D53135"/>
    <w:rsid w:val="00D81399"/>
    <w:rsid w:val="00D815E6"/>
    <w:rsid w:val="00DA4D94"/>
    <w:rsid w:val="00DA67E5"/>
    <w:rsid w:val="00DC4F39"/>
    <w:rsid w:val="00DC7D5B"/>
    <w:rsid w:val="00E040EA"/>
    <w:rsid w:val="00E11C0E"/>
    <w:rsid w:val="00E346B6"/>
    <w:rsid w:val="00E525E0"/>
    <w:rsid w:val="00E55A7F"/>
    <w:rsid w:val="00E566F5"/>
    <w:rsid w:val="00E60B88"/>
    <w:rsid w:val="00E9393B"/>
    <w:rsid w:val="00EB123E"/>
    <w:rsid w:val="00EB179A"/>
    <w:rsid w:val="00EB2613"/>
    <w:rsid w:val="00EB3EBB"/>
    <w:rsid w:val="00EE1C79"/>
    <w:rsid w:val="00EE2493"/>
    <w:rsid w:val="00F114E9"/>
    <w:rsid w:val="00F129C1"/>
    <w:rsid w:val="00F20F23"/>
    <w:rsid w:val="00F23B18"/>
    <w:rsid w:val="00F266D1"/>
    <w:rsid w:val="00F30FCD"/>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styleId="BalloonText">
    <w:name w:val="Balloon Text"/>
    <w:basedOn w:val="Normal"/>
    <w:link w:val="BalloonTextChar"/>
    <w:uiPriority w:val="99"/>
    <w:semiHidden/>
    <w:unhideWhenUsed/>
    <w:rsid w:val="00AC36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655"/>
    <w:rPr>
      <w:rFonts w:ascii="Segoe UI" w:hAnsi="Segoe UI" w:cs="Segoe UI"/>
      <w:sz w:val="18"/>
      <w:szCs w:val="18"/>
    </w:rPr>
  </w:style>
  <w:style w:type="character" w:styleId="CommentReference">
    <w:name w:val="annotation reference"/>
    <w:basedOn w:val="DefaultParagraphFont"/>
    <w:uiPriority w:val="99"/>
    <w:semiHidden/>
    <w:unhideWhenUsed/>
    <w:rsid w:val="00044FA0"/>
    <w:rPr>
      <w:sz w:val="16"/>
      <w:szCs w:val="16"/>
    </w:rPr>
  </w:style>
  <w:style w:type="paragraph" w:styleId="CommentText">
    <w:name w:val="annotation text"/>
    <w:basedOn w:val="Normal"/>
    <w:link w:val="CommentTextChar"/>
    <w:uiPriority w:val="99"/>
    <w:semiHidden/>
    <w:unhideWhenUsed/>
    <w:rsid w:val="00044FA0"/>
    <w:pPr>
      <w:spacing w:line="240" w:lineRule="auto"/>
    </w:pPr>
    <w:rPr>
      <w:szCs w:val="20"/>
    </w:rPr>
  </w:style>
  <w:style w:type="character" w:customStyle="1" w:styleId="CommentTextChar">
    <w:name w:val="Comment Text Char"/>
    <w:basedOn w:val="DefaultParagraphFont"/>
    <w:link w:val="CommentText"/>
    <w:uiPriority w:val="99"/>
    <w:semiHidden/>
    <w:rsid w:val="00044FA0"/>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044FA0"/>
    <w:rPr>
      <w:b/>
      <w:bCs/>
    </w:rPr>
  </w:style>
  <w:style w:type="character" w:customStyle="1" w:styleId="CommentSubjectChar">
    <w:name w:val="Comment Subject Char"/>
    <w:basedOn w:val="CommentTextChar"/>
    <w:link w:val="CommentSubject"/>
    <w:uiPriority w:val="99"/>
    <w:semiHidden/>
    <w:rsid w:val="00044FA0"/>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181108">
      <w:bodyDiv w:val="1"/>
      <w:marLeft w:val="0"/>
      <w:marRight w:val="0"/>
      <w:marTop w:val="0"/>
      <w:marBottom w:val="0"/>
      <w:divBdr>
        <w:top w:val="none" w:sz="0" w:space="0" w:color="auto"/>
        <w:left w:val="none" w:sz="0" w:space="0" w:color="auto"/>
        <w:bottom w:val="none" w:sz="0" w:space="0" w:color="auto"/>
        <w:right w:val="none" w:sz="0" w:space="0" w:color="auto"/>
      </w:divBdr>
    </w:div>
    <w:div w:id="366033194">
      <w:bodyDiv w:val="1"/>
      <w:marLeft w:val="0"/>
      <w:marRight w:val="0"/>
      <w:marTop w:val="0"/>
      <w:marBottom w:val="0"/>
      <w:divBdr>
        <w:top w:val="none" w:sz="0" w:space="0" w:color="auto"/>
        <w:left w:val="none" w:sz="0" w:space="0" w:color="auto"/>
        <w:bottom w:val="none" w:sz="0" w:space="0" w:color="auto"/>
        <w:right w:val="none" w:sz="0" w:space="0" w:color="auto"/>
      </w:divBdr>
    </w:div>
    <w:div w:id="490215036">
      <w:bodyDiv w:val="1"/>
      <w:marLeft w:val="0"/>
      <w:marRight w:val="0"/>
      <w:marTop w:val="0"/>
      <w:marBottom w:val="0"/>
      <w:divBdr>
        <w:top w:val="none" w:sz="0" w:space="0" w:color="auto"/>
        <w:left w:val="none" w:sz="0" w:space="0" w:color="auto"/>
        <w:bottom w:val="none" w:sz="0" w:space="0" w:color="auto"/>
        <w:right w:val="none" w:sz="0" w:space="0" w:color="auto"/>
      </w:divBdr>
    </w:div>
    <w:div w:id="756097436">
      <w:bodyDiv w:val="1"/>
      <w:marLeft w:val="0"/>
      <w:marRight w:val="0"/>
      <w:marTop w:val="0"/>
      <w:marBottom w:val="0"/>
      <w:divBdr>
        <w:top w:val="none" w:sz="0" w:space="0" w:color="auto"/>
        <w:left w:val="none" w:sz="0" w:space="0" w:color="auto"/>
        <w:bottom w:val="none" w:sz="0" w:space="0" w:color="auto"/>
        <w:right w:val="none" w:sz="0" w:space="0" w:color="auto"/>
      </w:divBdr>
    </w:div>
    <w:div w:id="780954636">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271545086">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168147022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Ref_x0020_No xmlns="631298fc-6a88-4548-b7d9-3b164918c4a3" xsi:nil="true"/>
    <_x003a_ xmlns="631298fc-6a88-4548-b7d9-3b164918c4a3" xsi:nil="true"/>
    <_x003a__x003a_ xmlns="631298fc-6a88-4548-b7d9-3b164918c4a3">-Main Document</_x003a__x003a_>
    <Recipient xmlns="631298fc-6a88-4548-b7d9-3b164918c4a3" xsi:nil="true"/>
    <Publication_x0020_Date_x003a_ xmlns="631298fc-6a88-4548-b7d9-3b164918c4a3">2021-01-07T15:39:49+00:00</Publication_x0020_Date_x003a_>
  </documentManagement>
</p:properties>
</file>

<file path=customXml/item2.xml><?xml version="1.0" encoding="utf-8"?>
<?mso-contentType ?>
<SharedContentType xmlns="Microsoft.SharePoint.Taxonomy.ContentTypeSync" SourceId="ca9306fc-8436-45f0-b931-e34f519be3a3" ContentTypeId="0x01010062488AB1AA15E14D84DFA7E22D330EDE" PreviousValue="true"/>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31298fc-6a88-4548-b7d9-3b164918c4a3"/>
  </ds:schemaRefs>
</ds:datastoreItem>
</file>

<file path=customXml/itemProps2.xml><?xml version="1.0" encoding="utf-8"?>
<ds:datastoreItem xmlns:ds="http://schemas.openxmlformats.org/officeDocument/2006/customXml" ds:itemID="{B865506F-94AD-4394-899F-FF595C33F48C}">
  <ds:schemaRefs>
    <ds:schemaRef ds:uri="Microsoft.SharePoint.Taxonomy.ContentTypeSync"/>
  </ds:schemaRefs>
</ds:datastoreItem>
</file>

<file path=customXml/itemProps3.xml><?xml version="1.0" encoding="utf-8"?>
<ds:datastoreItem xmlns:ds="http://schemas.openxmlformats.org/officeDocument/2006/customXml" ds:itemID="{CE76E73B-84E1-4B34-8E17-FBD688694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ABCAEC8F-877E-4A88-B615-3DA3CBEEFFE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2021-01-12T16:25:00Z</dcterms:created>
  <dcterms:modified xsi:type="dcterms:W3CDTF">2021-01-12T17:47:00Z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ce270e5e-fce8-46b2-9aae-f04c57910594</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ClsUserRVM">
    <vt:lpwstr>[]</vt:lpwstr>
  </property>
  <property fmtid="{D5CDD505-2E9C-101B-9397-08002B2CF9AE}" pid="44" name="MSIP_Label_2b73dd0b-afe1-4a46-943f-1bdb914b8a49_Enabled">
    <vt:lpwstr>true</vt:lpwstr>
  </property>
  <property fmtid="{D5CDD505-2E9C-101B-9397-08002B2CF9AE}" pid="45" name="MSIP_Label_2b73dd0b-afe1-4a46-943f-1bdb914b8a49_SetDate">
    <vt:lpwstr>2020-12-10T21:00:04Z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744a0660-0faf-4336-b578-00004c4bec3f</vt:lpwstr>
  </property>
  <property fmtid="{D5CDD505-2E9C-101B-9397-08002B2CF9AE}" pid="50" name="MSIP_Label_2b73dd0b-afe1-4a46-943f-1bdb914b8a49_ContentBits">
    <vt:lpwstr>2</vt:lpwstr>
  </property>
</Properties>
</file>