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0"/>
        <w:gridCol w:w="2707"/>
        <w:gridCol w:w="6731"/>
        <w:gridCol w:w="216"/>
      </w:tblGrid>
      <w:tr w:rsidR="00133BD9" w:rsidRPr="00876240" w14:paraId="61F9F1D2" w14:textId="77777777" w:rsidTr="009762C9">
        <w:trPr>
          <w:gridAfter w:val="1"/>
          <w:wAfter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10998" w14:textId="77777777" w:rsidR="00133BD9" w:rsidRPr="002E3EFB" w:rsidRDefault="0047108D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Cadent</w:t>
            </w:r>
            <w:r w:rsidR="00B378CC" w:rsidRPr="000E5B6D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5343327C" w14:textId="77777777" w:rsidTr="009762C9">
        <w:trPr>
          <w:gridBefore w:val="1"/>
          <w:wBefore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EAD1" w14:textId="77777777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EA1559" w:rsidRPr="00EA1559" w14:paraId="3DAB8809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14"/>
        </w:trPr>
        <w:tc>
          <w:tcPr>
            <w:tcW w:w="236" w:type="dxa"/>
            <w:gridSpan w:val="2"/>
            <w:vAlign w:val="center"/>
            <w:hideMark/>
          </w:tcPr>
          <w:p w14:paraId="53F4A1BA" w14:textId="77777777" w:rsidR="00EA1559" w:rsidRPr="00EA1559" w:rsidRDefault="00EA1559">
            <w:pPr>
              <w:rPr>
                <w:rFonts w:ascii="Calibri" w:hAnsi="Calibri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D3EE0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SQ Reference number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91FD34" w14:textId="23CE3ADC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CADENT_FDQ_  </w:t>
            </w:r>
            <w:r w:rsidR="00536F40"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EA1559" w:rsidRPr="00EA1559" w14:paraId="248C3132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788E9A6E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77403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Priority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A48EB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High </w:t>
            </w:r>
            <w:r w:rsidR="00012030">
              <w:rPr>
                <w:rFonts w:ascii="Arial" w:hAnsi="Arial" w:cs="Arial"/>
                <w:sz w:val="20"/>
                <w:szCs w:val="20"/>
                <w:lang w:eastAsia="en-US"/>
              </w:rPr>
              <w:t>– Technical Error</w:t>
            </w:r>
          </w:p>
        </w:tc>
      </w:tr>
      <w:tr w:rsidR="00EA1559" w:rsidRPr="00EA1559" w14:paraId="6E59B94C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1480C21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613F9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Document Name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903F5" w14:textId="77777777" w:rsidR="00EA1559" w:rsidRPr="00EA1559" w:rsidRDefault="00206CA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FD modelling suite</w:t>
            </w:r>
          </w:p>
        </w:tc>
      </w:tr>
      <w:tr w:rsidR="00EA1559" w:rsidRPr="00EA1559" w14:paraId="67B8C3FC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03269D03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22E10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Topic/Activity: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E21F1" w14:textId="77777777" w:rsidR="00EA1559" w:rsidRPr="00EA1559" w:rsidRDefault="00590317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MEAV calculation</w:t>
            </w:r>
          </w:p>
        </w:tc>
      </w:tr>
      <w:tr w:rsidR="00EA1559" w:rsidRPr="00EA1559" w14:paraId="221B9CF3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643858C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7197C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Question: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98AC8" w14:textId="77777777" w:rsidR="006802FF" w:rsidRDefault="00B73EA6" w:rsidP="00012030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We believe that we have found </w:t>
            </w:r>
            <w:r w:rsidR="006802FF">
              <w:rPr>
                <w:rFonts w:ascii="Verdana" w:hAnsi="Verdana"/>
                <w:sz w:val="20"/>
                <w:szCs w:val="20"/>
                <w:lang w:eastAsia="en-US"/>
              </w:rPr>
              <w:t>t</w:t>
            </w:r>
            <w:r w:rsidR="00012030">
              <w:rPr>
                <w:rFonts w:ascii="Verdana" w:hAnsi="Verdana"/>
                <w:sz w:val="20"/>
                <w:szCs w:val="20"/>
                <w:lang w:eastAsia="en-US"/>
              </w:rPr>
              <w:t>wo</w:t>
            </w:r>
            <w:r w:rsidR="00CC4056">
              <w:rPr>
                <w:rFonts w:ascii="Verdana" w:hAnsi="Verdana"/>
                <w:sz w:val="20"/>
                <w:szCs w:val="20"/>
                <w:lang w:eastAsia="en-US"/>
              </w:rPr>
              <w:t xml:space="preserve"> errors in the MEAV calculation, in respect of</w:t>
            </w:r>
            <w:r w:rsidR="00012030">
              <w:rPr>
                <w:rFonts w:ascii="Verdana" w:hAnsi="Verdana"/>
                <w:sz w:val="20"/>
                <w:szCs w:val="20"/>
                <w:lang w:eastAsia="en-US"/>
              </w:rPr>
              <w:t xml:space="preserve"> M</w:t>
            </w:r>
            <w:r w:rsidR="00CC4056">
              <w:rPr>
                <w:rFonts w:ascii="Verdana" w:hAnsi="Verdana"/>
                <w:sz w:val="20"/>
                <w:szCs w:val="20"/>
                <w:lang w:eastAsia="en-US"/>
              </w:rPr>
              <w:t>OBs Riser unit costs</w:t>
            </w:r>
            <w:r w:rsidR="00012030">
              <w:rPr>
                <w:rFonts w:ascii="Verdana" w:hAnsi="Verdana"/>
                <w:sz w:val="20"/>
                <w:szCs w:val="20"/>
                <w:lang w:eastAsia="en-US"/>
              </w:rPr>
              <w:t xml:space="preserve"> and </w:t>
            </w:r>
            <w:r w:rsidR="006802FF">
              <w:rPr>
                <w:rFonts w:ascii="Verdana" w:hAnsi="Verdana"/>
                <w:sz w:val="20"/>
                <w:szCs w:val="20"/>
                <w:lang w:eastAsia="en-US"/>
              </w:rPr>
              <w:t>NGN Storage Values</w:t>
            </w:r>
            <w:r w:rsidR="00012030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</w:p>
          <w:p w14:paraId="055DE13E" w14:textId="77777777" w:rsidR="006802FF" w:rsidRPr="006802FF" w:rsidRDefault="006A715C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1. </w:t>
            </w:r>
            <w:r w:rsidR="006802FF" w:rsidRPr="006802FF">
              <w:rPr>
                <w:rFonts w:ascii="Verdana" w:hAnsi="Verdana"/>
                <w:b/>
                <w:sz w:val="20"/>
                <w:szCs w:val="20"/>
                <w:lang w:eastAsia="en-US"/>
              </w:rPr>
              <w:t>MOBs Riser unit costs</w:t>
            </w:r>
          </w:p>
          <w:p w14:paraId="7D96BF0B" w14:textId="77777777" w:rsidR="006802FF" w:rsidRDefault="006802FF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The Riser unit costs used at FD are set out below, compared to those set out by Ofgem at DD.</w:t>
            </w:r>
          </w:p>
          <w:p w14:paraId="1B2BF9B1" w14:textId="77777777" w:rsidR="006802FF" w:rsidRDefault="006802FF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802FF">
              <w:rPr>
                <w:rFonts w:ascii="Verdana" w:hAnsi="Verdana"/>
                <w:noProof/>
                <w:sz w:val="20"/>
                <w:szCs w:val="20"/>
                <w:lang w:eastAsia="en-US"/>
              </w:rPr>
              <w:drawing>
                <wp:inline distT="0" distB="0" distL="0" distR="0" wp14:anchorId="68162406" wp14:editId="5BC43E25">
                  <wp:extent cx="2346960" cy="9220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960" cy="92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16B5F9" w14:textId="77777777" w:rsidR="006802FF" w:rsidRDefault="006802FF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The MEAV file states that the FD values are “</w:t>
            </w:r>
            <w:r w:rsidRPr="006802FF">
              <w:rPr>
                <w:rFonts w:ascii="Verdana" w:hAnsi="Verdana"/>
                <w:i/>
                <w:sz w:val="20"/>
                <w:szCs w:val="20"/>
                <w:lang w:eastAsia="en-US"/>
              </w:rPr>
              <w:t>Based on average of values submitted by 2 GDNs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”.</w:t>
            </w:r>
            <w:r w:rsidR="00374CB2">
              <w:rPr>
                <w:rFonts w:ascii="Verdana" w:hAnsi="Verdana"/>
                <w:sz w:val="20"/>
                <w:szCs w:val="20"/>
                <w:lang w:eastAsia="en-US"/>
              </w:rPr>
              <w:t xml:space="preserve">  We understand that BPDT data was used, in respect of which there is </w:t>
            </w:r>
            <w:r w:rsidR="00374CB2" w:rsidRPr="00686A77">
              <w:rPr>
                <w:rFonts w:ascii="Verdana" w:hAnsi="Verdana"/>
                <w:sz w:val="20"/>
                <w:szCs w:val="20"/>
                <w:lang w:eastAsia="en-US"/>
              </w:rPr>
              <w:t>a known issue</w:t>
            </w:r>
            <w:r w:rsidR="00686A77">
              <w:rPr>
                <w:rFonts w:ascii="Verdana" w:hAnsi="Verdana"/>
                <w:sz w:val="20"/>
                <w:szCs w:val="20"/>
                <w:lang w:eastAsia="en-US"/>
              </w:rPr>
              <w:t>, first raised by WWU,</w:t>
            </w:r>
            <w:r w:rsidR="00374CB2">
              <w:rPr>
                <w:rFonts w:ascii="Verdana" w:hAnsi="Verdana"/>
                <w:sz w:val="20"/>
                <w:szCs w:val="20"/>
                <w:lang w:eastAsia="en-US"/>
              </w:rPr>
              <w:t xml:space="preserve"> about what workload volumes actually represent</w:t>
            </w:r>
            <w:r w:rsidR="00686A77">
              <w:rPr>
                <w:rFonts w:ascii="Verdana" w:hAnsi="Verdana"/>
                <w:sz w:val="20"/>
                <w:szCs w:val="20"/>
                <w:lang w:eastAsia="en-US"/>
              </w:rPr>
              <w:t xml:space="preserve">. </w:t>
            </w:r>
          </w:p>
          <w:p w14:paraId="5F4FCD8C" w14:textId="77777777" w:rsidR="00B73EA6" w:rsidRDefault="006802FF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The</w:t>
            </w:r>
            <w:r w:rsidR="00374CB2">
              <w:rPr>
                <w:rFonts w:ascii="Verdana" w:hAnsi="Verdana"/>
                <w:sz w:val="20"/>
                <w:szCs w:val="20"/>
                <w:lang w:eastAsia="en-US"/>
              </w:rPr>
              <w:t xml:space="preserve"> FD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unit costs run counter to engineering logic and cannot be correct – a Riser with a height in excess of 40 metres should not have a replacement cost </w:t>
            </w:r>
            <w:r w:rsidR="00374CB2">
              <w:rPr>
                <w:rFonts w:ascii="Verdana" w:hAnsi="Verdana"/>
                <w:sz w:val="20"/>
                <w:szCs w:val="20"/>
                <w:lang w:eastAsia="en-US"/>
              </w:rPr>
              <w:t xml:space="preserve">less than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that of a Riser between 20 and 40 metres in height.  </w:t>
            </w:r>
            <w:r w:rsidR="00CC4056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138D67A1" w14:textId="77777777" w:rsidR="00374CB2" w:rsidRDefault="006802FF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We suggest that Ofgem review the unit costs for each of the height categories using information from the historical RRPs for all 8 GDNs</w:t>
            </w:r>
            <w:r w:rsidR="00374CB2">
              <w:rPr>
                <w:rFonts w:ascii="Verdana" w:hAnsi="Verdana"/>
                <w:iCs/>
                <w:sz w:val="20"/>
                <w:szCs w:val="20"/>
              </w:rPr>
              <w:t xml:space="preserve"> data which we believe to be materially accurate. W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e would expect this to result in unit costs </w:t>
            </w:r>
            <w:r w:rsidR="00374CB2">
              <w:rPr>
                <w:rFonts w:ascii="Verdana" w:hAnsi="Verdana"/>
                <w:iCs/>
                <w:sz w:val="20"/>
                <w:szCs w:val="20"/>
              </w:rPr>
              <w:t>for all Riser heights which are consistent with engineering logic and consequently far more robust</w:t>
            </w:r>
            <w:r w:rsidR="00686A77">
              <w:rPr>
                <w:rFonts w:ascii="Verdana" w:hAnsi="Verdana"/>
                <w:iCs/>
                <w:sz w:val="20"/>
                <w:szCs w:val="20"/>
              </w:rPr>
              <w:t xml:space="preserve"> data</w:t>
            </w:r>
            <w:r w:rsidR="00374CB2">
              <w:rPr>
                <w:rFonts w:ascii="Verdana" w:hAnsi="Verdana"/>
                <w:iCs/>
                <w:sz w:val="20"/>
                <w:szCs w:val="20"/>
              </w:rPr>
              <w:t xml:space="preserve">.  </w:t>
            </w:r>
            <w:r w:rsidR="00686A77">
              <w:rPr>
                <w:rFonts w:ascii="Verdana" w:hAnsi="Verdana"/>
                <w:iCs/>
                <w:sz w:val="20"/>
                <w:szCs w:val="20"/>
              </w:rPr>
              <w:t>Cadent’s analysis of all GDNs’ RRP actuals gave the following values: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771"/>
              <w:gridCol w:w="1149"/>
            </w:tblGrid>
            <w:tr w:rsidR="00686A77" w14:paraId="68664786" w14:textId="77777777" w:rsidTr="00012030">
              <w:trPr>
                <w:trHeight w:val="290"/>
              </w:trPr>
              <w:tc>
                <w:tcPr>
                  <w:tcW w:w="177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nil"/>
                  </w:tcBorders>
                  <w:shd w:val="solid" w:color="FFFFFF" w:fill="auto"/>
                </w:tcPr>
                <w:p w14:paraId="32CD3C6B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</w:rPr>
                    <w:t>MOBs MEAV u/c</w:t>
                  </w:r>
                </w:p>
              </w:tc>
              <w:tc>
                <w:tcPr>
                  <w:tcW w:w="1149" w:type="dxa"/>
                  <w:tcBorders>
                    <w:top w:val="single" w:sz="6" w:space="0" w:color="auto"/>
                    <w:left w:val="nil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14:paraId="06939FCE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</w:rPr>
                    <w:t>Cadent</w:t>
                  </w:r>
                </w:p>
              </w:tc>
            </w:tr>
            <w:tr w:rsidR="00686A77" w14:paraId="04E9C0DC" w14:textId="77777777" w:rsidTr="00012030">
              <w:trPr>
                <w:trHeight w:val="290"/>
              </w:trPr>
              <w:tc>
                <w:tcPr>
                  <w:tcW w:w="1771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  <w:shd w:val="solid" w:color="FFFFFF" w:fill="auto"/>
                </w:tcPr>
                <w:p w14:paraId="36D2C788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i/>
                      <w:iCs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i/>
                      <w:iCs/>
                      <w:color w:val="000000"/>
                      <w:sz w:val="22"/>
                    </w:rPr>
                    <w:t>18/19 prices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14:paraId="4F3D7CCE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</w:rPr>
                    <w:t xml:space="preserve">£ </w:t>
                  </w:r>
                </w:p>
              </w:tc>
            </w:tr>
            <w:tr w:rsidR="00686A77" w14:paraId="1EC840A4" w14:textId="77777777" w:rsidTr="00012030">
              <w:trPr>
                <w:trHeight w:val="290"/>
              </w:trPr>
              <w:tc>
                <w:tcPr>
                  <w:tcW w:w="1771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  <w:shd w:val="solid" w:color="FFFFFF" w:fill="auto"/>
                </w:tcPr>
                <w:p w14:paraId="1698591E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Risers_L20m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14:paraId="6D9F9948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 xml:space="preserve">13,486 </w:t>
                  </w:r>
                </w:p>
              </w:tc>
            </w:tr>
            <w:tr w:rsidR="00686A77" w14:paraId="0978EF28" w14:textId="77777777" w:rsidTr="00012030">
              <w:trPr>
                <w:trHeight w:val="290"/>
              </w:trPr>
              <w:tc>
                <w:tcPr>
                  <w:tcW w:w="1771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  <w:shd w:val="solid" w:color="FFFFFF" w:fill="auto"/>
                </w:tcPr>
                <w:p w14:paraId="03649332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Risers_B20m40m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14:paraId="446FA0CF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 xml:space="preserve">25,992 </w:t>
                  </w:r>
                </w:p>
              </w:tc>
            </w:tr>
            <w:tr w:rsidR="00686A77" w14:paraId="7ED59BE1" w14:textId="77777777" w:rsidTr="00012030">
              <w:trPr>
                <w:trHeight w:val="290"/>
              </w:trPr>
              <w:tc>
                <w:tcPr>
                  <w:tcW w:w="177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nil"/>
                  </w:tcBorders>
                  <w:shd w:val="solid" w:color="FFFFFF" w:fill="auto"/>
                </w:tcPr>
                <w:p w14:paraId="7F7B8FB8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Risers_G40m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2457CE8" w14:textId="77777777" w:rsidR="00686A77" w:rsidRDefault="00686A77" w:rsidP="00686A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 xml:space="preserve">48,497 </w:t>
                  </w:r>
                </w:p>
              </w:tc>
            </w:tr>
          </w:tbl>
          <w:p w14:paraId="63CA1181" w14:textId="77777777" w:rsidR="00686A77" w:rsidRDefault="00686A77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</w:p>
          <w:p w14:paraId="5A0E6AFD" w14:textId="77777777" w:rsidR="00374CB2" w:rsidRDefault="00374CB2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lastRenderedPageBreak/>
              <w:t xml:space="preserve">Please confirm that you will carry out a review of MOBs Riser unit costs using RRP data. </w:t>
            </w:r>
          </w:p>
          <w:p w14:paraId="762B3FAD" w14:textId="77777777" w:rsidR="00012030" w:rsidRDefault="00012030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</w:p>
          <w:p w14:paraId="7436D2E5" w14:textId="77777777" w:rsidR="00374CB2" w:rsidRPr="00374CB2" w:rsidRDefault="00012030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b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iCs/>
                <w:sz w:val="20"/>
                <w:szCs w:val="20"/>
              </w:rPr>
              <w:t>2</w:t>
            </w:r>
            <w:r w:rsidR="006A715C">
              <w:rPr>
                <w:rFonts w:ascii="Verdana" w:hAnsi="Verdana"/>
                <w:b/>
                <w:iCs/>
                <w:sz w:val="20"/>
                <w:szCs w:val="20"/>
              </w:rPr>
              <w:t xml:space="preserve">. </w:t>
            </w:r>
            <w:r w:rsidR="00374CB2" w:rsidRPr="00374CB2">
              <w:rPr>
                <w:rFonts w:ascii="Verdana" w:hAnsi="Verdana"/>
                <w:b/>
                <w:iCs/>
                <w:sz w:val="20"/>
                <w:szCs w:val="20"/>
              </w:rPr>
              <w:t>NGN Storage data</w:t>
            </w:r>
          </w:p>
          <w:p w14:paraId="76458F8D" w14:textId="77777777" w:rsidR="00374CB2" w:rsidRDefault="00374CB2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The volume of storage provided by NGN’s Storage assets appears incorrect for all years, 2013/14 to 2025/26.  In particular, NGN’s RRPs make clear that it has no storage assets in use from 2018/19 onwards, therefore the figure should be zero from that year onwards.  The DD contained (larger) errors in respect of NGN’s Storage assets, </w:t>
            </w:r>
            <w:r w:rsidR="004313E4">
              <w:rPr>
                <w:rFonts w:ascii="Verdana" w:hAnsi="Verdana"/>
                <w:iCs/>
                <w:sz w:val="20"/>
                <w:szCs w:val="20"/>
              </w:rPr>
              <w:t xml:space="preserve">that 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were corrected by the time that GDNs checked the models in the Autumn, but </w:t>
            </w:r>
            <w:r w:rsidR="004313E4">
              <w:rPr>
                <w:rFonts w:ascii="Verdana" w:hAnsi="Verdana"/>
                <w:iCs/>
                <w:sz w:val="20"/>
                <w:szCs w:val="20"/>
              </w:rPr>
              <w:t xml:space="preserve">which 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have reappeared.   </w:t>
            </w:r>
          </w:p>
          <w:p w14:paraId="65A117DF" w14:textId="77777777" w:rsidR="00374CB2" w:rsidRDefault="00374CB2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We suggest overwriting the FD values with those used in the models checked by GDNs in the Autumn. </w:t>
            </w:r>
          </w:p>
          <w:p w14:paraId="701DA565" w14:textId="77777777" w:rsidR="00B73EA6" w:rsidRDefault="00B73EA6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Please confirm whether you agree our proposed correction.   </w:t>
            </w:r>
          </w:p>
          <w:p w14:paraId="3C5EF64C" w14:textId="77777777" w:rsidR="00BA0306" w:rsidRPr="00EA1559" w:rsidRDefault="00BA0306" w:rsidP="0000155F">
            <w:pPr>
              <w:pStyle w:val="xmsobodytext"/>
              <w:shd w:val="clear" w:color="auto" w:fill="FFFFFF"/>
              <w:spacing w:before="0" w:beforeAutospacing="0" w:after="0" w:afterAutospacing="0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EA1559" w:rsidRPr="00EA1559" w14:paraId="08DA4FF8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1860D9DE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2C6FB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Confidential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860E7" w14:textId="77777777" w:rsidR="00EA1559" w:rsidRPr="00EA1559" w:rsidRDefault="00206CA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No</w:t>
            </w:r>
          </w:p>
        </w:tc>
      </w:tr>
      <w:tr w:rsidR="00EA1559" w:rsidRPr="00EA1559" w14:paraId="0BCD83B5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A3A8C99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0A990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FDQ raised by 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5ED4E" w14:textId="77777777" w:rsidR="00EA1559" w:rsidRPr="00EA1559" w:rsidRDefault="00B73EA6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Jeremy Thomson</w:t>
            </w:r>
          </w:p>
        </w:tc>
      </w:tr>
      <w:tr w:rsidR="00EA1559" w:rsidRPr="00EA1559" w14:paraId="541C4A75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66427D56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F2A21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Date Sent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FFE51" w14:textId="77777777" w:rsidR="00EA1559" w:rsidRPr="00EA1559" w:rsidRDefault="0000155F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15/12/2020</w:t>
            </w:r>
          </w:p>
        </w:tc>
      </w:tr>
      <w:tr w:rsidR="00EA1559" w:rsidRPr="00EA1559" w14:paraId="114858A4" w14:textId="77777777" w:rsidTr="00281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5C614CF5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246C5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Response Due Date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1BF64" w14:textId="77777777" w:rsidR="00EA1559" w:rsidRPr="00EA1559" w:rsidRDefault="0000155F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18/12/2020</w:t>
            </w:r>
          </w:p>
        </w:tc>
      </w:tr>
      <w:tr w:rsidR="00EA1559" w:rsidRPr="00EA1559" w14:paraId="132AF07F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78"/>
        </w:trPr>
        <w:tc>
          <w:tcPr>
            <w:tcW w:w="236" w:type="dxa"/>
            <w:gridSpan w:val="2"/>
            <w:vAlign w:val="center"/>
            <w:hideMark/>
          </w:tcPr>
          <w:p w14:paraId="1F7D420E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BC896" w14:textId="77777777" w:rsidR="00EA1559" w:rsidRPr="00281066" w:rsidRDefault="00EA1559">
            <w:pPr>
              <w:pStyle w:val="NormalWeb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28106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Attachments: </w:t>
            </w:r>
          </w:p>
        </w:tc>
      </w:tr>
      <w:tr w:rsidR="00EA1559" w:rsidRPr="00EA1559" w14:paraId="381C114D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26"/>
        </w:trPr>
        <w:tc>
          <w:tcPr>
            <w:tcW w:w="236" w:type="dxa"/>
            <w:gridSpan w:val="2"/>
            <w:vAlign w:val="center"/>
            <w:hideMark/>
          </w:tcPr>
          <w:p w14:paraId="7158EEFB" w14:textId="77777777" w:rsidR="00EA1559" w:rsidRPr="00EA1559" w:rsidRDefault="00EA1559">
            <w:pPr>
              <w:rPr>
                <w:rFonts w:ascii="Calibri" w:hAnsi="Calibri" w:cs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C9650" w14:textId="77777777" w:rsidR="00EA1559" w:rsidRDefault="00EA1559">
            <w:pPr>
              <w:rPr>
                <w:rFonts w:ascii="Arial" w:hAnsi="Arial" w:cs="Arial"/>
                <w:szCs w:val="20"/>
              </w:rPr>
            </w:pPr>
            <w:r w:rsidRPr="00EA1559">
              <w:rPr>
                <w:rFonts w:ascii="Arial" w:hAnsi="Arial" w:cs="Arial"/>
                <w:b/>
                <w:bCs/>
                <w:szCs w:val="20"/>
              </w:rPr>
              <w:t xml:space="preserve">Response to Cadent: </w:t>
            </w:r>
          </w:p>
          <w:p w14:paraId="623E46AA" w14:textId="12539A78" w:rsidR="000D2920" w:rsidRPr="000F0FAA" w:rsidRDefault="000D2920" w:rsidP="000D2920">
            <w:pPr>
              <w:pStyle w:val="ListParagraph"/>
              <w:numPr>
                <w:ilvl w:val="0"/>
                <w:numId w:val="7"/>
              </w:numPr>
              <w:rPr>
                <w:rFonts w:cs="Arial"/>
                <w:szCs w:val="20"/>
              </w:rPr>
            </w:pPr>
            <w:r w:rsidRPr="000F0FAA">
              <w:rPr>
                <w:rFonts w:cs="Arial"/>
                <w:szCs w:val="20"/>
              </w:rPr>
              <w:t xml:space="preserve">Part 1: </w:t>
            </w:r>
            <w:r w:rsidR="00D8713F" w:rsidRPr="000F0FAA">
              <w:rPr>
                <w:rFonts w:cs="Arial"/>
                <w:szCs w:val="20"/>
              </w:rPr>
              <w:t>This is not a clear computational error and require detailed review in early January for us to reach a determination. We will confirm the determination and any subsequent action, in a secondary reply to this FDQ Part 1 during w/c 4 January.</w:t>
            </w:r>
          </w:p>
          <w:p w14:paraId="25AD9C9C" w14:textId="77777777" w:rsidR="000D2920" w:rsidRPr="000F0FAA" w:rsidRDefault="000D2920" w:rsidP="000D2920">
            <w:pPr>
              <w:pStyle w:val="ListParagraph"/>
              <w:rPr>
                <w:rFonts w:cs="Arial"/>
                <w:szCs w:val="20"/>
              </w:rPr>
            </w:pPr>
          </w:p>
          <w:p w14:paraId="7BD511E2" w14:textId="5A82B868" w:rsidR="000D2920" w:rsidRPr="000D2920" w:rsidRDefault="000D2920" w:rsidP="000D292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 w:rsidRPr="000F0FAA">
              <w:rPr>
                <w:rFonts w:cs="Arial"/>
                <w:szCs w:val="20"/>
              </w:rPr>
              <w:t>Part 2: Thanks for pointing this out. We agree this is an error, which we will correct. We will collate all confirmed technical errors to conduct a final error corrected FD model run in January.</w:t>
            </w:r>
          </w:p>
        </w:tc>
      </w:tr>
    </w:tbl>
    <w:p w14:paraId="27D076BD" w14:textId="77777777" w:rsidR="00945C7C" w:rsidRPr="00EA1559" w:rsidRDefault="00945C7C" w:rsidP="008A5062"/>
    <w:sectPr w:rsidR="00945C7C" w:rsidRPr="00EA1559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1FA92" w14:textId="77777777" w:rsidR="009923A6" w:rsidRDefault="009923A6" w:rsidP="00526623">
      <w:pPr>
        <w:spacing w:after="0" w:line="240" w:lineRule="auto"/>
      </w:pPr>
      <w:r>
        <w:separator/>
      </w:r>
    </w:p>
  </w:endnote>
  <w:endnote w:type="continuationSeparator" w:id="0">
    <w:p w14:paraId="33E5F046" w14:textId="77777777" w:rsidR="009923A6" w:rsidRDefault="009923A6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BF9C33" w14:textId="77777777" w:rsidR="009923A6" w:rsidRDefault="009923A6" w:rsidP="00526623">
      <w:pPr>
        <w:spacing w:after="0" w:line="240" w:lineRule="auto"/>
      </w:pPr>
      <w:r>
        <w:separator/>
      </w:r>
    </w:p>
  </w:footnote>
  <w:footnote w:type="continuationSeparator" w:id="0">
    <w:p w14:paraId="3E992CED" w14:textId="77777777" w:rsidR="009923A6" w:rsidRDefault="009923A6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C7E98"/>
    <w:multiLevelType w:val="hybridMultilevel"/>
    <w:tmpl w:val="6972B78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0E5F28"/>
    <w:multiLevelType w:val="hybridMultilevel"/>
    <w:tmpl w:val="88081018"/>
    <w:lvl w:ilvl="0" w:tplc="F04C416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155F"/>
    <w:rsid w:val="00007AB6"/>
    <w:rsid w:val="00012030"/>
    <w:rsid w:val="00041711"/>
    <w:rsid w:val="000436C2"/>
    <w:rsid w:val="000473D3"/>
    <w:rsid w:val="00050C54"/>
    <w:rsid w:val="000B0536"/>
    <w:rsid w:val="000D2920"/>
    <w:rsid w:val="000E5B6D"/>
    <w:rsid w:val="000F0FAA"/>
    <w:rsid w:val="0010126C"/>
    <w:rsid w:val="00107296"/>
    <w:rsid w:val="00133BD9"/>
    <w:rsid w:val="00133CFC"/>
    <w:rsid w:val="00172809"/>
    <w:rsid w:val="001C0AAD"/>
    <w:rsid w:val="001D0151"/>
    <w:rsid w:val="00206CA9"/>
    <w:rsid w:val="00206D5F"/>
    <w:rsid w:val="002707B1"/>
    <w:rsid w:val="00281066"/>
    <w:rsid w:val="00291D51"/>
    <w:rsid w:val="00293724"/>
    <w:rsid w:val="002A4AD8"/>
    <w:rsid w:val="002B4955"/>
    <w:rsid w:val="002E3EFB"/>
    <w:rsid w:val="00300FB4"/>
    <w:rsid w:val="003043A4"/>
    <w:rsid w:val="00342E6F"/>
    <w:rsid w:val="003452B0"/>
    <w:rsid w:val="00360385"/>
    <w:rsid w:val="00374CB2"/>
    <w:rsid w:val="00385085"/>
    <w:rsid w:val="003B3576"/>
    <w:rsid w:val="003F465C"/>
    <w:rsid w:val="00400822"/>
    <w:rsid w:val="004313E4"/>
    <w:rsid w:val="0047108D"/>
    <w:rsid w:val="004C4D2B"/>
    <w:rsid w:val="004D0311"/>
    <w:rsid w:val="004D1F2F"/>
    <w:rsid w:val="00501151"/>
    <w:rsid w:val="00503895"/>
    <w:rsid w:val="00526623"/>
    <w:rsid w:val="00526A8E"/>
    <w:rsid w:val="00534E92"/>
    <w:rsid w:val="00536220"/>
    <w:rsid w:val="00536F40"/>
    <w:rsid w:val="00584F30"/>
    <w:rsid w:val="00586A8E"/>
    <w:rsid w:val="00590317"/>
    <w:rsid w:val="005927B6"/>
    <w:rsid w:val="005A506C"/>
    <w:rsid w:val="005A74DE"/>
    <w:rsid w:val="005E2894"/>
    <w:rsid w:val="0060723D"/>
    <w:rsid w:val="006224F4"/>
    <w:rsid w:val="006279ED"/>
    <w:rsid w:val="006802FF"/>
    <w:rsid w:val="006847DA"/>
    <w:rsid w:val="00686A77"/>
    <w:rsid w:val="006A715C"/>
    <w:rsid w:val="006B26DE"/>
    <w:rsid w:val="006E4411"/>
    <w:rsid w:val="006F0656"/>
    <w:rsid w:val="00716508"/>
    <w:rsid w:val="00721734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9222C6"/>
    <w:rsid w:val="00924DEC"/>
    <w:rsid w:val="00935000"/>
    <w:rsid w:val="00937BF5"/>
    <w:rsid w:val="00941E89"/>
    <w:rsid w:val="00942721"/>
    <w:rsid w:val="00945C7C"/>
    <w:rsid w:val="00946125"/>
    <w:rsid w:val="009762C9"/>
    <w:rsid w:val="009845A8"/>
    <w:rsid w:val="00985B98"/>
    <w:rsid w:val="009923A6"/>
    <w:rsid w:val="009B26A0"/>
    <w:rsid w:val="009B7577"/>
    <w:rsid w:val="009D4F56"/>
    <w:rsid w:val="00A054D1"/>
    <w:rsid w:val="00A0584E"/>
    <w:rsid w:val="00A06191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54E67"/>
    <w:rsid w:val="00B73EA6"/>
    <w:rsid w:val="00B82400"/>
    <w:rsid w:val="00B86DDF"/>
    <w:rsid w:val="00BA0306"/>
    <w:rsid w:val="00BA4154"/>
    <w:rsid w:val="00BA5A79"/>
    <w:rsid w:val="00BB4793"/>
    <w:rsid w:val="00BB56A8"/>
    <w:rsid w:val="00BB682C"/>
    <w:rsid w:val="00BD48A8"/>
    <w:rsid w:val="00C10D99"/>
    <w:rsid w:val="00C57345"/>
    <w:rsid w:val="00C77097"/>
    <w:rsid w:val="00C814D0"/>
    <w:rsid w:val="00C81B4C"/>
    <w:rsid w:val="00CA4297"/>
    <w:rsid w:val="00CC4056"/>
    <w:rsid w:val="00CC7214"/>
    <w:rsid w:val="00CF22EF"/>
    <w:rsid w:val="00D1736D"/>
    <w:rsid w:val="00D50036"/>
    <w:rsid w:val="00D53135"/>
    <w:rsid w:val="00D81399"/>
    <w:rsid w:val="00D815E6"/>
    <w:rsid w:val="00D8713F"/>
    <w:rsid w:val="00DA4D94"/>
    <w:rsid w:val="00DA67E5"/>
    <w:rsid w:val="00E040EA"/>
    <w:rsid w:val="00E11C0E"/>
    <w:rsid w:val="00E15A6C"/>
    <w:rsid w:val="00E346B6"/>
    <w:rsid w:val="00E525E0"/>
    <w:rsid w:val="00E55A7F"/>
    <w:rsid w:val="00E566F5"/>
    <w:rsid w:val="00E94FDE"/>
    <w:rsid w:val="00EA1559"/>
    <w:rsid w:val="00EA5A86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5577B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E8B739C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559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paragraph" w:customStyle="1" w:styleId="xmsobodytext">
    <w:name w:val="x_msobodytext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msonormal">
    <w:name w:val="x_msonormal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Organisation xmlns="631298fc-6a88-4548-b7d9-3b164918c4a3">Electricity North West</Organisation>
    <Publication_x0020_Date_x003a_ xmlns="631298fc-6a88-4548-b7d9-3b164918c4a3">2015-07-27T23:00:00+00:00</Publication_x0020_Date_x003a_>
    <_x003a__x003a_ xmlns="631298fc-6a88-4548-b7d9-3b164918c4a3">-Main Document</_x003a__x003a_>
    <_x003a_ xmlns="631298fc-6a88-4548-b7d9-3b164918c4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Props1.xml><?xml version="1.0" encoding="utf-8"?>
<ds:datastoreItem xmlns:ds="http://schemas.openxmlformats.org/officeDocument/2006/customXml" ds:itemID="{18023694-1462-465D-9291-CB2277B816C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sharepoint/v3/fields"/>
    <ds:schemaRef ds:uri="631298fc-6a88-4548-b7d9-3b164918c4a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DE2D7B1-18AB-43DD-A3D6-1CCF86893F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4885D4D-2E0E-4B0F-BEB3-016D3EAD5842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Daniel Kyei</cp:lastModifiedBy>
  <cp:revision>2</cp:revision>
  <dcterms:created xsi:type="dcterms:W3CDTF">2020-12-23T13:43:00Z</dcterms:created>
  <dcterms:modified xsi:type="dcterms:W3CDTF">2020-12-23T13:43:00Z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f6ca1dd2-719a-4b85-a410-f2067eacc0e5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ClsUserRVM">
    <vt:lpwstr>[]</vt:lpwstr>
  </property>
</Properties>
</file>