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4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
        <w:gridCol w:w="20"/>
        <w:gridCol w:w="2707"/>
        <w:gridCol w:w="7230"/>
        <w:gridCol w:w="1234"/>
      </w:tblGrid>
      <w:tr w:rsidR="00133BD9" w:rsidRPr="00876240" w14:paraId="61F9F1D2" w14:textId="77777777" w:rsidTr="00FD5CD1">
        <w:trPr>
          <w:trHeight w:val="315"/>
        </w:trPr>
        <w:tc>
          <w:tcPr>
            <w:tcW w:w="11407" w:type="dxa"/>
            <w:gridSpan w:val="5"/>
            <w:tcBorders>
              <w:top w:val="nil"/>
              <w:left w:val="nil"/>
              <w:bottom w:val="nil"/>
              <w:right w:val="nil"/>
            </w:tcBorders>
            <w:shd w:val="clear" w:color="auto" w:fill="auto"/>
            <w:noWrap/>
            <w:vAlign w:val="center"/>
            <w:hideMark/>
          </w:tcPr>
          <w:p w14:paraId="69A10998"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5343327C" w14:textId="77777777" w:rsidTr="00FD5CD1">
        <w:trPr>
          <w:gridBefore w:val="1"/>
          <w:gridAfter w:val="1"/>
          <w:wBefore w:w="216" w:type="dxa"/>
          <w:wAfter w:w="1234" w:type="dxa"/>
          <w:trHeight w:val="315"/>
        </w:trPr>
        <w:tc>
          <w:tcPr>
            <w:tcW w:w="9957" w:type="dxa"/>
            <w:gridSpan w:val="3"/>
            <w:tcBorders>
              <w:top w:val="nil"/>
              <w:left w:val="nil"/>
              <w:right w:val="nil"/>
            </w:tcBorders>
            <w:shd w:val="clear" w:color="auto" w:fill="auto"/>
            <w:noWrap/>
            <w:vAlign w:val="center"/>
            <w:hideMark/>
          </w:tcPr>
          <w:p w14:paraId="4CBEEAD1"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3DAB8809"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614"/>
        </w:trPr>
        <w:tc>
          <w:tcPr>
            <w:tcW w:w="236" w:type="dxa"/>
            <w:gridSpan w:val="2"/>
            <w:vAlign w:val="center"/>
            <w:hideMark/>
          </w:tcPr>
          <w:p w14:paraId="53F4A1BA"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ED3EE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91FD34" w14:textId="2EF668E8"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w:t>
            </w:r>
            <w:r w:rsidR="003440E1">
              <w:rPr>
                <w:rFonts w:ascii="Arial" w:hAnsi="Arial" w:cs="Arial"/>
                <w:sz w:val="20"/>
                <w:szCs w:val="20"/>
                <w:lang w:eastAsia="en-US"/>
              </w:rPr>
              <w:t>25</w:t>
            </w:r>
          </w:p>
        </w:tc>
      </w:tr>
      <w:tr w:rsidR="00EA1559" w:rsidRPr="00EA1559" w14:paraId="248C3132"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tcPr>
          <w:p w14:paraId="788E9A6E"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C77403"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BA48EB"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r w:rsidR="00012030">
              <w:rPr>
                <w:rFonts w:ascii="Arial" w:hAnsi="Arial" w:cs="Arial"/>
                <w:sz w:val="20"/>
                <w:szCs w:val="20"/>
                <w:lang w:eastAsia="en-US"/>
              </w:rPr>
              <w:t>– Technical Error</w:t>
            </w:r>
          </w:p>
        </w:tc>
      </w:tr>
      <w:tr w:rsidR="00EA1559" w:rsidRPr="00EA1559" w14:paraId="6E59B94C"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hideMark/>
          </w:tcPr>
          <w:p w14:paraId="31480C21"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40613F9"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72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683903F5"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67B8C3FC"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tcBorders>
              <w:right w:val="single" w:sz="4" w:space="0" w:color="auto"/>
            </w:tcBorders>
            <w:vAlign w:val="center"/>
            <w:hideMark/>
          </w:tcPr>
          <w:p w14:paraId="03269D03" w14:textId="77777777" w:rsidR="00EA1559" w:rsidRPr="00EA1559" w:rsidRDefault="00EA1559">
            <w:pPr>
              <w:rPr>
                <w:rFonts w:ascii="Calibri" w:hAnsi="Calibri"/>
                <w:sz w:val="22"/>
              </w:rPr>
            </w:pPr>
            <w:r w:rsidRPr="00EA1559">
              <w:t> </w:t>
            </w:r>
          </w:p>
        </w:tc>
        <w:tc>
          <w:tcPr>
            <w:tcW w:w="270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B622E1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7230" w:type="dxa"/>
            <w:tcBorders>
              <w:top w:val="single" w:sz="4" w:space="0" w:color="auto"/>
              <w:left w:val="nil"/>
              <w:right w:val="single" w:sz="4" w:space="0" w:color="auto"/>
            </w:tcBorders>
            <w:tcMar>
              <w:top w:w="0" w:type="dxa"/>
              <w:left w:w="108" w:type="dxa"/>
              <w:bottom w:w="0" w:type="dxa"/>
              <w:right w:w="108" w:type="dxa"/>
            </w:tcMar>
            <w:vAlign w:val="center"/>
          </w:tcPr>
          <w:p w14:paraId="008E21F1" w14:textId="06DBB7FD" w:rsidR="00EA1559" w:rsidRPr="00EA1559" w:rsidRDefault="00590317" w:rsidP="00FD5CD1">
            <w:pPr>
              <w:pStyle w:val="NormalWeb"/>
              <w:spacing w:after="200" w:afterAutospacing="0" w:line="276" w:lineRule="auto"/>
              <w:ind w:right="1255"/>
              <w:rPr>
                <w:rFonts w:ascii="Verdana" w:hAnsi="Verdana"/>
                <w:sz w:val="20"/>
                <w:szCs w:val="20"/>
                <w:lang w:eastAsia="en-US"/>
              </w:rPr>
            </w:pPr>
            <w:r>
              <w:rPr>
                <w:rFonts w:ascii="Verdana" w:hAnsi="Verdana"/>
                <w:sz w:val="20"/>
                <w:szCs w:val="20"/>
                <w:lang w:eastAsia="en-US"/>
              </w:rPr>
              <w:t>MEAV calculation</w:t>
            </w:r>
            <w:r w:rsidR="00FD5CD1">
              <w:rPr>
                <w:rFonts w:ascii="Verdana" w:hAnsi="Verdana"/>
                <w:sz w:val="20"/>
                <w:szCs w:val="20"/>
                <w:lang w:eastAsia="en-US"/>
              </w:rPr>
              <w:t xml:space="preserve"> - MOBs</w:t>
            </w:r>
          </w:p>
        </w:tc>
      </w:tr>
      <w:tr w:rsidR="00FD5CD1" w:rsidRPr="00EA1559" w14:paraId="1A19AA02"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tcBorders>
              <w:right w:val="single" w:sz="4" w:space="0" w:color="auto"/>
            </w:tcBorders>
            <w:vAlign w:val="center"/>
          </w:tcPr>
          <w:p w14:paraId="6904BB0E" w14:textId="77777777" w:rsidR="00FD5CD1" w:rsidRPr="00EA1559" w:rsidRDefault="00FD5CD1" w:rsidP="00FD5CD1"/>
        </w:tc>
        <w:tc>
          <w:tcPr>
            <w:tcW w:w="9937" w:type="dxa"/>
            <w:gridSpan w:val="2"/>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48B9681" w14:textId="155C99C0" w:rsidR="00FD5CD1" w:rsidRDefault="00FD5CD1" w:rsidP="00FD5CD1">
            <w:pPr>
              <w:pStyle w:val="NormalWeb"/>
              <w:spacing w:after="200" w:afterAutospacing="0" w:line="276" w:lineRule="auto"/>
              <w:rPr>
                <w:rFonts w:ascii="Verdana" w:hAnsi="Verdana"/>
                <w:sz w:val="20"/>
                <w:szCs w:val="20"/>
                <w:lang w:eastAsia="en-US"/>
              </w:rPr>
            </w:pPr>
            <w:r w:rsidRPr="00EA1559">
              <w:t> </w:t>
            </w:r>
            <w:r w:rsidRPr="00EA1559">
              <w:rPr>
                <w:rFonts w:ascii="Arial" w:hAnsi="Arial" w:cs="Arial"/>
                <w:b/>
                <w:bCs/>
                <w:sz w:val="20"/>
                <w:szCs w:val="20"/>
                <w:lang w:eastAsia="en-US"/>
              </w:rPr>
              <w:t>Question:</w:t>
            </w:r>
          </w:p>
        </w:tc>
      </w:tr>
      <w:tr w:rsidR="00FD5CD1" w:rsidRPr="00EA1559" w14:paraId="221B9CF3"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tcBorders>
              <w:right w:val="single" w:sz="4" w:space="0" w:color="auto"/>
            </w:tcBorders>
            <w:vAlign w:val="center"/>
          </w:tcPr>
          <w:p w14:paraId="3643858C" w14:textId="413B1719" w:rsidR="00FD5CD1" w:rsidRPr="00EA1559" w:rsidRDefault="00FD5CD1" w:rsidP="00FD5CD1">
            <w:pPr>
              <w:rPr>
                <w:rFonts w:ascii="Calibri" w:hAnsi="Calibri"/>
                <w:sz w:val="22"/>
              </w:rPr>
            </w:pPr>
          </w:p>
        </w:tc>
        <w:tc>
          <w:tcPr>
            <w:tcW w:w="9937"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12D6341F" w14:textId="73E3E7CE" w:rsidR="00FD5CD1" w:rsidRDefault="00FD5CD1" w:rsidP="00FD5CD1">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Thank you for the response to FDQ9</w:t>
            </w:r>
            <w:r w:rsidR="00936521">
              <w:rPr>
                <w:rFonts w:ascii="Verdana" w:hAnsi="Verdana"/>
                <w:sz w:val="20"/>
                <w:szCs w:val="20"/>
                <w:lang w:eastAsia="en-US"/>
              </w:rPr>
              <w:t>,</w:t>
            </w:r>
            <w:r>
              <w:rPr>
                <w:rFonts w:ascii="Verdana" w:hAnsi="Verdana"/>
                <w:sz w:val="20"/>
                <w:szCs w:val="20"/>
                <w:lang w:eastAsia="en-US"/>
              </w:rPr>
              <w:t xml:space="preserve"> explaining the derivation of the FD </w:t>
            </w:r>
            <w:r w:rsidR="00936521">
              <w:rPr>
                <w:rFonts w:ascii="Verdana" w:hAnsi="Verdana"/>
                <w:sz w:val="20"/>
                <w:szCs w:val="20"/>
                <w:lang w:eastAsia="en-US"/>
              </w:rPr>
              <w:t xml:space="preserve">Riser </w:t>
            </w:r>
            <w:r>
              <w:rPr>
                <w:rFonts w:ascii="Verdana" w:hAnsi="Verdana"/>
                <w:sz w:val="20"/>
                <w:szCs w:val="20"/>
                <w:lang w:eastAsia="en-US"/>
              </w:rPr>
              <w:t>unit costs and the follow-up question FDQ21, where you provided the working file.</w:t>
            </w:r>
            <w:r w:rsidR="00DD4ADD">
              <w:rPr>
                <w:rFonts w:ascii="Verdana" w:hAnsi="Verdana"/>
                <w:sz w:val="20"/>
                <w:szCs w:val="20"/>
                <w:lang w:eastAsia="en-US"/>
              </w:rPr>
              <w:t xml:space="preserve">  </w:t>
            </w:r>
            <w:r>
              <w:rPr>
                <w:rFonts w:ascii="Verdana" w:hAnsi="Verdana"/>
                <w:sz w:val="20"/>
                <w:szCs w:val="20"/>
                <w:lang w:eastAsia="en-US"/>
              </w:rPr>
              <w:t xml:space="preserve">We have considered the information and can see that the derived figures are sourced from the detail of </w:t>
            </w:r>
            <w:r w:rsidR="00940C18">
              <w:rPr>
                <w:rFonts w:ascii="Verdana" w:hAnsi="Verdana"/>
                <w:sz w:val="20"/>
                <w:szCs w:val="20"/>
                <w:lang w:eastAsia="en-US"/>
              </w:rPr>
              <w:t xml:space="preserve">Cadent and WWU data, sourced from </w:t>
            </w:r>
            <w:r>
              <w:rPr>
                <w:rFonts w:ascii="Verdana" w:hAnsi="Verdana"/>
                <w:sz w:val="20"/>
                <w:szCs w:val="20"/>
                <w:lang w:eastAsia="en-US"/>
              </w:rPr>
              <w:t>our BPDT and the joint work by GDNs provided on 2</w:t>
            </w:r>
            <w:r w:rsidRPr="000A17DC">
              <w:rPr>
                <w:rFonts w:ascii="Verdana" w:hAnsi="Verdana"/>
                <w:sz w:val="20"/>
                <w:szCs w:val="20"/>
                <w:vertAlign w:val="superscript"/>
                <w:lang w:eastAsia="en-US"/>
              </w:rPr>
              <w:t>nd</w:t>
            </w:r>
            <w:r>
              <w:rPr>
                <w:rFonts w:ascii="Verdana" w:hAnsi="Verdana"/>
                <w:sz w:val="20"/>
                <w:szCs w:val="20"/>
                <w:lang w:eastAsia="en-US"/>
              </w:rPr>
              <w:t xml:space="preserve"> October.</w:t>
            </w:r>
          </w:p>
          <w:p w14:paraId="40585373" w14:textId="2A2D0998" w:rsidR="00FD5CD1" w:rsidRDefault="00FD5CD1" w:rsidP="00FD5CD1">
            <w:pPr>
              <w:pStyle w:val="xmsobodytext"/>
              <w:shd w:val="clear" w:color="auto" w:fill="FFFFFF"/>
              <w:spacing w:before="0" w:beforeAutospacing="0" w:after="0" w:afterAutospacing="0"/>
              <w:rPr>
                <w:rFonts w:ascii="Verdana" w:hAnsi="Verdana"/>
                <w:sz w:val="20"/>
                <w:szCs w:val="20"/>
                <w:lang w:eastAsia="en-US"/>
              </w:rPr>
            </w:pPr>
          </w:p>
          <w:p w14:paraId="79011770" w14:textId="0E15B75F" w:rsidR="00936521" w:rsidRDefault="006515EB" w:rsidP="00FD5CD1">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However, we still consider that </w:t>
            </w:r>
            <w:r w:rsidR="00940C18">
              <w:rPr>
                <w:rFonts w:ascii="Verdana" w:hAnsi="Verdana"/>
                <w:sz w:val="20"/>
                <w:szCs w:val="20"/>
                <w:lang w:eastAsia="en-US"/>
              </w:rPr>
              <w:t xml:space="preserve">the result is not plausible and contrary to engineering logic and therefore is an error. </w:t>
            </w:r>
            <w:r>
              <w:rPr>
                <w:rFonts w:ascii="Verdana" w:hAnsi="Verdana"/>
                <w:sz w:val="20"/>
                <w:szCs w:val="20"/>
                <w:lang w:eastAsia="en-US"/>
              </w:rPr>
              <w:t xml:space="preserve">Risers </w:t>
            </w:r>
            <w:r w:rsidR="00936521">
              <w:rPr>
                <w:rFonts w:ascii="Verdana" w:hAnsi="Verdana"/>
                <w:sz w:val="20"/>
                <w:szCs w:val="20"/>
                <w:lang w:eastAsia="en-US"/>
              </w:rPr>
              <w:t>&gt;</w:t>
            </w:r>
            <w:r>
              <w:rPr>
                <w:rFonts w:ascii="Verdana" w:hAnsi="Verdana"/>
                <w:sz w:val="20"/>
                <w:szCs w:val="20"/>
                <w:lang w:eastAsia="en-US"/>
              </w:rPr>
              <w:t xml:space="preserve">40m cannot reasonably have a replacement cost </w:t>
            </w:r>
            <w:r w:rsidR="00936521">
              <w:rPr>
                <w:rFonts w:ascii="Verdana" w:hAnsi="Verdana"/>
                <w:sz w:val="20"/>
                <w:szCs w:val="20"/>
                <w:lang w:eastAsia="en-US"/>
              </w:rPr>
              <w:t xml:space="preserve">less than </w:t>
            </w:r>
            <w:r>
              <w:rPr>
                <w:rFonts w:ascii="Verdana" w:hAnsi="Verdana"/>
                <w:sz w:val="20"/>
                <w:szCs w:val="20"/>
                <w:lang w:eastAsia="en-US"/>
              </w:rPr>
              <w:t xml:space="preserve">those of lower Risers. </w:t>
            </w:r>
          </w:p>
          <w:p w14:paraId="56A114F1" w14:textId="77777777" w:rsidR="00936521" w:rsidRDefault="00936521" w:rsidP="00FD5CD1">
            <w:pPr>
              <w:pStyle w:val="xmsobodytext"/>
              <w:shd w:val="clear" w:color="auto" w:fill="FFFFFF"/>
              <w:spacing w:before="0" w:beforeAutospacing="0" w:after="0" w:afterAutospacing="0"/>
              <w:rPr>
                <w:rFonts w:ascii="Verdana" w:hAnsi="Verdana"/>
                <w:sz w:val="20"/>
                <w:szCs w:val="20"/>
                <w:lang w:eastAsia="en-US"/>
              </w:rPr>
            </w:pPr>
          </w:p>
          <w:p w14:paraId="1B591850" w14:textId="77777777" w:rsidR="00C963A1" w:rsidRDefault="00936521" w:rsidP="00936521">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This incorrect answer has arisen largely because of </w:t>
            </w:r>
            <w:r w:rsidR="00C963A1" w:rsidRPr="00C963A1">
              <w:rPr>
                <w:rFonts w:ascii="Verdana" w:hAnsi="Verdana"/>
                <w:color w:val="FF0000"/>
                <w:sz w:val="20"/>
                <w:szCs w:val="20"/>
                <w:lang w:eastAsia="en-US"/>
              </w:rPr>
              <w:t>two</w:t>
            </w:r>
            <w:r w:rsidR="00C963A1">
              <w:rPr>
                <w:rFonts w:ascii="Verdana" w:hAnsi="Verdana"/>
                <w:sz w:val="20"/>
                <w:szCs w:val="20"/>
                <w:lang w:eastAsia="en-US"/>
              </w:rPr>
              <w:t xml:space="preserve"> </w:t>
            </w:r>
            <w:r>
              <w:rPr>
                <w:rFonts w:ascii="Verdana" w:hAnsi="Verdana"/>
                <w:sz w:val="20"/>
                <w:szCs w:val="20"/>
                <w:lang w:eastAsia="en-US"/>
              </w:rPr>
              <w:t xml:space="preserve">assumptions Cadent made when completing its BPDTs for Riser replacement. </w:t>
            </w:r>
          </w:p>
          <w:p w14:paraId="44B18A22" w14:textId="77777777" w:rsidR="00C963A1" w:rsidRDefault="00C963A1" w:rsidP="00936521">
            <w:pPr>
              <w:pStyle w:val="xmsobodytext"/>
              <w:shd w:val="clear" w:color="auto" w:fill="FFFFFF"/>
              <w:spacing w:before="0" w:beforeAutospacing="0" w:after="0" w:afterAutospacing="0"/>
              <w:rPr>
                <w:rFonts w:ascii="Verdana" w:hAnsi="Verdana"/>
                <w:sz w:val="20"/>
                <w:szCs w:val="20"/>
                <w:lang w:eastAsia="en-US"/>
              </w:rPr>
            </w:pPr>
          </w:p>
          <w:p w14:paraId="6A089E8A" w14:textId="093E95BC" w:rsidR="00940C18" w:rsidRDefault="00C963A1" w:rsidP="00C963A1">
            <w:pPr>
              <w:pStyle w:val="xmsobodytext"/>
              <w:shd w:val="clear" w:color="auto" w:fill="FFFFFF"/>
              <w:spacing w:before="0" w:beforeAutospacing="0" w:after="0" w:afterAutospacing="0"/>
              <w:ind w:left="334" w:hanging="334"/>
              <w:rPr>
                <w:rFonts w:ascii="Verdana" w:hAnsi="Verdana"/>
                <w:sz w:val="20"/>
                <w:szCs w:val="20"/>
                <w:lang w:eastAsia="en-US"/>
              </w:rPr>
            </w:pPr>
            <w:r>
              <w:rPr>
                <w:rFonts w:ascii="Verdana" w:hAnsi="Verdana"/>
                <w:sz w:val="20"/>
                <w:szCs w:val="20"/>
                <w:lang w:eastAsia="en-US"/>
              </w:rPr>
              <w:t xml:space="preserve">1.  </w:t>
            </w:r>
            <w:r w:rsidR="00936521">
              <w:rPr>
                <w:rFonts w:ascii="Verdana" w:hAnsi="Verdana"/>
                <w:sz w:val="20"/>
                <w:szCs w:val="20"/>
                <w:lang w:eastAsia="en-US"/>
              </w:rPr>
              <w:t>W</w:t>
            </w:r>
            <w:r w:rsidR="00940C18">
              <w:rPr>
                <w:rFonts w:ascii="Verdana" w:hAnsi="Verdana"/>
                <w:sz w:val="20"/>
                <w:szCs w:val="20"/>
                <w:lang w:eastAsia="en-US"/>
              </w:rPr>
              <w:t xml:space="preserve">e </w:t>
            </w:r>
            <w:r w:rsidR="00936521">
              <w:rPr>
                <w:rFonts w:ascii="Verdana" w:hAnsi="Verdana"/>
                <w:sz w:val="20"/>
                <w:szCs w:val="20"/>
                <w:lang w:eastAsia="en-US"/>
              </w:rPr>
              <w:t xml:space="preserve">made </w:t>
            </w:r>
            <w:r w:rsidR="00940C18">
              <w:rPr>
                <w:rFonts w:ascii="Verdana" w:hAnsi="Verdana"/>
                <w:sz w:val="20"/>
                <w:szCs w:val="20"/>
                <w:lang w:eastAsia="en-US"/>
              </w:rPr>
              <w:t xml:space="preserve">a simplifying assumption of blended unit costs for the highest two tiers, with the result that their unit costs were very similar.  </w:t>
            </w:r>
            <w:r w:rsidR="00936521">
              <w:rPr>
                <w:rFonts w:ascii="Verdana" w:hAnsi="Verdana"/>
                <w:sz w:val="20"/>
                <w:szCs w:val="20"/>
                <w:lang w:eastAsia="en-US"/>
              </w:rPr>
              <w:t>Consequently, w</w:t>
            </w:r>
            <w:r w:rsidR="00940C18">
              <w:rPr>
                <w:rFonts w:ascii="Verdana" w:hAnsi="Verdana"/>
                <w:sz w:val="20"/>
                <w:szCs w:val="20"/>
                <w:lang w:eastAsia="en-US"/>
              </w:rPr>
              <w:t>hile the total Riser repex costs are accurate, the split of costs between heights is not, and cannot be relied upon for the purpose of assessing replacement costs.  We apologise for this oversight.</w:t>
            </w:r>
          </w:p>
          <w:p w14:paraId="41030D10" w14:textId="2D18E865" w:rsidR="00C963A1" w:rsidRPr="000C2C66" w:rsidRDefault="00C963A1" w:rsidP="00C963A1">
            <w:pPr>
              <w:pStyle w:val="xmsobodytext"/>
              <w:shd w:val="clear" w:color="auto" w:fill="FFFFFF"/>
              <w:spacing w:before="0" w:beforeAutospacing="0" w:after="0" w:afterAutospacing="0"/>
              <w:ind w:left="334" w:hanging="334"/>
              <w:rPr>
                <w:rFonts w:ascii="Verdana" w:hAnsi="Verdana"/>
                <w:sz w:val="20"/>
                <w:szCs w:val="20"/>
                <w:lang w:eastAsia="en-US"/>
              </w:rPr>
            </w:pPr>
          </w:p>
          <w:p w14:paraId="2BFB15DE" w14:textId="4BE2CBEE" w:rsidR="00936521" w:rsidRPr="000C2C66" w:rsidRDefault="00C963A1" w:rsidP="000C2C66">
            <w:pPr>
              <w:pStyle w:val="xmsobodytext"/>
              <w:shd w:val="clear" w:color="auto" w:fill="FFFFFF"/>
              <w:spacing w:before="0" w:beforeAutospacing="0" w:after="0" w:afterAutospacing="0"/>
              <w:ind w:left="334" w:hanging="334"/>
              <w:rPr>
                <w:rFonts w:ascii="Verdana" w:hAnsi="Verdana"/>
                <w:sz w:val="20"/>
                <w:szCs w:val="20"/>
                <w:lang w:eastAsia="en-US"/>
              </w:rPr>
            </w:pPr>
            <w:r w:rsidRPr="000C2C66">
              <w:rPr>
                <w:rFonts w:ascii="Verdana" w:hAnsi="Verdana"/>
                <w:sz w:val="20"/>
                <w:szCs w:val="20"/>
                <w:lang w:eastAsia="en-US"/>
              </w:rPr>
              <w:t>2.  The Cadent blended unit cost forecasts also included a blend of two different solutions to individual MOB work.  Firstly, full replacement – as primarily don</w:t>
            </w:r>
            <w:r w:rsidR="009A29F4" w:rsidRPr="000C2C66">
              <w:rPr>
                <w:rFonts w:ascii="Verdana" w:hAnsi="Verdana"/>
                <w:sz w:val="20"/>
                <w:szCs w:val="20"/>
                <w:lang w:eastAsia="en-US"/>
              </w:rPr>
              <w:t>e</w:t>
            </w:r>
            <w:r w:rsidRPr="000C2C66">
              <w:rPr>
                <w:rFonts w:ascii="Verdana" w:hAnsi="Verdana"/>
                <w:sz w:val="20"/>
                <w:szCs w:val="20"/>
                <w:lang w:eastAsia="en-US"/>
              </w:rPr>
              <w:t xml:space="preserve"> historically, and secondly a more limited refurbishment.   This is </w:t>
            </w:r>
            <w:r w:rsidR="000C2C66" w:rsidRPr="000C2C66">
              <w:rPr>
                <w:rFonts w:ascii="Verdana" w:hAnsi="Verdana"/>
                <w:sz w:val="20"/>
                <w:szCs w:val="20"/>
                <w:lang w:eastAsia="en-US"/>
              </w:rPr>
              <w:t xml:space="preserve">a </w:t>
            </w:r>
            <w:r w:rsidRPr="000C2C66">
              <w:rPr>
                <w:rFonts w:ascii="Verdana" w:hAnsi="Verdana"/>
                <w:sz w:val="20"/>
                <w:szCs w:val="20"/>
                <w:lang w:eastAsia="en-US"/>
              </w:rPr>
              <w:t xml:space="preserve">cheaper </w:t>
            </w:r>
            <w:r w:rsidR="000C2C66" w:rsidRPr="000C2C66">
              <w:rPr>
                <w:rFonts w:ascii="Verdana" w:hAnsi="Verdana"/>
                <w:sz w:val="20"/>
                <w:szCs w:val="20"/>
                <w:lang w:eastAsia="en-US"/>
              </w:rPr>
              <w:t xml:space="preserve">but shorter term </w:t>
            </w:r>
            <w:r w:rsidRPr="000C2C66">
              <w:rPr>
                <w:rFonts w:ascii="Verdana" w:hAnsi="Verdana"/>
                <w:sz w:val="20"/>
                <w:szCs w:val="20"/>
                <w:lang w:eastAsia="en-US"/>
              </w:rPr>
              <w:t xml:space="preserve">solution, but also is not consistent with MEAV which is looking at the replacement cost of the activity. </w:t>
            </w:r>
          </w:p>
          <w:p w14:paraId="56B64C84" w14:textId="77777777" w:rsidR="000C2C66" w:rsidRDefault="000C2C66" w:rsidP="000C2C66">
            <w:pPr>
              <w:pStyle w:val="xmsobodytext"/>
              <w:shd w:val="clear" w:color="auto" w:fill="FFFFFF"/>
              <w:spacing w:before="0" w:beforeAutospacing="0" w:after="0" w:afterAutospacing="0"/>
              <w:ind w:left="334" w:hanging="334"/>
              <w:rPr>
                <w:rFonts w:ascii="Verdana" w:hAnsi="Verdana"/>
                <w:sz w:val="20"/>
                <w:szCs w:val="20"/>
                <w:lang w:eastAsia="en-US"/>
              </w:rPr>
            </w:pPr>
          </w:p>
          <w:p w14:paraId="57D12299" w14:textId="41B08B44" w:rsidR="00936521" w:rsidRDefault="00940C18" w:rsidP="00936521">
            <w:pPr>
              <w:pStyle w:val="xmsobodytext"/>
              <w:shd w:val="clear" w:color="auto" w:fill="FFFFFF"/>
              <w:spacing w:before="0" w:beforeAutospacing="0" w:after="0" w:afterAutospacing="0"/>
              <w:rPr>
                <w:rFonts w:ascii="Verdana" w:hAnsi="Verdana"/>
                <w:sz w:val="20"/>
                <w:szCs w:val="20"/>
                <w:lang w:eastAsia="en-US"/>
              </w:rPr>
            </w:pPr>
            <w:r w:rsidRPr="000C2C66">
              <w:rPr>
                <w:rFonts w:ascii="Verdana" w:hAnsi="Verdana"/>
                <w:sz w:val="20"/>
                <w:szCs w:val="20"/>
                <w:lang w:eastAsia="en-US"/>
              </w:rPr>
              <w:t>Given th</w:t>
            </w:r>
            <w:r w:rsidR="000C2C66">
              <w:rPr>
                <w:rFonts w:ascii="Verdana" w:hAnsi="Verdana"/>
                <w:sz w:val="20"/>
                <w:szCs w:val="20"/>
                <w:lang w:eastAsia="en-US"/>
              </w:rPr>
              <w:t>e</w:t>
            </w:r>
            <w:r w:rsidR="00DD548D" w:rsidRPr="000C2C66">
              <w:rPr>
                <w:rFonts w:ascii="Verdana" w:hAnsi="Verdana"/>
                <w:sz w:val="20"/>
                <w:szCs w:val="20"/>
                <w:lang w:eastAsia="en-US"/>
              </w:rPr>
              <w:t>s</w:t>
            </w:r>
            <w:r w:rsidR="000C2C66">
              <w:rPr>
                <w:rFonts w:ascii="Verdana" w:hAnsi="Verdana"/>
                <w:sz w:val="20"/>
                <w:szCs w:val="20"/>
                <w:lang w:eastAsia="en-US"/>
              </w:rPr>
              <w:t>e</w:t>
            </w:r>
            <w:r w:rsidR="00DD548D">
              <w:rPr>
                <w:rFonts w:ascii="Verdana" w:hAnsi="Verdana"/>
                <w:sz w:val="20"/>
                <w:szCs w:val="20"/>
                <w:lang w:eastAsia="en-US"/>
              </w:rPr>
              <w:t xml:space="preserve"> </w:t>
            </w:r>
            <w:r>
              <w:rPr>
                <w:rFonts w:ascii="Verdana" w:hAnsi="Verdana"/>
                <w:sz w:val="20"/>
                <w:szCs w:val="20"/>
                <w:lang w:eastAsia="en-US"/>
              </w:rPr>
              <w:t>the forecasts cannot be used for the purpose of assessing replacement costs, historic data</w:t>
            </w:r>
            <w:r w:rsidR="00936521">
              <w:rPr>
                <w:rFonts w:ascii="Verdana" w:hAnsi="Verdana"/>
                <w:sz w:val="20"/>
                <w:szCs w:val="20"/>
                <w:lang w:eastAsia="en-US"/>
              </w:rPr>
              <w:t xml:space="preserve"> must be used.</w:t>
            </w:r>
            <w:r>
              <w:rPr>
                <w:rFonts w:ascii="Verdana" w:hAnsi="Verdana"/>
                <w:sz w:val="20"/>
                <w:szCs w:val="20"/>
                <w:lang w:eastAsia="en-US"/>
              </w:rPr>
              <w:t xml:space="preserve"> </w:t>
            </w:r>
            <w:r w:rsidR="00936521">
              <w:rPr>
                <w:rFonts w:ascii="Verdana" w:hAnsi="Verdana"/>
                <w:sz w:val="20"/>
                <w:szCs w:val="20"/>
                <w:lang w:eastAsia="en-US"/>
              </w:rPr>
              <w:t xml:space="preserve">This should not present a problem, because the use of historic data is consistent with the unit costs for the whole of the rest of the MEAV, which are entirely based on historic and not forecast costs.   </w:t>
            </w:r>
          </w:p>
          <w:p w14:paraId="08A94E50" w14:textId="29D9E99A" w:rsidR="00936521" w:rsidRDefault="00936521" w:rsidP="00936521">
            <w:pPr>
              <w:pStyle w:val="xmsobodytext"/>
              <w:shd w:val="clear" w:color="auto" w:fill="FFFFFF"/>
              <w:spacing w:before="0" w:beforeAutospacing="0" w:after="0" w:afterAutospacing="0"/>
              <w:ind w:left="397"/>
              <w:rPr>
                <w:rFonts w:ascii="Verdana" w:hAnsi="Verdana"/>
                <w:sz w:val="20"/>
                <w:szCs w:val="20"/>
                <w:lang w:eastAsia="en-US"/>
              </w:rPr>
            </w:pPr>
          </w:p>
          <w:p w14:paraId="61AC3ECB" w14:textId="77777777" w:rsidR="00936521" w:rsidRDefault="00936521" w:rsidP="00936521">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We suggest that either the unit costs included by Ofgem at DD be used, or those calculated by Cadent and provided in our original query. </w:t>
            </w:r>
          </w:p>
          <w:p w14:paraId="02558895" w14:textId="77777777" w:rsidR="00936521" w:rsidRDefault="00936521" w:rsidP="00936521">
            <w:pPr>
              <w:pStyle w:val="xmsobodytext"/>
              <w:shd w:val="clear" w:color="auto" w:fill="FFFFFF"/>
              <w:spacing w:before="0" w:beforeAutospacing="0" w:after="0" w:afterAutospacing="0"/>
              <w:rPr>
                <w:rFonts w:ascii="Verdana" w:hAnsi="Verdana"/>
                <w:sz w:val="20"/>
                <w:szCs w:val="20"/>
                <w:lang w:eastAsia="en-US"/>
              </w:rPr>
            </w:pPr>
          </w:p>
          <w:p w14:paraId="27E385AA" w14:textId="66B47F69" w:rsidR="00936521" w:rsidRDefault="00936521" w:rsidP="00936521">
            <w:pPr>
              <w:pStyle w:val="xmsobodytext"/>
              <w:shd w:val="clear" w:color="auto" w:fill="FFFFFF"/>
              <w:spacing w:before="0" w:beforeAutospacing="0" w:after="0" w:afterAutospacing="0"/>
              <w:rPr>
                <w:rFonts w:ascii="Verdana" w:hAnsi="Verdana"/>
                <w:sz w:val="20"/>
                <w:szCs w:val="20"/>
                <w:lang w:eastAsia="en-US"/>
              </w:rPr>
            </w:pPr>
            <w:r>
              <w:rPr>
                <w:rFonts w:ascii="Verdana" w:hAnsi="Verdana"/>
                <w:sz w:val="20"/>
                <w:szCs w:val="20"/>
                <w:lang w:eastAsia="en-US"/>
              </w:rPr>
              <w:t xml:space="preserve">Please confirm whether you agree this represents an error, and let us know the solution Ofgem proposes.  </w:t>
            </w:r>
          </w:p>
          <w:p w14:paraId="2BED5D93" w14:textId="77777777" w:rsidR="00936521" w:rsidRDefault="00936521" w:rsidP="00936521">
            <w:pPr>
              <w:pStyle w:val="xmsobodytext"/>
              <w:shd w:val="clear" w:color="auto" w:fill="FFFFFF"/>
              <w:spacing w:before="0" w:beforeAutospacing="0" w:after="0" w:afterAutospacing="0"/>
              <w:ind w:left="397"/>
              <w:rPr>
                <w:rFonts w:ascii="Verdana" w:hAnsi="Verdana"/>
                <w:sz w:val="20"/>
                <w:szCs w:val="20"/>
                <w:lang w:eastAsia="en-US"/>
              </w:rPr>
            </w:pPr>
          </w:p>
          <w:p w14:paraId="4C80CC42" w14:textId="77777777" w:rsidR="00FD5CD1" w:rsidRDefault="00FD5CD1" w:rsidP="00FD5CD1">
            <w:pPr>
              <w:pStyle w:val="xmsobodytext"/>
              <w:shd w:val="clear" w:color="auto" w:fill="FFFFFF"/>
              <w:spacing w:before="0" w:beforeAutospacing="0" w:after="0" w:afterAutospacing="0"/>
              <w:rPr>
                <w:rFonts w:ascii="Verdana" w:hAnsi="Verdana"/>
                <w:sz w:val="20"/>
                <w:szCs w:val="20"/>
                <w:lang w:eastAsia="en-US"/>
              </w:rPr>
            </w:pPr>
          </w:p>
          <w:p w14:paraId="3C5EF64C" w14:textId="424E81A0" w:rsidR="00FD5CD1" w:rsidRPr="00EA1559" w:rsidRDefault="00FD5CD1" w:rsidP="000428CF">
            <w:pPr>
              <w:pStyle w:val="xmsobodytext"/>
              <w:shd w:val="clear" w:color="auto" w:fill="FFFFFF"/>
              <w:spacing w:before="0" w:beforeAutospacing="0" w:after="0" w:afterAutospacing="0"/>
              <w:rPr>
                <w:rFonts w:ascii="Verdana" w:hAnsi="Verdana"/>
                <w:sz w:val="20"/>
                <w:szCs w:val="20"/>
                <w:lang w:eastAsia="en-US"/>
              </w:rPr>
            </w:pPr>
          </w:p>
        </w:tc>
      </w:tr>
      <w:tr w:rsidR="00FD5CD1" w:rsidRPr="00EA1559" w14:paraId="08DA4FF8"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tcPr>
          <w:p w14:paraId="1860D9DE" w14:textId="77777777" w:rsidR="00FD5CD1" w:rsidRPr="00EA1559" w:rsidRDefault="00FD5CD1" w:rsidP="00FD5CD1">
            <w:pPr>
              <w:rPr>
                <w:rFonts w:asciiTheme="minorHAnsi" w:hAnsiTheme="minorHAnsi"/>
                <w:sz w:val="22"/>
              </w:rPr>
            </w:pPr>
          </w:p>
        </w:tc>
        <w:tc>
          <w:tcPr>
            <w:tcW w:w="270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92C6FB" w14:textId="77777777" w:rsidR="00FD5CD1" w:rsidRPr="00EA1559" w:rsidRDefault="00FD5CD1" w:rsidP="00FD5CD1">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72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7E860E7" w14:textId="77777777" w:rsidR="00FD5CD1" w:rsidRPr="00EA1559" w:rsidRDefault="00FD5CD1" w:rsidP="00936521">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FD5CD1" w:rsidRPr="00EA1559" w14:paraId="0BCD83B5"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hideMark/>
          </w:tcPr>
          <w:p w14:paraId="3A3A8C99" w14:textId="77777777" w:rsidR="00FD5CD1" w:rsidRPr="00EA1559" w:rsidRDefault="00FD5CD1" w:rsidP="00FD5CD1">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30A990" w14:textId="77777777" w:rsidR="00FD5CD1" w:rsidRPr="00EA1559" w:rsidRDefault="00FD5CD1" w:rsidP="00FD5CD1">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2CE5ED4E" w14:textId="387F7DFA" w:rsidR="00FD5CD1" w:rsidRPr="00EA1559" w:rsidRDefault="00FD5CD1"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Adrian Swift</w:t>
            </w:r>
          </w:p>
        </w:tc>
      </w:tr>
      <w:tr w:rsidR="00FD5CD1" w:rsidRPr="00EA1559" w14:paraId="541C4A75"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hideMark/>
          </w:tcPr>
          <w:p w14:paraId="66427D56" w14:textId="77777777" w:rsidR="00FD5CD1" w:rsidRPr="00EA1559" w:rsidRDefault="00FD5CD1" w:rsidP="00FD5CD1">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CF2A21" w14:textId="77777777" w:rsidR="00FD5CD1" w:rsidRPr="00EA1559" w:rsidRDefault="00FD5CD1" w:rsidP="00FD5CD1">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698FFE51" w14:textId="3E33BCED" w:rsidR="00FD5CD1" w:rsidRPr="00EA1559" w:rsidRDefault="00FD5CD1"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08/01/2021</w:t>
            </w:r>
          </w:p>
        </w:tc>
      </w:tr>
      <w:tr w:rsidR="00FD5CD1" w:rsidRPr="00EA1559" w14:paraId="114858A4"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27"/>
        </w:trPr>
        <w:tc>
          <w:tcPr>
            <w:tcW w:w="236" w:type="dxa"/>
            <w:gridSpan w:val="2"/>
            <w:vAlign w:val="center"/>
            <w:hideMark/>
          </w:tcPr>
          <w:p w14:paraId="5C614CF5" w14:textId="77777777" w:rsidR="00FD5CD1" w:rsidRPr="00EA1559" w:rsidRDefault="00FD5CD1" w:rsidP="00FD5CD1">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D246C5" w14:textId="77777777" w:rsidR="00FD5CD1" w:rsidRPr="00EA1559" w:rsidRDefault="00FD5CD1" w:rsidP="00FD5CD1">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7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6CF1BF64" w14:textId="4D9CC347" w:rsidR="00FD5CD1" w:rsidRPr="00EA1559" w:rsidRDefault="00FD5CD1" w:rsidP="00FD5C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13/01/2021</w:t>
            </w:r>
          </w:p>
        </w:tc>
      </w:tr>
      <w:tr w:rsidR="00FD5CD1" w:rsidRPr="00EA1559" w14:paraId="132AF07F"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1978"/>
        </w:trPr>
        <w:tc>
          <w:tcPr>
            <w:tcW w:w="236" w:type="dxa"/>
            <w:gridSpan w:val="2"/>
            <w:vAlign w:val="center"/>
            <w:hideMark/>
          </w:tcPr>
          <w:p w14:paraId="1F7D420E" w14:textId="77777777" w:rsidR="00FD5CD1" w:rsidRPr="00EA1559" w:rsidRDefault="00FD5CD1" w:rsidP="00FD5CD1">
            <w:pPr>
              <w:rPr>
                <w:rFonts w:ascii="Calibri" w:hAnsi="Calibri"/>
                <w:sz w:val="22"/>
              </w:rPr>
            </w:pPr>
            <w:r w:rsidRPr="00EA1559">
              <w:lastRenderedPageBreak/>
              <w:t> </w:t>
            </w:r>
          </w:p>
        </w:tc>
        <w:tc>
          <w:tcPr>
            <w:tcW w:w="99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5BC896" w14:textId="77777777" w:rsidR="00FD5CD1" w:rsidRPr="00281066" w:rsidRDefault="00FD5CD1" w:rsidP="00FD5CD1">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FD5CD1" w:rsidRPr="00EA1559" w14:paraId="381C114D" w14:textId="77777777" w:rsidTr="00FD5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34" w:type="dxa"/>
          <w:trHeight w:val="2226"/>
        </w:trPr>
        <w:tc>
          <w:tcPr>
            <w:tcW w:w="236" w:type="dxa"/>
            <w:gridSpan w:val="2"/>
            <w:vAlign w:val="center"/>
            <w:hideMark/>
          </w:tcPr>
          <w:p w14:paraId="7158EEFB" w14:textId="77777777" w:rsidR="00FD5CD1" w:rsidRPr="00EA1559" w:rsidRDefault="00FD5CD1" w:rsidP="00FD5CD1">
            <w:pPr>
              <w:rPr>
                <w:rFonts w:ascii="Calibri" w:hAnsi="Calibri" w:cs="Calibri"/>
                <w:sz w:val="22"/>
              </w:rPr>
            </w:pPr>
            <w:r w:rsidRPr="00EA1559">
              <w:t> </w:t>
            </w:r>
          </w:p>
        </w:tc>
        <w:tc>
          <w:tcPr>
            <w:tcW w:w="99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D89A69" w14:textId="77777777" w:rsidR="00FD5CD1" w:rsidRDefault="00FD5CD1" w:rsidP="00FD5CD1">
            <w:pPr>
              <w:rPr>
                <w:rFonts w:ascii="Arial" w:hAnsi="Arial" w:cs="Arial"/>
                <w:b/>
                <w:bCs/>
                <w:szCs w:val="20"/>
              </w:rPr>
            </w:pPr>
            <w:r w:rsidRPr="00EA1559">
              <w:rPr>
                <w:rFonts w:ascii="Arial" w:hAnsi="Arial" w:cs="Arial"/>
                <w:b/>
                <w:bCs/>
                <w:szCs w:val="20"/>
              </w:rPr>
              <w:t xml:space="preserve">Response to Cadent: </w:t>
            </w:r>
          </w:p>
          <w:p w14:paraId="6EC043AE" w14:textId="77777777" w:rsidR="00FD5CD1" w:rsidRDefault="00C83B37" w:rsidP="00FD5CD1">
            <w:pPr>
              <w:pStyle w:val="ListParagraph"/>
              <w:rPr>
                <w:rFonts w:ascii="Arial" w:hAnsi="Arial" w:cs="Arial"/>
                <w:szCs w:val="20"/>
              </w:rPr>
            </w:pPr>
            <w:r>
              <w:rPr>
                <w:rFonts w:ascii="Arial" w:hAnsi="Arial" w:cs="Arial"/>
                <w:szCs w:val="20"/>
              </w:rPr>
              <w:t>Thank you for pointing out this data issue, which we will address in the updated model run.</w:t>
            </w:r>
          </w:p>
          <w:p w14:paraId="7BD511E2" w14:textId="50DC53BA" w:rsidR="00C83B37" w:rsidRPr="00DE6033" w:rsidRDefault="00C83B37" w:rsidP="00FD5CD1">
            <w:pPr>
              <w:pStyle w:val="ListParagraph"/>
              <w:rPr>
                <w:rFonts w:ascii="Arial" w:hAnsi="Arial" w:cs="Arial"/>
                <w:szCs w:val="20"/>
              </w:rPr>
            </w:pPr>
            <w:r>
              <w:rPr>
                <w:rFonts w:ascii="Arial" w:hAnsi="Arial" w:cs="Arial"/>
                <w:szCs w:val="20"/>
              </w:rPr>
              <w:t xml:space="preserve">We intend to use the updated historical figures as provided in Cadent_FDQ_9. </w:t>
            </w:r>
            <w:r w:rsidR="00260E06">
              <w:rPr>
                <w:rFonts w:ascii="Arial" w:hAnsi="Arial" w:cs="Arial"/>
                <w:szCs w:val="20"/>
              </w:rPr>
              <w:t>As a cross-check</w:t>
            </w:r>
            <w:r>
              <w:rPr>
                <w:rFonts w:ascii="Arial" w:hAnsi="Arial" w:cs="Arial"/>
                <w:szCs w:val="20"/>
              </w:rPr>
              <w:t>, could you please send us the workbook with your calculations?</w:t>
            </w:r>
          </w:p>
        </w:tc>
      </w:tr>
    </w:tbl>
    <w:p w14:paraId="27D076BD" w14:textId="77777777" w:rsidR="00945C7C" w:rsidRPr="00EA1559" w:rsidRDefault="00945C7C" w:rsidP="008A5062"/>
    <w:sectPr w:rsidR="00945C7C" w:rsidRPr="00EA1559" w:rsidSect="00DD4ADD">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2530F" w14:textId="77777777" w:rsidR="00497E73" w:rsidRDefault="00497E73" w:rsidP="00526623">
      <w:pPr>
        <w:spacing w:after="0" w:line="240" w:lineRule="auto"/>
      </w:pPr>
      <w:r>
        <w:separator/>
      </w:r>
    </w:p>
  </w:endnote>
  <w:endnote w:type="continuationSeparator" w:id="0">
    <w:p w14:paraId="6DC5B8A5" w14:textId="77777777" w:rsidR="00497E73" w:rsidRDefault="00497E7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71CF91" w14:textId="77777777" w:rsidR="00497E73" w:rsidRDefault="00497E73" w:rsidP="00526623">
      <w:pPr>
        <w:spacing w:after="0" w:line="240" w:lineRule="auto"/>
      </w:pPr>
      <w:r>
        <w:separator/>
      </w:r>
    </w:p>
  </w:footnote>
  <w:footnote w:type="continuationSeparator" w:id="0">
    <w:p w14:paraId="6E0DADAD" w14:textId="77777777" w:rsidR="00497E73" w:rsidRDefault="00497E7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AC7E98"/>
    <w:multiLevelType w:val="hybridMultilevel"/>
    <w:tmpl w:val="6972B7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B85EE3"/>
    <w:multiLevelType w:val="hybridMultilevel"/>
    <w:tmpl w:val="B29A72EC"/>
    <w:lvl w:ilvl="0" w:tplc="2C18153A">
      <w:start w:val="1"/>
      <w:numFmt w:val="decimal"/>
      <w:lvlText w:val="%1."/>
      <w:lvlJc w:val="left"/>
      <w:pPr>
        <w:ind w:left="397" w:hanging="360"/>
      </w:pPr>
      <w:rPr>
        <w:rFonts w:hint="default"/>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num w:numId="1">
    <w:abstractNumId w:val="0"/>
  </w:num>
  <w:num w:numId="2">
    <w:abstractNumId w:val="4"/>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12030"/>
    <w:rsid w:val="00041711"/>
    <w:rsid w:val="000428CF"/>
    <w:rsid w:val="000436C2"/>
    <w:rsid w:val="000473D3"/>
    <w:rsid w:val="00050C54"/>
    <w:rsid w:val="000A17DC"/>
    <w:rsid w:val="000A752F"/>
    <w:rsid w:val="000B0536"/>
    <w:rsid w:val="000C2C66"/>
    <w:rsid w:val="000E5B6D"/>
    <w:rsid w:val="000F501A"/>
    <w:rsid w:val="0010126C"/>
    <w:rsid w:val="00107296"/>
    <w:rsid w:val="00120234"/>
    <w:rsid w:val="00133BD9"/>
    <w:rsid w:val="00133CFC"/>
    <w:rsid w:val="00172809"/>
    <w:rsid w:val="001D0151"/>
    <w:rsid w:val="00206CA9"/>
    <w:rsid w:val="00206D5F"/>
    <w:rsid w:val="00260E06"/>
    <w:rsid w:val="002707B1"/>
    <w:rsid w:val="00281066"/>
    <w:rsid w:val="00291D51"/>
    <w:rsid w:val="00293724"/>
    <w:rsid w:val="002A4AD8"/>
    <w:rsid w:val="002B4955"/>
    <w:rsid w:val="002E3EFB"/>
    <w:rsid w:val="00300FB4"/>
    <w:rsid w:val="003043A4"/>
    <w:rsid w:val="00342E6F"/>
    <w:rsid w:val="003440E1"/>
    <w:rsid w:val="003452B0"/>
    <w:rsid w:val="00360385"/>
    <w:rsid w:val="00374CB2"/>
    <w:rsid w:val="00385085"/>
    <w:rsid w:val="003B3576"/>
    <w:rsid w:val="003F465C"/>
    <w:rsid w:val="00400822"/>
    <w:rsid w:val="00401E4D"/>
    <w:rsid w:val="004076FB"/>
    <w:rsid w:val="004313E4"/>
    <w:rsid w:val="0047108D"/>
    <w:rsid w:val="00497E73"/>
    <w:rsid w:val="004C4D2B"/>
    <w:rsid w:val="004D0311"/>
    <w:rsid w:val="004D1F2F"/>
    <w:rsid w:val="00503895"/>
    <w:rsid w:val="00526623"/>
    <w:rsid w:val="00526A8E"/>
    <w:rsid w:val="00534E92"/>
    <w:rsid w:val="00536220"/>
    <w:rsid w:val="00536F40"/>
    <w:rsid w:val="00584F30"/>
    <w:rsid w:val="00586A8E"/>
    <w:rsid w:val="00590317"/>
    <w:rsid w:val="005927B6"/>
    <w:rsid w:val="005A506C"/>
    <w:rsid w:val="005A74DE"/>
    <w:rsid w:val="005E2894"/>
    <w:rsid w:val="005F00FF"/>
    <w:rsid w:val="0060723D"/>
    <w:rsid w:val="006224F4"/>
    <w:rsid w:val="006279ED"/>
    <w:rsid w:val="006515EB"/>
    <w:rsid w:val="006802FF"/>
    <w:rsid w:val="00681BA2"/>
    <w:rsid w:val="006847DA"/>
    <w:rsid w:val="00686A77"/>
    <w:rsid w:val="0068716A"/>
    <w:rsid w:val="006A715C"/>
    <w:rsid w:val="006B26DE"/>
    <w:rsid w:val="006D0ADD"/>
    <w:rsid w:val="006E4411"/>
    <w:rsid w:val="006F0656"/>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76377"/>
    <w:rsid w:val="008A5062"/>
    <w:rsid w:val="008B3636"/>
    <w:rsid w:val="008B7043"/>
    <w:rsid w:val="008C5A35"/>
    <w:rsid w:val="008E5CFC"/>
    <w:rsid w:val="008F5542"/>
    <w:rsid w:val="009222C6"/>
    <w:rsid w:val="00924DEC"/>
    <w:rsid w:val="00935000"/>
    <w:rsid w:val="00936521"/>
    <w:rsid w:val="00937BF5"/>
    <w:rsid w:val="00940C18"/>
    <w:rsid w:val="00941E89"/>
    <w:rsid w:val="00942721"/>
    <w:rsid w:val="00945C7C"/>
    <w:rsid w:val="00946125"/>
    <w:rsid w:val="00962140"/>
    <w:rsid w:val="009762C9"/>
    <w:rsid w:val="009845A8"/>
    <w:rsid w:val="00985B98"/>
    <w:rsid w:val="009A29F4"/>
    <w:rsid w:val="009B26A0"/>
    <w:rsid w:val="009B7577"/>
    <w:rsid w:val="009D4F56"/>
    <w:rsid w:val="00A054D1"/>
    <w:rsid w:val="00A0584E"/>
    <w:rsid w:val="00A06191"/>
    <w:rsid w:val="00A56CF3"/>
    <w:rsid w:val="00A77899"/>
    <w:rsid w:val="00A922CF"/>
    <w:rsid w:val="00AA429A"/>
    <w:rsid w:val="00AC6418"/>
    <w:rsid w:val="00AE2C71"/>
    <w:rsid w:val="00AF2854"/>
    <w:rsid w:val="00B05624"/>
    <w:rsid w:val="00B33B74"/>
    <w:rsid w:val="00B33BDA"/>
    <w:rsid w:val="00B35E40"/>
    <w:rsid w:val="00B378CC"/>
    <w:rsid w:val="00B41AEB"/>
    <w:rsid w:val="00B54E67"/>
    <w:rsid w:val="00B73EA6"/>
    <w:rsid w:val="00B82400"/>
    <w:rsid w:val="00B86DDF"/>
    <w:rsid w:val="00BA0306"/>
    <w:rsid w:val="00BA4154"/>
    <w:rsid w:val="00BA5A79"/>
    <w:rsid w:val="00BB4793"/>
    <w:rsid w:val="00BB56A8"/>
    <w:rsid w:val="00BB682C"/>
    <w:rsid w:val="00BD48A8"/>
    <w:rsid w:val="00C10D99"/>
    <w:rsid w:val="00C57345"/>
    <w:rsid w:val="00C77097"/>
    <w:rsid w:val="00C814D0"/>
    <w:rsid w:val="00C81B4C"/>
    <w:rsid w:val="00C83B37"/>
    <w:rsid w:val="00C963A1"/>
    <w:rsid w:val="00CA4297"/>
    <w:rsid w:val="00CC4056"/>
    <w:rsid w:val="00CC4D13"/>
    <w:rsid w:val="00CC7214"/>
    <w:rsid w:val="00CF22EF"/>
    <w:rsid w:val="00D1736D"/>
    <w:rsid w:val="00D50036"/>
    <w:rsid w:val="00D53135"/>
    <w:rsid w:val="00D81399"/>
    <w:rsid w:val="00D815E6"/>
    <w:rsid w:val="00DA4D94"/>
    <w:rsid w:val="00DA67E5"/>
    <w:rsid w:val="00DD4ADD"/>
    <w:rsid w:val="00DD548D"/>
    <w:rsid w:val="00DE6033"/>
    <w:rsid w:val="00E040EA"/>
    <w:rsid w:val="00E11C0E"/>
    <w:rsid w:val="00E15A6C"/>
    <w:rsid w:val="00E27AA5"/>
    <w:rsid w:val="00E346B6"/>
    <w:rsid w:val="00E525E0"/>
    <w:rsid w:val="00E55A7F"/>
    <w:rsid w:val="00E566F5"/>
    <w:rsid w:val="00E82889"/>
    <w:rsid w:val="00E94FDE"/>
    <w:rsid w:val="00EA1559"/>
    <w:rsid w:val="00EA5A86"/>
    <w:rsid w:val="00EB123E"/>
    <w:rsid w:val="00EB179A"/>
    <w:rsid w:val="00EB2613"/>
    <w:rsid w:val="00EE1C79"/>
    <w:rsid w:val="00EE2493"/>
    <w:rsid w:val="00EF7E7B"/>
    <w:rsid w:val="00F129C1"/>
    <w:rsid w:val="00F20F23"/>
    <w:rsid w:val="00F23B18"/>
    <w:rsid w:val="00F31270"/>
    <w:rsid w:val="00F5577B"/>
    <w:rsid w:val="00F633A0"/>
    <w:rsid w:val="00F678C1"/>
    <w:rsid w:val="00F82AB4"/>
    <w:rsid w:val="00FB0EC9"/>
    <w:rsid w:val="00FD3883"/>
    <w:rsid w:val="00FD5C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8B739C"/>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20234"/>
    <w:rPr>
      <w:color w:val="0000FF" w:themeColor="hyperlink"/>
      <w:u w:val="single"/>
    </w:rPr>
  </w:style>
  <w:style w:type="character" w:styleId="CommentReference">
    <w:name w:val="annotation reference"/>
    <w:basedOn w:val="DefaultParagraphFont"/>
    <w:uiPriority w:val="99"/>
    <w:semiHidden/>
    <w:unhideWhenUsed/>
    <w:rsid w:val="0068716A"/>
    <w:rPr>
      <w:sz w:val="16"/>
      <w:szCs w:val="16"/>
    </w:rPr>
  </w:style>
  <w:style w:type="paragraph" w:styleId="CommentText">
    <w:name w:val="annotation text"/>
    <w:basedOn w:val="Normal"/>
    <w:link w:val="CommentTextChar"/>
    <w:uiPriority w:val="99"/>
    <w:semiHidden/>
    <w:unhideWhenUsed/>
    <w:rsid w:val="0068716A"/>
    <w:pPr>
      <w:spacing w:line="240" w:lineRule="auto"/>
    </w:pPr>
    <w:rPr>
      <w:szCs w:val="20"/>
    </w:rPr>
  </w:style>
  <w:style w:type="character" w:customStyle="1" w:styleId="CommentTextChar">
    <w:name w:val="Comment Text Char"/>
    <w:basedOn w:val="DefaultParagraphFont"/>
    <w:link w:val="CommentText"/>
    <w:uiPriority w:val="99"/>
    <w:semiHidden/>
    <w:rsid w:val="0068716A"/>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68716A"/>
    <w:rPr>
      <w:b/>
      <w:bCs/>
    </w:rPr>
  </w:style>
  <w:style w:type="character" w:customStyle="1" w:styleId="CommentSubjectChar">
    <w:name w:val="Comment Subject Char"/>
    <w:basedOn w:val="CommentTextChar"/>
    <w:link w:val="CommentSubject"/>
    <w:uiPriority w:val="99"/>
    <w:semiHidden/>
    <w:rsid w:val="0068716A"/>
    <w:rPr>
      <w:rFonts w:ascii="Verdana" w:hAnsi="Verdana"/>
      <w:b/>
      <w:bCs/>
      <w:sz w:val="20"/>
      <w:szCs w:val="20"/>
    </w:rPr>
  </w:style>
  <w:style w:type="paragraph" w:styleId="BalloonText">
    <w:name w:val="Balloon Text"/>
    <w:basedOn w:val="Normal"/>
    <w:link w:val="BalloonTextChar"/>
    <w:uiPriority w:val="99"/>
    <w:semiHidden/>
    <w:unhideWhenUsed/>
    <w:rsid w:val="006871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1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198153395">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2021-01-12T17:17:55+00:00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35BE21D2-BEA7-432E-91B6-2FF787FF9961}">
  <ds:schemaRefs>
    <ds:schemaRef ds:uri="Microsoft.SharePoint.Taxonomy.ContentTypeSync"/>
  </ds:schemaRefs>
</ds:datastoreItem>
</file>

<file path=customXml/itemProps2.xml><?xml version="1.0" encoding="utf-8"?>
<ds:datastoreItem xmlns:ds="http://schemas.openxmlformats.org/officeDocument/2006/customXml" ds:itemID="{E8E70718-202A-4F51-91CD-9258D5DE8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631298fc-6a88-4548-b7d9-3b164918c4a3"/>
    <ds:schemaRef ds:uri="http://schemas.microsoft.com/sharepoint/v3/fields"/>
    <ds:schemaRef ds:uri="http://schemas.microsoft.com/office/2006/metadata/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D4073E87-4B64-4BA9-B380-0FD2FABEC139}">
  <ds:schemaRefs>
    <ds:schemaRef ds:uri="http://schemas.openxmlformats.org/officeDocument/2006/bibliography"/>
  </ds:schemaRefs>
</ds:datastoreItem>
</file>

<file path=customXml/itemProps6.xml><?xml version="1.0" encoding="utf-8"?>
<ds:datastoreItem xmlns:ds="http://schemas.openxmlformats.org/officeDocument/2006/customXml" ds:itemID="{555B95FA-4B2C-4482-B43F-55E2B5F91C5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2021-01-12T17:28:00Z</dcterms:created>
  <dcterms:modified xsi:type="dcterms:W3CDTF">2021-01-13T14:26:00Z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ies>
</file>