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6DF54" w14:textId="77777777" w:rsidR="00EC2D1A" w:rsidRDefault="00FC7265" w:rsidP="00FC7265">
      <w:pPr>
        <w:pStyle w:val="Heading1"/>
        <w:ind w:left="600"/>
        <w:contextualSpacing/>
      </w:pPr>
      <w:bookmarkStart w:id="0" w:name="_Toc43380282"/>
      <w:r>
        <w:t>EXTRACT FROM SECTION A - DEFINITIONS AND INTERPRETATION</w:t>
      </w:r>
      <w:bookmarkEnd w:id="0"/>
    </w:p>
    <w:p w14:paraId="7E225F6C" w14:textId="77777777" w:rsidR="00EC2D1A" w:rsidRDefault="00FC7265">
      <w:pPr>
        <w:pStyle w:val="Heading2"/>
        <w:numPr>
          <w:ilvl w:val="1"/>
          <w:numId w:val="6"/>
        </w:numPr>
        <w:ind w:left="900"/>
        <w:contextualSpacing w:val="0"/>
      </w:pPr>
      <w:bookmarkStart w:id="1" w:name="_Toc43380283"/>
      <w:r>
        <w:t>DEFINITIONS</w:t>
      </w:r>
      <w:bookmarkEnd w:id="1"/>
    </w:p>
    <w:p w14:paraId="07B39E23" w14:textId="77777777" w:rsidR="00EC2D1A" w:rsidRDefault="00FC7265">
      <w:pPr>
        <w:numPr>
          <w:ilvl w:val="2"/>
          <w:numId w:val="6"/>
        </w:numPr>
        <w:ind w:left="1200"/>
        <w:contextualSpacing w:val="0"/>
      </w:pPr>
      <w:r>
        <w:t xml:space="preserve">In this Code, except where the context otherwise requires, the expressions in the </w:t>
      </w:r>
      <w:proofErr w:type="gramStart"/>
      <w:r>
        <w:t>left hand</w:t>
      </w:r>
      <w:proofErr w:type="gramEnd"/>
      <w:r>
        <w:t xml:space="preserve"> column below shall have the meanings given to them in the right hand column below:</w:t>
      </w:r>
    </w:p>
    <w:tbl>
      <w:tblPr>
        <w:tblStyle w:val="CMTabletable--borders-none"/>
        <w:tblW w:w="9305" w:type="dxa"/>
        <w:tblInd w:w="643" w:type="dxa"/>
        <w:tblLook w:val="04A0" w:firstRow="1" w:lastRow="0" w:firstColumn="1" w:lastColumn="0" w:noHBand="0" w:noVBand="1"/>
      </w:tblPr>
      <w:tblGrid>
        <w:gridCol w:w="2803"/>
        <w:gridCol w:w="6502"/>
      </w:tblGrid>
      <w:tr w:rsidR="00EC2D1A" w14:paraId="349E50D7" w14:textId="77777777" w:rsidTr="006310ED">
        <w:tc>
          <w:tcPr>
            <w:tcW w:w="2803" w:type="dxa"/>
          </w:tcPr>
          <w:p w14:paraId="10C64769" w14:textId="77777777" w:rsidR="00EC2D1A" w:rsidRDefault="00FC7265">
            <w:pPr>
              <w:spacing w:before="60" w:after="60"/>
              <w:contextualSpacing w:val="0"/>
            </w:pPr>
            <w:ins w:id="2" w:author="SECAS" w:date="2020-06-18T13:53:00Z">
              <w:r w:rsidRPr="00FE7070">
                <w:rPr>
                  <w:b/>
                </w:rPr>
                <w:t>Balancing and Settlement Code</w:t>
              </w:r>
              <w:r>
                <w:rPr>
                  <w:b/>
                </w:rPr>
                <w:t xml:space="preserve"> (BSC)</w:t>
              </w:r>
            </w:ins>
          </w:p>
        </w:tc>
        <w:tc>
          <w:tcPr>
            <w:tcW w:w="6502" w:type="dxa"/>
          </w:tcPr>
          <w:p w14:paraId="21AE3E72" w14:textId="77777777" w:rsidR="00EC2D1A" w:rsidRDefault="00FC7265">
            <w:pPr>
              <w:spacing w:before="60" w:after="60"/>
              <w:contextualSpacing w:val="0"/>
            </w:pPr>
            <w:ins w:id="3" w:author="SECAS" w:date="2020-06-18T13:55:00Z">
              <w:r w:rsidRPr="00FC7265">
                <w:rPr>
                  <w:rPrChange w:id="4" w:author="SECAS" w:date="2020-06-18T13:55:00Z">
                    <w:rPr>
                      <w:rFonts w:ascii="Segoe UI" w:hAnsi="Segoe UI" w:cs="Segoe UI"/>
                      <w:color w:val="111111"/>
                      <w:sz w:val="27"/>
                      <w:szCs w:val="27"/>
                      <w:shd w:val="clear" w:color="auto" w:fill="FFFFFF"/>
                    </w:rPr>
                  </w:rPrChange>
                </w:rPr>
                <w:t xml:space="preserve">a legal document which defines the rules and governance for the </w:t>
              </w:r>
              <w:r w:rsidRPr="00FC7265">
                <w:rPr>
                  <w:rPrChange w:id="5" w:author="SECAS" w:date="2020-06-18T13:55:00Z">
                    <w:rPr>
                      <w:rStyle w:val="Strong"/>
                      <w:rFonts w:ascii="&amp;quot" w:hAnsi="&amp;quot"/>
                      <w:color w:val="111111"/>
                      <w:sz w:val="27"/>
                      <w:szCs w:val="27"/>
                    </w:rPr>
                  </w:rPrChange>
                </w:rPr>
                <w:t>balancing</w:t>
              </w:r>
              <w:r w:rsidRPr="00FC7265">
                <w:rPr>
                  <w:rPrChange w:id="6" w:author="SECAS" w:date="2020-06-18T13:55:00Z">
                    <w:rPr>
                      <w:rFonts w:ascii="Segoe UI" w:hAnsi="Segoe UI" w:cs="Segoe UI"/>
                      <w:color w:val="111111"/>
                      <w:sz w:val="27"/>
                      <w:szCs w:val="27"/>
                      <w:shd w:val="clear" w:color="auto" w:fill="FFFFFF"/>
                    </w:rPr>
                  </w:rPrChange>
                </w:rPr>
                <w:t xml:space="preserve"> mechanism and imbalance </w:t>
              </w:r>
              <w:r w:rsidRPr="00FC7265">
                <w:rPr>
                  <w:rPrChange w:id="7" w:author="SECAS" w:date="2020-06-18T13:55:00Z">
                    <w:rPr>
                      <w:rStyle w:val="Strong"/>
                      <w:rFonts w:ascii="&amp;quot" w:hAnsi="&amp;quot"/>
                      <w:color w:val="111111"/>
                      <w:sz w:val="27"/>
                      <w:szCs w:val="27"/>
                    </w:rPr>
                  </w:rPrChange>
                </w:rPr>
                <w:t>settlement</w:t>
              </w:r>
              <w:r w:rsidRPr="00FC7265">
                <w:rPr>
                  <w:rPrChange w:id="8" w:author="SECAS" w:date="2020-06-18T13:55:00Z">
                    <w:rPr>
                      <w:rFonts w:ascii="Segoe UI" w:hAnsi="Segoe UI" w:cs="Segoe UI"/>
                      <w:color w:val="111111"/>
                      <w:sz w:val="27"/>
                      <w:szCs w:val="27"/>
                      <w:shd w:val="clear" w:color="auto" w:fill="FFFFFF"/>
                    </w:rPr>
                  </w:rPrChange>
                </w:rPr>
                <w:t xml:space="preserve"> processes of electricity in Great Britain</w:t>
              </w:r>
            </w:ins>
          </w:p>
        </w:tc>
      </w:tr>
    </w:tbl>
    <w:p w14:paraId="38900F23" w14:textId="77777777" w:rsidR="00EC2D1A" w:rsidRDefault="00EC2D1A">
      <w:pPr>
        <w:spacing w:before="0"/>
        <w:ind w:left="60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A8515F" w14:paraId="4D95F58A" w14:textId="77777777">
        <w:tc>
          <w:tcPr>
            <w:tcW w:w="2803" w:type="dxa"/>
          </w:tcPr>
          <w:p w14:paraId="074D171E" w14:textId="4AA4339A" w:rsidR="00A8515F" w:rsidRDefault="00A8515F">
            <w:pPr>
              <w:spacing w:before="60" w:after="60"/>
              <w:contextualSpacing w:val="0"/>
              <w:rPr>
                <w:b/>
              </w:rPr>
            </w:pPr>
            <w:ins w:id="9" w:author="SECAS" w:date="2020-12-08T12:24:00Z">
              <w:r>
                <w:rPr>
                  <w:b/>
                </w:rPr>
                <w:t>Cross Code Steering Group</w:t>
              </w:r>
            </w:ins>
          </w:p>
        </w:tc>
        <w:tc>
          <w:tcPr>
            <w:tcW w:w="6501" w:type="dxa"/>
          </w:tcPr>
          <w:p w14:paraId="03CA54C4" w14:textId="30675460" w:rsidR="00A8515F" w:rsidRDefault="00A8515F" w:rsidP="00A8515F">
            <w:pPr>
              <w:spacing w:before="60" w:after="60"/>
              <w:contextualSpacing w:val="0"/>
              <w:rPr>
                <w:ins w:id="10" w:author="SECAS" w:date="2020-12-08T12:25:00Z"/>
              </w:rPr>
            </w:pPr>
            <w:ins w:id="11" w:author="SECAS" w:date="2020-12-08T12:25:00Z">
              <w:r>
                <w:t>A group whose core role is to</w:t>
              </w:r>
            </w:ins>
            <w:ins w:id="12" w:author="SECAS" w:date="2020-12-08T12:26:00Z">
              <w:r>
                <w:t>:</w:t>
              </w:r>
            </w:ins>
          </w:p>
          <w:p w14:paraId="0422926A" w14:textId="77777777" w:rsidR="00A8515F" w:rsidRDefault="00A8515F" w:rsidP="00A8515F">
            <w:pPr>
              <w:spacing w:before="60" w:after="60"/>
              <w:contextualSpacing w:val="0"/>
              <w:rPr>
                <w:ins w:id="13" w:author="SECAS" w:date="2020-12-08T12:25:00Z"/>
              </w:rPr>
            </w:pPr>
            <w:ins w:id="14" w:author="SECAS" w:date="2020-12-08T12:25:00Z">
              <w:r>
                <w:t>(a) provide its views on whether a potential change to one Energy Code is likely to have an impact on the other Energy Codes or on the parties to those codes;</w:t>
              </w:r>
            </w:ins>
          </w:p>
          <w:p w14:paraId="65D1DA09" w14:textId="72345F84" w:rsidR="00A8515F" w:rsidRDefault="00A8515F" w:rsidP="00A8515F">
            <w:pPr>
              <w:spacing w:before="60" w:after="60"/>
              <w:contextualSpacing w:val="0"/>
              <w:rPr>
                <w:ins w:id="15" w:author="SECAS" w:date="2020-12-08T12:25:00Z"/>
              </w:rPr>
            </w:pPr>
            <w:ins w:id="16" w:author="SECAS" w:date="2020-12-08T12:25:00Z">
              <w:r>
                <w:t>(b) determine whether a potential change to one Energy Code is likely to require a parallel or consequential change to another Energy Code; and</w:t>
              </w:r>
            </w:ins>
          </w:p>
          <w:p w14:paraId="337C9612" w14:textId="5E413FC4" w:rsidR="00A8515F" w:rsidRDefault="00A8515F" w:rsidP="00A8515F">
            <w:pPr>
              <w:spacing w:before="60" w:after="60"/>
              <w:contextualSpacing w:val="0"/>
            </w:pPr>
            <w:ins w:id="17" w:author="SECAS" w:date="2020-12-08T12:25:00Z">
              <w:r>
                <w:t>(c) where a potential change to one Energy Code is likely to require a parallel change to another Energy Code, determine which Energy Code is to be used as the lead-code for the change</w:t>
              </w:r>
            </w:ins>
            <w:ins w:id="18" w:author="SECAS" w:date="2020-12-08T12:26:00Z">
              <w:r>
                <w:t>.</w:t>
              </w:r>
            </w:ins>
          </w:p>
        </w:tc>
      </w:tr>
      <w:tr w:rsidR="001825AB" w14:paraId="163D3EE4" w14:textId="77777777">
        <w:tc>
          <w:tcPr>
            <w:tcW w:w="2803" w:type="dxa"/>
          </w:tcPr>
          <w:p w14:paraId="12D57DA0" w14:textId="77777777" w:rsidR="001825AB" w:rsidRDefault="001825AB">
            <w:pPr>
              <w:spacing w:before="60" w:after="60"/>
              <w:contextualSpacing w:val="0"/>
              <w:rPr>
                <w:b/>
              </w:rPr>
            </w:pPr>
          </w:p>
        </w:tc>
        <w:tc>
          <w:tcPr>
            <w:tcW w:w="6501" w:type="dxa"/>
          </w:tcPr>
          <w:p w14:paraId="23412BE2" w14:textId="77777777" w:rsidR="001825AB" w:rsidRDefault="001825AB">
            <w:pPr>
              <w:spacing w:before="60" w:after="60"/>
              <w:contextualSpacing w:val="0"/>
            </w:pPr>
          </w:p>
        </w:tc>
      </w:tr>
      <w:tr w:rsidR="001825AB" w14:paraId="00928928" w14:textId="77777777">
        <w:tc>
          <w:tcPr>
            <w:tcW w:w="2803" w:type="dxa"/>
          </w:tcPr>
          <w:p w14:paraId="033EA539" w14:textId="6C3F348D" w:rsidR="001825AB" w:rsidRDefault="001825AB">
            <w:pPr>
              <w:spacing w:before="60" w:after="60"/>
              <w:contextualSpacing w:val="0"/>
              <w:rPr>
                <w:b/>
              </w:rPr>
            </w:pPr>
            <w:ins w:id="19" w:author="SECAS" w:date="2020-12-08T12:32:00Z">
              <w:r>
                <w:rPr>
                  <w:b/>
                </w:rPr>
                <w:t xml:space="preserve">Energy Market </w:t>
              </w:r>
            </w:ins>
            <w:ins w:id="20" w:author="SECAS" w:date="2020-12-08T12:33:00Z">
              <w:r>
                <w:rPr>
                  <w:b/>
                </w:rPr>
                <w:t>Data Item</w:t>
              </w:r>
            </w:ins>
          </w:p>
        </w:tc>
        <w:tc>
          <w:tcPr>
            <w:tcW w:w="6501" w:type="dxa"/>
          </w:tcPr>
          <w:p w14:paraId="15553302" w14:textId="42E251C5" w:rsidR="001825AB" w:rsidRDefault="001825AB">
            <w:pPr>
              <w:spacing w:before="60" w:after="60"/>
              <w:contextualSpacing w:val="0"/>
            </w:pPr>
            <w:ins w:id="21" w:author="SECAS" w:date="2020-12-08T12:34:00Z">
              <w:r w:rsidRPr="001825AB">
                <w:t>means the most granular level of data defining a specific attribute in respect of a data type, the permissible values for which are defined and controlled in the Energy Market Data Specification</w:t>
              </w:r>
              <w:r>
                <w:t>.</w:t>
              </w:r>
            </w:ins>
          </w:p>
        </w:tc>
      </w:tr>
      <w:tr w:rsidR="001825AB" w14:paraId="4ECF643B" w14:textId="77777777">
        <w:tc>
          <w:tcPr>
            <w:tcW w:w="2803" w:type="dxa"/>
          </w:tcPr>
          <w:p w14:paraId="27C7782A" w14:textId="77777777" w:rsidR="001825AB" w:rsidRDefault="001825AB">
            <w:pPr>
              <w:spacing w:before="60" w:after="60"/>
              <w:contextualSpacing w:val="0"/>
              <w:rPr>
                <w:b/>
              </w:rPr>
            </w:pPr>
          </w:p>
        </w:tc>
        <w:tc>
          <w:tcPr>
            <w:tcW w:w="6501" w:type="dxa"/>
          </w:tcPr>
          <w:p w14:paraId="2A59B707" w14:textId="77777777" w:rsidR="001825AB" w:rsidRDefault="001825AB">
            <w:pPr>
              <w:spacing w:before="60" w:after="60"/>
              <w:contextualSpacing w:val="0"/>
            </w:pPr>
          </w:p>
        </w:tc>
      </w:tr>
      <w:tr w:rsidR="001825AB" w14:paraId="31F87DF1" w14:textId="77777777">
        <w:tc>
          <w:tcPr>
            <w:tcW w:w="2803" w:type="dxa"/>
          </w:tcPr>
          <w:p w14:paraId="0C5645DF" w14:textId="2039F6DD" w:rsidR="001825AB" w:rsidRDefault="001825AB">
            <w:pPr>
              <w:spacing w:before="60" w:after="60"/>
              <w:contextualSpacing w:val="0"/>
              <w:rPr>
                <w:b/>
              </w:rPr>
            </w:pPr>
            <w:ins w:id="22" w:author="SECAS" w:date="2020-12-08T12:34:00Z">
              <w:r>
                <w:rPr>
                  <w:b/>
                </w:rPr>
                <w:t>Energy Market Data Specification</w:t>
              </w:r>
            </w:ins>
          </w:p>
        </w:tc>
        <w:tc>
          <w:tcPr>
            <w:tcW w:w="6501" w:type="dxa"/>
          </w:tcPr>
          <w:p w14:paraId="64C34344" w14:textId="30869AC8" w:rsidR="001825AB" w:rsidRDefault="0049279B">
            <w:pPr>
              <w:spacing w:before="60" w:after="60"/>
              <w:contextualSpacing w:val="0"/>
            </w:pPr>
            <w:ins w:id="23" w:author="SECAS" w:date="2020-12-08T12:47:00Z">
              <w:r w:rsidRPr="0049279B">
                <w:t>a common set of standards for all industry data represented within the Energy Market Architecture Repository</w:t>
              </w:r>
            </w:ins>
            <w:ins w:id="24" w:author="SECAS" w:date="2020-12-08T12:48:00Z">
              <w:r>
                <w:t xml:space="preserve"> as defined in the REC</w:t>
              </w:r>
            </w:ins>
            <w:ins w:id="25" w:author="SECAS" w:date="2020-12-08T12:47:00Z">
              <w:r>
                <w:t>.</w:t>
              </w:r>
            </w:ins>
          </w:p>
        </w:tc>
      </w:tr>
      <w:tr w:rsidR="001825AB" w14:paraId="7A081473" w14:textId="77777777">
        <w:tc>
          <w:tcPr>
            <w:tcW w:w="2803" w:type="dxa"/>
          </w:tcPr>
          <w:p w14:paraId="76190CF3" w14:textId="77777777" w:rsidR="001825AB" w:rsidRDefault="001825AB">
            <w:pPr>
              <w:spacing w:before="60" w:after="60"/>
              <w:contextualSpacing w:val="0"/>
              <w:rPr>
                <w:b/>
              </w:rPr>
            </w:pPr>
          </w:p>
        </w:tc>
        <w:tc>
          <w:tcPr>
            <w:tcW w:w="6501" w:type="dxa"/>
          </w:tcPr>
          <w:p w14:paraId="3A12B074" w14:textId="77777777" w:rsidR="001825AB" w:rsidRDefault="001825AB">
            <w:pPr>
              <w:spacing w:before="60" w:after="60"/>
              <w:contextualSpacing w:val="0"/>
            </w:pPr>
          </w:p>
        </w:tc>
      </w:tr>
      <w:tr w:rsidR="001825AB" w14:paraId="10F6AAA0" w14:textId="77777777">
        <w:tc>
          <w:tcPr>
            <w:tcW w:w="2803" w:type="dxa"/>
          </w:tcPr>
          <w:p w14:paraId="17634932" w14:textId="72606140" w:rsidR="001825AB" w:rsidRDefault="001825AB">
            <w:pPr>
              <w:spacing w:before="60" w:after="60"/>
              <w:contextualSpacing w:val="0"/>
              <w:rPr>
                <w:b/>
              </w:rPr>
            </w:pPr>
            <w:ins w:id="26" w:author="SECAS" w:date="2020-12-08T12:35:00Z">
              <w:r>
                <w:rPr>
                  <w:b/>
                </w:rPr>
                <w:t xml:space="preserve">Energy Market </w:t>
              </w:r>
            </w:ins>
            <w:ins w:id="27" w:author="SECAS" w:date="2020-12-08T12:36:00Z">
              <w:r>
                <w:rPr>
                  <w:b/>
                </w:rPr>
                <w:t>Meta Data Owner</w:t>
              </w:r>
            </w:ins>
          </w:p>
        </w:tc>
        <w:tc>
          <w:tcPr>
            <w:tcW w:w="6501" w:type="dxa"/>
          </w:tcPr>
          <w:p w14:paraId="56FBB25E" w14:textId="1497BDC1" w:rsidR="001825AB" w:rsidRDefault="001825AB">
            <w:pPr>
              <w:spacing w:before="60" w:after="60"/>
              <w:contextualSpacing w:val="0"/>
            </w:pPr>
            <w:ins w:id="28" w:author="SECAS" w:date="2020-12-08T12:39:00Z">
              <w:r w:rsidRPr="001825AB">
                <w:t xml:space="preserve">means an Energy Code responsible for the control of the meta data associated with the </w:t>
              </w:r>
              <w:r>
                <w:t xml:space="preserve">Energy Market </w:t>
              </w:r>
              <w:r w:rsidRPr="001825AB">
                <w:t xml:space="preserve">Data Item or </w:t>
              </w:r>
              <w:r>
                <w:t xml:space="preserve">Energy </w:t>
              </w:r>
              <w:r w:rsidRPr="001825AB">
                <w:t>Market Message</w:t>
              </w:r>
            </w:ins>
            <w:ins w:id="29" w:author="SECAS" w:date="2020-12-08T12:40:00Z">
              <w:r>
                <w:t xml:space="preserve"> as defined in the REC.</w:t>
              </w:r>
            </w:ins>
            <w:ins w:id="30" w:author="SECAS" w:date="2020-12-08T12:39:00Z">
              <w:r w:rsidRPr="001825AB">
                <w:t xml:space="preserve"> </w:t>
              </w:r>
            </w:ins>
          </w:p>
        </w:tc>
      </w:tr>
      <w:tr w:rsidR="001825AB" w14:paraId="69B25F5B" w14:textId="77777777">
        <w:tc>
          <w:tcPr>
            <w:tcW w:w="2803" w:type="dxa"/>
          </w:tcPr>
          <w:p w14:paraId="0F96AF71" w14:textId="77777777" w:rsidR="001825AB" w:rsidRDefault="001825AB">
            <w:pPr>
              <w:spacing w:before="60" w:after="60"/>
              <w:contextualSpacing w:val="0"/>
              <w:rPr>
                <w:b/>
              </w:rPr>
            </w:pPr>
          </w:p>
        </w:tc>
        <w:tc>
          <w:tcPr>
            <w:tcW w:w="6501" w:type="dxa"/>
          </w:tcPr>
          <w:p w14:paraId="22D53DD8" w14:textId="77777777" w:rsidR="001825AB" w:rsidRDefault="001825AB">
            <w:pPr>
              <w:spacing w:before="60" w:after="60"/>
              <w:contextualSpacing w:val="0"/>
            </w:pPr>
          </w:p>
        </w:tc>
      </w:tr>
      <w:tr w:rsidR="001825AB" w14:paraId="04347556" w14:textId="77777777">
        <w:tc>
          <w:tcPr>
            <w:tcW w:w="2803" w:type="dxa"/>
          </w:tcPr>
          <w:p w14:paraId="3610162A" w14:textId="51B70B0D" w:rsidR="001825AB" w:rsidRDefault="001825AB">
            <w:pPr>
              <w:spacing w:before="60" w:after="60"/>
              <w:contextualSpacing w:val="0"/>
              <w:rPr>
                <w:b/>
              </w:rPr>
            </w:pPr>
            <w:ins w:id="31" w:author="SECAS" w:date="2020-12-08T12:36:00Z">
              <w:r>
                <w:rPr>
                  <w:b/>
                </w:rPr>
                <w:t>E</w:t>
              </w:r>
            </w:ins>
            <w:ins w:id="32" w:author="SECAS" w:date="2020-12-08T12:37:00Z">
              <w:r>
                <w:rPr>
                  <w:b/>
                </w:rPr>
                <w:t>nergy Market Message</w:t>
              </w:r>
            </w:ins>
          </w:p>
        </w:tc>
        <w:tc>
          <w:tcPr>
            <w:tcW w:w="6501" w:type="dxa"/>
          </w:tcPr>
          <w:p w14:paraId="222F1B3B" w14:textId="0AA919CB" w:rsidR="001825AB" w:rsidRDefault="00D44F3F">
            <w:pPr>
              <w:spacing w:before="60" w:after="60"/>
              <w:contextualSpacing w:val="0"/>
            </w:pPr>
            <w:ins w:id="33" w:author="SECAS" w:date="2020-12-08T12:54:00Z">
              <w:r>
                <w:t>TBC in line with REC definition</w:t>
              </w:r>
            </w:ins>
          </w:p>
        </w:tc>
      </w:tr>
      <w:tr w:rsidR="00C75EAA" w14:paraId="282CB4F8" w14:textId="77777777">
        <w:tc>
          <w:tcPr>
            <w:tcW w:w="2803" w:type="dxa"/>
          </w:tcPr>
          <w:p w14:paraId="6D3C2EBF" w14:textId="7126CECF" w:rsidR="00C75EAA" w:rsidRDefault="00C75EAA">
            <w:pPr>
              <w:spacing w:before="60" w:after="60"/>
              <w:contextualSpacing w:val="0"/>
              <w:rPr>
                <w:b/>
              </w:rPr>
            </w:pPr>
          </w:p>
        </w:tc>
        <w:tc>
          <w:tcPr>
            <w:tcW w:w="6501" w:type="dxa"/>
          </w:tcPr>
          <w:p w14:paraId="38DA4242" w14:textId="020767D4" w:rsidR="00C75EAA" w:rsidRDefault="00C75EAA">
            <w:pPr>
              <w:spacing w:before="60" w:after="60"/>
              <w:contextualSpacing w:val="0"/>
            </w:pPr>
          </w:p>
        </w:tc>
      </w:tr>
      <w:tr w:rsidR="00EC2D1A" w14:paraId="2226526F" w14:textId="77777777">
        <w:tc>
          <w:tcPr>
            <w:tcW w:w="2803" w:type="dxa"/>
          </w:tcPr>
          <w:p w14:paraId="09A1930D" w14:textId="3E254071" w:rsidR="00EC2D1A" w:rsidRDefault="00FC7265">
            <w:pPr>
              <w:spacing w:before="60" w:after="60"/>
              <w:contextualSpacing w:val="0"/>
            </w:pPr>
            <w:bookmarkStart w:id="34" w:name="_Hlk51222431"/>
            <w:r>
              <w:rPr>
                <w:b/>
              </w:rPr>
              <w:t>Meter Asset Manager</w:t>
            </w:r>
          </w:p>
        </w:tc>
        <w:tc>
          <w:tcPr>
            <w:tcW w:w="6501" w:type="dxa"/>
          </w:tcPr>
          <w:p w14:paraId="16930B54" w14:textId="4DD99D4B" w:rsidR="00EC2D1A" w:rsidRDefault="00FC7265">
            <w:pPr>
              <w:spacing w:before="60" w:after="60"/>
              <w:contextualSpacing w:val="0"/>
            </w:pPr>
            <w:r>
              <w:t xml:space="preserve">has the meaning given to </w:t>
            </w:r>
            <w:del w:id="35" w:author="SECAS" w:date="2020-09-16T20:18:00Z">
              <w:r w:rsidDel="00C73F83">
                <w:delText xml:space="preserve">that </w:delText>
              </w:r>
            </w:del>
            <w:ins w:id="36" w:author="SECAS" w:date="2020-09-16T20:18:00Z">
              <w:r w:rsidR="00C73F83">
                <w:t xml:space="preserve">the </w:t>
              </w:r>
            </w:ins>
            <w:r>
              <w:t xml:space="preserve">expression </w:t>
            </w:r>
            <w:ins w:id="37" w:author="SECAS" w:date="2020-09-17T09:29:00Z">
              <w:r w:rsidR="00833203">
                <w:t>“</w:t>
              </w:r>
            </w:ins>
            <w:ins w:id="38" w:author="SECAS" w:date="2020-09-16T20:18:00Z">
              <w:r w:rsidR="00C73F83">
                <w:t>Meter</w:t>
              </w:r>
            </w:ins>
            <w:ins w:id="39" w:author="SECAS" w:date="2020-10-02T12:07:00Z">
              <w:r w:rsidR="00CE664B">
                <w:t>ing</w:t>
              </w:r>
            </w:ins>
            <w:ins w:id="40" w:author="SECAS" w:date="2020-09-16T20:18:00Z">
              <w:r w:rsidR="00C73F83">
                <w:t xml:space="preserve"> Equipment Manager</w:t>
              </w:r>
            </w:ins>
            <w:ins w:id="41" w:author="SECAS" w:date="2020-09-17T09:29:00Z">
              <w:r w:rsidR="00833203">
                <w:t>”</w:t>
              </w:r>
            </w:ins>
            <w:ins w:id="42" w:author="SECAS" w:date="2020-09-16T20:18:00Z">
              <w:r w:rsidR="00C73F83">
                <w:t xml:space="preserve"> </w:t>
              </w:r>
            </w:ins>
            <w:r>
              <w:t xml:space="preserve">in the </w:t>
            </w:r>
            <w:del w:id="43" w:author="SECAS" w:date="2020-06-18T14:08:00Z">
              <w:r w:rsidDel="006310ED">
                <w:delText>SPAA</w:delText>
              </w:r>
            </w:del>
            <w:ins w:id="44" w:author="SECAS" w:date="2020-06-18T14:08:00Z">
              <w:r w:rsidR="006310ED">
                <w:t>REC</w:t>
              </w:r>
            </w:ins>
            <w:r>
              <w:t>.</w:t>
            </w:r>
          </w:p>
        </w:tc>
      </w:tr>
    </w:tbl>
    <w:p w14:paraId="333539A7" w14:textId="77777777" w:rsidR="00EC2D1A" w:rsidRDefault="00EC2D1A">
      <w:pPr>
        <w:spacing w:before="0"/>
        <w:ind w:left="60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EC2D1A" w14:paraId="1ADE1890" w14:textId="77777777">
        <w:tc>
          <w:tcPr>
            <w:tcW w:w="2803" w:type="dxa"/>
          </w:tcPr>
          <w:p w14:paraId="1BF18088" w14:textId="77777777" w:rsidR="00EC2D1A" w:rsidRDefault="00FC7265">
            <w:pPr>
              <w:spacing w:before="60" w:after="60"/>
              <w:contextualSpacing w:val="0"/>
            </w:pPr>
            <w:r>
              <w:rPr>
                <w:b/>
              </w:rPr>
              <w:t>Meter Operator</w:t>
            </w:r>
          </w:p>
        </w:tc>
        <w:tc>
          <w:tcPr>
            <w:tcW w:w="6501" w:type="dxa"/>
          </w:tcPr>
          <w:p w14:paraId="1ADC921D" w14:textId="0121C66D" w:rsidR="00EC2D1A" w:rsidRDefault="00FC7265">
            <w:pPr>
              <w:spacing w:before="60" w:after="60"/>
              <w:contextualSpacing w:val="0"/>
            </w:pPr>
            <w:r>
              <w:t>has the meaning given to th</w:t>
            </w:r>
            <w:ins w:id="45" w:author="SECAS" w:date="2020-06-18T14:13:00Z">
              <w:r w:rsidR="008D6C0A">
                <w:t>e</w:t>
              </w:r>
            </w:ins>
            <w:del w:id="46" w:author="SECAS" w:date="2020-06-18T14:13:00Z">
              <w:r w:rsidDel="008D6C0A">
                <w:delText>at</w:delText>
              </w:r>
            </w:del>
            <w:r>
              <w:t xml:space="preserve"> expression</w:t>
            </w:r>
            <w:ins w:id="47" w:author="SECAS" w:date="2020-06-18T14:13:00Z">
              <w:r w:rsidR="008D6C0A">
                <w:t xml:space="preserve"> </w:t>
              </w:r>
              <w:r w:rsidR="008D6C0A">
                <w:t>“</w:t>
              </w:r>
              <w:r w:rsidR="008D6C0A">
                <w:t>Meter</w:t>
              </w:r>
            </w:ins>
            <w:ins w:id="48" w:author="SECAS" w:date="2020-10-02T12:07:00Z">
              <w:r w:rsidR="00CE664B">
                <w:t>ing</w:t>
              </w:r>
            </w:ins>
            <w:ins w:id="49" w:author="SECAS" w:date="2020-09-17T09:29:00Z">
              <w:r w:rsidR="00833203">
                <w:t xml:space="preserve"> Equipment Manager</w:t>
              </w:r>
            </w:ins>
            <w:ins w:id="50" w:author="SECAS" w:date="2020-06-18T14:14:00Z">
              <w:r w:rsidR="008D6C0A">
                <w:t>”</w:t>
              </w:r>
            </w:ins>
            <w:r>
              <w:t xml:space="preserve"> in the </w:t>
            </w:r>
            <w:ins w:id="51" w:author="SECAS" w:date="2020-06-18T14:14:00Z">
              <w:r w:rsidR="008D6C0A">
                <w:t>REC</w:t>
              </w:r>
            </w:ins>
            <w:del w:id="52" w:author="SECAS" w:date="2020-06-18T14:14:00Z">
              <w:r w:rsidDel="008D6C0A">
                <w:delText>MRA</w:delText>
              </w:r>
            </w:del>
            <w:r>
              <w:t>.</w:t>
            </w:r>
          </w:p>
        </w:tc>
      </w:tr>
      <w:bookmarkEnd w:id="34"/>
    </w:tbl>
    <w:p w14:paraId="5560FE5D" w14:textId="77777777" w:rsidR="00EC2D1A" w:rsidRDefault="00EC2D1A">
      <w:pPr>
        <w:spacing w:before="0"/>
        <w:ind w:left="60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EC2D1A" w14:paraId="55BC16B1" w14:textId="77777777">
        <w:tc>
          <w:tcPr>
            <w:tcW w:w="2803" w:type="dxa"/>
          </w:tcPr>
          <w:p w14:paraId="050B1C84" w14:textId="77777777" w:rsidR="00EC2D1A" w:rsidRDefault="00FC7265">
            <w:pPr>
              <w:spacing w:before="60" w:after="60"/>
              <w:contextualSpacing w:val="0"/>
            </w:pPr>
            <w:r>
              <w:rPr>
                <w:b/>
              </w:rPr>
              <w:t>Metering Point</w:t>
            </w:r>
          </w:p>
        </w:tc>
        <w:tc>
          <w:tcPr>
            <w:tcW w:w="6501" w:type="dxa"/>
          </w:tcPr>
          <w:p w14:paraId="1651A88E" w14:textId="77777777" w:rsidR="00EC2D1A" w:rsidRDefault="00FC7265">
            <w:pPr>
              <w:spacing w:before="60" w:after="60"/>
              <w:contextualSpacing w:val="0"/>
            </w:pPr>
            <w:r>
              <w:t xml:space="preserve">has the meaning given to that expression in the </w:t>
            </w:r>
            <w:ins w:id="53" w:author="SECAS" w:date="2020-06-18T14:14:00Z">
              <w:r w:rsidR="008D6C0A">
                <w:t>REC</w:t>
              </w:r>
            </w:ins>
            <w:del w:id="54" w:author="SECAS" w:date="2020-06-18T14:14:00Z">
              <w:r w:rsidDel="008D6C0A">
                <w:delText>MRA</w:delText>
              </w:r>
            </w:del>
            <w:r>
              <w:t>.</w:t>
            </w:r>
          </w:p>
        </w:tc>
      </w:tr>
    </w:tbl>
    <w:p w14:paraId="2BBF6C9A" w14:textId="77777777" w:rsidR="00EC2D1A" w:rsidRDefault="00EC2D1A">
      <w:pPr>
        <w:spacing w:before="0"/>
        <w:ind w:left="60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EC2D1A" w14:paraId="76AAA96F" w14:textId="77777777">
        <w:tc>
          <w:tcPr>
            <w:tcW w:w="2803" w:type="dxa"/>
          </w:tcPr>
          <w:p w14:paraId="69B623CA" w14:textId="77777777" w:rsidR="00EC2D1A" w:rsidRDefault="00FC7265">
            <w:pPr>
              <w:spacing w:before="60" w:after="60"/>
              <w:contextualSpacing w:val="0"/>
            </w:pPr>
            <w:r>
              <w:rPr>
                <w:b/>
              </w:rPr>
              <w:t>MPAN</w:t>
            </w:r>
          </w:p>
        </w:tc>
        <w:tc>
          <w:tcPr>
            <w:tcW w:w="6501" w:type="dxa"/>
          </w:tcPr>
          <w:p w14:paraId="0B87E00A" w14:textId="77777777" w:rsidR="00EC2D1A" w:rsidRDefault="00FC7265">
            <w:pPr>
              <w:spacing w:before="60" w:after="60"/>
              <w:contextualSpacing w:val="0"/>
            </w:pPr>
            <w:r>
              <w:t xml:space="preserve">means, in respect of a Smart Metering System (or Electricity Meter), the </w:t>
            </w:r>
            <w:del w:id="55" w:author="SECAS" w:date="2020-06-18T14:15:00Z">
              <w:r w:rsidDel="008D6C0A">
                <w:delText>Supply Number</w:delText>
              </w:r>
            </w:del>
            <w:ins w:id="56" w:author="SECAS" w:date="2020-06-18T14:15:00Z">
              <w:r w:rsidR="008D6C0A">
                <w:t>unique identifier</w:t>
              </w:r>
            </w:ins>
            <w:r>
              <w:t xml:space="preserve"> (or each of the </w:t>
            </w:r>
            <w:del w:id="57" w:author="SECAS" w:date="2020-06-18T14:15:00Z">
              <w:r w:rsidDel="008D6C0A">
                <w:delText>Supply Numbers</w:delText>
              </w:r>
            </w:del>
            <w:ins w:id="58" w:author="SECAS" w:date="2020-06-18T14:15:00Z">
              <w:r w:rsidR="008D6C0A">
                <w:t xml:space="preserve">unique </w:t>
              </w:r>
              <w:r w:rsidR="008D6C0A">
                <w:lastRenderedPageBreak/>
                <w:t>identifiers</w:t>
              </w:r>
            </w:ins>
            <w:r>
              <w:t xml:space="preserve">) allocated </w:t>
            </w:r>
            <w:del w:id="59" w:author="SECAS" w:date="2020-06-18T14:16:00Z">
              <w:r w:rsidDel="008D6C0A">
                <w:delText xml:space="preserve">under the </w:delText>
              </w:r>
            </w:del>
            <w:del w:id="60" w:author="SECAS" w:date="2020-06-18T14:15:00Z">
              <w:r w:rsidDel="008D6C0A">
                <w:delText xml:space="preserve">MRA </w:delText>
              </w:r>
            </w:del>
            <w:ins w:id="61" w:author="SECAS" w:date="2020-06-18T14:16:00Z">
              <w:r w:rsidR="008D6C0A">
                <w:t>by the relevant Electricity Network Party</w:t>
              </w:r>
            </w:ins>
            <w:ins w:id="62" w:author="SECAS" w:date="2020-06-18T14:15:00Z">
              <w:r w:rsidR="008D6C0A">
                <w:t xml:space="preserve"> </w:t>
              </w:r>
            </w:ins>
            <w:r>
              <w:t>to the Metering Point(s) at which the import or export of electricity is recorded by that Smart Metering System (or Electricity Meter).</w:t>
            </w:r>
          </w:p>
        </w:tc>
      </w:tr>
    </w:tbl>
    <w:p w14:paraId="0C33044F" w14:textId="77777777" w:rsidR="00EC2D1A" w:rsidRDefault="00EC2D1A">
      <w:pPr>
        <w:spacing w:before="0"/>
        <w:ind w:left="60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EC2D1A" w14:paraId="6B816084" w14:textId="77777777">
        <w:tc>
          <w:tcPr>
            <w:tcW w:w="2803" w:type="dxa"/>
          </w:tcPr>
          <w:p w14:paraId="1C38FD47" w14:textId="77777777" w:rsidR="00EC2D1A" w:rsidRDefault="00FC7265">
            <w:pPr>
              <w:spacing w:before="60" w:after="60"/>
              <w:contextualSpacing w:val="0"/>
            </w:pPr>
            <w:r>
              <w:rPr>
                <w:b/>
              </w:rPr>
              <w:t>MPRN</w:t>
            </w:r>
          </w:p>
        </w:tc>
        <w:tc>
          <w:tcPr>
            <w:tcW w:w="6501" w:type="dxa"/>
          </w:tcPr>
          <w:p w14:paraId="51595792" w14:textId="77777777" w:rsidR="00EC2D1A" w:rsidRDefault="00FC7265">
            <w:pPr>
              <w:spacing w:before="60" w:after="60"/>
              <w:contextualSpacing w:val="0"/>
            </w:pPr>
            <w:r>
              <w:t>means, in respect of a Smart Metering System (or Gas Meter), the Supply Meter Point Reference Number allocated by the relevant Gas Network Party to the Supply Meter Point at which the supply of gas is recorded by that Smart Metering System (or Gas Meter).</w:t>
            </w:r>
          </w:p>
        </w:tc>
      </w:tr>
    </w:tbl>
    <w:p w14:paraId="5D60980B" w14:textId="77777777" w:rsidR="00EC2D1A" w:rsidRDefault="00EC2D1A">
      <w:pPr>
        <w:spacing w:before="0"/>
        <w:ind w:left="60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EC2D1A" w14:paraId="605068C9" w14:textId="77777777">
        <w:tc>
          <w:tcPr>
            <w:tcW w:w="2803" w:type="dxa"/>
          </w:tcPr>
          <w:p w14:paraId="5DB5D402" w14:textId="77777777" w:rsidR="00EC2D1A" w:rsidRDefault="00FC7265">
            <w:pPr>
              <w:spacing w:before="60" w:after="60"/>
              <w:contextualSpacing w:val="0"/>
            </w:pPr>
            <w:del w:id="63" w:author="SECAS" w:date="2020-06-18T14:18:00Z">
              <w:r w:rsidDel="00AC17D9">
                <w:rPr>
                  <w:b/>
                </w:rPr>
                <w:delText>MRA</w:delText>
              </w:r>
            </w:del>
          </w:p>
        </w:tc>
        <w:tc>
          <w:tcPr>
            <w:tcW w:w="6501" w:type="dxa"/>
          </w:tcPr>
          <w:p w14:paraId="23932DCA" w14:textId="77777777" w:rsidR="00EC2D1A" w:rsidRDefault="00FC7265">
            <w:pPr>
              <w:spacing w:before="60" w:after="60"/>
              <w:contextualSpacing w:val="0"/>
            </w:pPr>
            <w:del w:id="64" w:author="SECAS" w:date="2020-06-18T14:18:00Z">
              <w:r w:rsidDel="00AC17D9">
                <w:delText>means the Master Registration Agreement established pursuant to the Electricity Distribution Licences.</w:delText>
              </w:r>
            </w:del>
          </w:p>
        </w:tc>
      </w:tr>
    </w:tbl>
    <w:p w14:paraId="07D0CF06" w14:textId="77777777" w:rsidR="00EC2D1A" w:rsidRDefault="00EC2D1A" w:rsidP="00EF0E20">
      <w:pPr>
        <w:spacing w:before="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EC2D1A" w14:paraId="4898165F" w14:textId="77777777">
        <w:tc>
          <w:tcPr>
            <w:tcW w:w="2803" w:type="dxa"/>
          </w:tcPr>
          <w:p w14:paraId="70A2D126" w14:textId="77777777" w:rsidR="00EC2D1A" w:rsidRDefault="00EF0E20">
            <w:pPr>
              <w:spacing w:before="60" w:after="60"/>
              <w:contextualSpacing w:val="0"/>
            </w:pPr>
            <w:ins w:id="65" w:author="SECAS" w:date="2020-06-18T14:22:00Z">
              <w:r>
                <w:t>Retail Energy Code</w:t>
              </w:r>
            </w:ins>
          </w:p>
        </w:tc>
        <w:tc>
          <w:tcPr>
            <w:tcW w:w="6501" w:type="dxa"/>
          </w:tcPr>
          <w:p w14:paraId="313E92F2" w14:textId="77777777" w:rsidR="00EC2D1A" w:rsidRDefault="00EF0E20">
            <w:pPr>
              <w:spacing w:before="60" w:after="60"/>
              <w:contextualSpacing w:val="0"/>
            </w:pPr>
            <w:ins w:id="66" w:author="SECAS" w:date="2020-06-18T14:22:00Z">
              <w:r w:rsidRPr="00EF0E20">
                <w:t>means the Retail Energy Code maintained pursuant to Condition 11B of the Electricity Supply Licences and Condition 11 of the Gas Supply Licences.</w:t>
              </w:r>
            </w:ins>
          </w:p>
        </w:tc>
      </w:tr>
      <w:tr w:rsidR="00D44F3F" w14:paraId="70DF11BB" w14:textId="77777777">
        <w:tc>
          <w:tcPr>
            <w:tcW w:w="2803" w:type="dxa"/>
          </w:tcPr>
          <w:p w14:paraId="725BAE39" w14:textId="77777777" w:rsidR="00D44F3F" w:rsidRDefault="00D44F3F">
            <w:pPr>
              <w:spacing w:before="60" w:after="60"/>
              <w:contextualSpacing w:val="0"/>
            </w:pPr>
          </w:p>
        </w:tc>
        <w:tc>
          <w:tcPr>
            <w:tcW w:w="6501" w:type="dxa"/>
          </w:tcPr>
          <w:p w14:paraId="4237C721" w14:textId="77777777" w:rsidR="00D44F3F" w:rsidRPr="00EF0E20" w:rsidRDefault="00D44F3F">
            <w:pPr>
              <w:spacing w:before="60" w:after="60"/>
              <w:contextualSpacing w:val="0"/>
            </w:pPr>
          </w:p>
        </w:tc>
      </w:tr>
      <w:tr w:rsidR="00D44F3F" w14:paraId="542EA209" w14:textId="77777777">
        <w:tc>
          <w:tcPr>
            <w:tcW w:w="2803" w:type="dxa"/>
          </w:tcPr>
          <w:p w14:paraId="34DABFB2" w14:textId="44814B2D" w:rsidR="00D44F3F" w:rsidRDefault="00D44F3F">
            <w:pPr>
              <w:spacing w:before="60" w:after="60"/>
              <w:contextualSpacing w:val="0"/>
            </w:pPr>
            <w:ins w:id="67" w:author="SECAS" w:date="2020-12-08T13:00:00Z">
              <w:r>
                <w:t>REC Code Manager</w:t>
              </w:r>
            </w:ins>
          </w:p>
        </w:tc>
        <w:tc>
          <w:tcPr>
            <w:tcW w:w="6501" w:type="dxa"/>
          </w:tcPr>
          <w:p w14:paraId="46F8DC77" w14:textId="182AD72E" w:rsidR="00D44F3F" w:rsidRPr="00EF0E20" w:rsidRDefault="00D44F3F">
            <w:pPr>
              <w:spacing w:before="60" w:after="60"/>
              <w:contextualSpacing w:val="0"/>
            </w:pPr>
            <w:ins w:id="68" w:author="SECAS" w:date="2020-12-08T13:00:00Z">
              <w:r>
                <w:t>As defined in the REC</w:t>
              </w:r>
            </w:ins>
          </w:p>
        </w:tc>
      </w:tr>
    </w:tbl>
    <w:p w14:paraId="0D9F06CB" w14:textId="77777777" w:rsidR="00EC2D1A" w:rsidRDefault="00EC2D1A">
      <w:pPr>
        <w:spacing w:before="0"/>
        <w:ind w:left="600"/>
        <w:contextualSpacing w:val="0"/>
      </w:pPr>
      <w:bookmarkStart w:id="69" w:name="_GoBack"/>
      <w:bookmarkEnd w:id="69"/>
    </w:p>
    <w:p w14:paraId="38EBDC76" w14:textId="77777777" w:rsidR="00EC2D1A" w:rsidRDefault="00EC2D1A">
      <w:pPr>
        <w:spacing w:before="0"/>
        <w:ind w:left="60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EC2D1A" w14:paraId="177BABEA" w14:textId="77777777" w:rsidTr="00193B17">
        <w:tc>
          <w:tcPr>
            <w:tcW w:w="2803" w:type="dxa"/>
          </w:tcPr>
          <w:p w14:paraId="4B757621" w14:textId="5B59BD58" w:rsidR="00EC2D1A" w:rsidRDefault="00FC7265">
            <w:pPr>
              <w:spacing w:before="60" w:after="60"/>
              <w:contextualSpacing w:val="0"/>
            </w:pPr>
            <w:r>
              <w:rPr>
                <w:b/>
              </w:rPr>
              <w:t>Registered</w:t>
            </w:r>
          </w:p>
        </w:tc>
        <w:tc>
          <w:tcPr>
            <w:tcW w:w="6502" w:type="dxa"/>
          </w:tcPr>
          <w:p w14:paraId="7441B2F7" w14:textId="37E3702C" w:rsidR="00EC2D1A" w:rsidRDefault="00C115E4">
            <w:pPr>
              <w:spacing w:before="60" w:after="60"/>
              <w:contextualSpacing w:val="0"/>
            </w:pPr>
            <w:r w:rsidRPr="00C115E4">
              <w:t>Means</w:t>
            </w:r>
            <w:ins w:id="70" w:author="SECAS" w:date="2020-06-18T14:37:00Z">
              <w:r>
                <w:t xml:space="preserve"> the</w:t>
              </w:r>
            </w:ins>
            <w:del w:id="71" w:author="SECAS" w:date="2020-06-18T14:37:00Z">
              <w:r w:rsidRPr="00C115E4" w:rsidDel="00C115E4">
                <w:delText xml:space="preserve"> </w:delText>
              </w:r>
            </w:del>
            <w:ins w:id="72" w:author="SECAS" w:date="2020-06-18T14:37:00Z">
              <w:r>
                <w:t xml:space="preserve"> </w:t>
              </w:r>
            </w:ins>
            <w:r w:rsidRPr="00C115E4">
              <w:t>Registered</w:t>
            </w:r>
            <w:ins w:id="73" w:author="SECAS" w:date="2020-06-18T14:37:00Z">
              <w:r>
                <w:t xml:space="preserve"> Supplier</w:t>
              </w:r>
            </w:ins>
            <w:r w:rsidRPr="00C115E4">
              <w:t xml:space="preserve">, as defined in the </w:t>
            </w:r>
            <w:del w:id="74" w:author="SECAS" w:date="2020-06-18T14:37:00Z">
              <w:r w:rsidRPr="00C115E4" w:rsidDel="00C115E4">
                <w:delText>MRA or the SPAA, as applicable</w:delText>
              </w:r>
            </w:del>
            <w:ins w:id="75" w:author="SECAS" w:date="2020-06-18T14:37:00Z">
              <w:r>
                <w:t>REC</w:t>
              </w:r>
            </w:ins>
            <w:r w:rsidRPr="00C115E4">
              <w:t xml:space="preserve"> (and </w:t>
            </w:r>
            <w:r w:rsidRPr="00C115E4">
              <w:t>“</w:t>
            </w:r>
            <w:r w:rsidRPr="00C115E4">
              <w:t>Registration</w:t>
            </w:r>
            <w:r w:rsidRPr="00C115E4">
              <w:t>”</w:t>
            </w:r>
            <w:r w:rsidRPr="00C115E4">
              <w:t xml:space="preserve"> shall be interpreted accordingly).</w:t>
            </w:r>
          </w:p>
        </w:tc>
      </w:tr>
    </w:tbl>
    <w:p w14:paraId="7E7EDEFC" w14:textId="391E625C" w:rsidR="00EC2D1A" w:rsidRDefault="00EC2D1A">
      <w:pPr>
        <w:spacing w:before="0"/>
        <w:ind w:left="600"/>
        <w:contextualSpacing w:val="0"/>
      </w:pPr>
    </w:p>
    <w:p w14:paraId="0098542F" w14:textId="77777777" w:rsidR="00C115E4" w:rsidRDefault="00C115E4">
      <w:pPr>
        <w:spacing w:before="0"/>
        <w:ind w:left="60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EC2D1A" w14:paraId="79B78098" w14:textId="77777777">
        <w:tc>
          <w:tcPr>
            <w:tcW w:w="2803" w:type="dxa"/>
          </w:tcPr>
          <w:p w14:paraId="643D657A" w14:textId="7B088547" w:rsidR="00EC2D1A" w:rsidRDefault="00FC7265">
            <w:pPr>
              <w:spacing w:before="60" w:after="60"/>
              <w:contextualSpacing w:val="0"/>
            </w:pPr>
            <w:del w:id="76" w:author="SECAS" w:date="2020-06-18T14:29:00Z">
              <w:r w:rsidDel="00193B17">
                <w:rPr>
                  <w:b/>
                </w:rPr>
                <w:delText>SPAA</w:delText>
              </w:r>
            </w:del>
          </w:p>
        </w:tc>
        <w:tc>
          <w:tcPr>
            <w:tcW w:w="6501" w:type="dxa"/>
          </w:tcPr>
          <w:p w14:paraId="226AE3F2" w14:textId="14DF60BF" w:rsidR="00EC2D1A" w:rsidRDefault="00FC7265">
            <w:pPr>
              <w:spacing w:before="60" w:after="60"/>
              <w:contextualSpacing w:val="0"/>
            </w:pPr>
            <w:del w:id="77" w:author="SECAS" w:date="2020-06-18T14:29:00Z">
              <w:r w:rsidDel="00193B17">
                <w:delText>means the Supply Point Administration Agreement established pursuant to the Gas Supply Licences.</w:delText>
              </w:r>
            </w:del>
          </w:p>
        </w:tc>
      </w:tr>
    </w:tbl>
    <w:p w14:paraId="0FCD4494" w14:textId="77777777" w:rsidR="00EC2D1A" w:rsidRDefault="00EC2D1A">
      <w:pPr>
        <w:spacing w:before="0"/>
        <w:ind w:left="600"/>
        <w:contextualSpacing w:val="0"/>
      </w:pPr>
    </w:p>
    <w:tbl>
      <w:tblPr>
        <w:tblStyle w:val="CMTabletable--borders-none"/>
        <w:tblW w:w="9305" w:type="dxa"/>
        <w:tblInd w:w="643" w:type="dxa"/>
        <w:tblLook w:val="04A0" w:firstRow="1" w:lastRow="0" w:firstColumn="1" w:lastColumn="0" w:noHBand="0" w:noVBand="1"/>
      </w:tblPr>
      <w:tblGrid>
        <w:gridCol w:w="2803"/>
        <w:gridCol w:w="6502"/>
      </w:tblGrid>
      <w:tr w:rsidR="00EC2D1A" w14:paraId="63F282E5" w14:textId="77777777">
        <w:tc>
          <w:tcPr>
            <w:tcW w:w="2803" w:type="dxa"/>
          </w:tcPr>
          <w:p w14:paraId="50CC90E5" w14:textId="10EDFBBE" w:rsidR="00EC2D1A" w:rsidRDefault="00FC7265">
            <w:pPr>
              <w:spacing w:before="60" w:after="60"/>
              <w:contextualSpacing w:val="0"/>
            </w:pPr>
            <w:del w:id="78" w:author="SECAS" w:date="2020-06-18T14:29:00Z">
              <w:r w:rsidDel="00193B17">
                <w:rPr>
                  <w:b/>
                </w:rPr>
                <w:delText>Supply Number</w:delText>
              </w:r>
            </w:del>
          </w:p>
        </w:tc>
        <w:tc>
          <w:tcPr>
            <w:tcW w:w="6501" w:type="dxa"/>
          </w:tcPr>
          <w:p w14:paraId="52DF84B2" w14:textId="588F461E" w:rsidR="00EC2D1A" w:rsidRDefault="00FC7265">
            <w:pPr>
              <w:spacing w:before="60" w:after="60"/>
              <w:contextualSpacing w:val="0"/>
            </w:pPr>
            <w:del w:id="79" w:author="SECAS" w:date="2020-06-18T14:29:00Z">
              <w:r w:rsidDel="00193B17">
                <w:delText>has the meaning given to that expression in the MRA.</w:delText>
              </w:r>
            </w:del>
          </w:p>
        </w:tc>
      </w:tr>
    </w:tbl>
    <w:p w14:paraId="69946A0C" w14:textId="77777777" w:rsidR="00EC2D1A" w:rsidRDefault="00EC2D1A">
      <w:pPr>
        <w:spacing w:before="0"/>
        <w:ind w:left="600"/>
        <w:contextualSpacing w:val="0"/>
      </w:pPr>
    </w:p>
    <w:sectPr w:rsidR="00EC2D1A">
      <w:headerReference w:type="default" r:id="rId7"/>
      <w:footerReference w:type="default" r:id="rId8"/>
      <w:pgSz w:w="11907" w:h="16839" w:code="9"/>
      <w:pgMar w:top="1135" w:right="851" w:bottom="1135" w:left="11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6D5A5" w14:textId="77777777" w:rsidR="00BF3D8F" w:rsidRDefault="00BF3D8F">
      <w:pPr>
        <w:spacing w:before="0" w:after="0" w:line="240" w:lineRule="auto"/>
      </w:pPr>
      <w:r>
        <w:separator/>
      </w:r>
    </w:p>
  </w:endnote>
  <w:endnote w:type="continuationSeparator" w:id="0">
    <w:p w14:paraId="57EFECF7" w14:textId="77777777" w:rsidR="00BF3D8F" w:rsidRDefault="00BF3D8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xpert Sans">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51083" w14:textId="77777777" w:rsidR="00FC7265" w:rsidRDefault="00FC7265">
    <w:pPr>
      <w:spacing w:after="0"/>
    </w:pPr>
  </w:p>
  <w:p w14:paraId="1CC76582" w14:textId="77777777" w:rsidR="00FC7265" w:rsidRDefault="00FC7265">
    <w:pPr>
      <w:pStyle w:val="Footer"/>
      <w:jc w:val="right"/>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3BDDA" w14:textId="77777777" w:rsidR="00BF3D8F" w:rsidRDefault="00BF3D8F">
      <w:pPr>
        <w:spacing w:before="0" w:after="0" w:line="240" w:lineRule="auto"/>
      </w:pPr>
      <w:r>
        <w:separator/>
      </w:r>
    </w:p>
  </w:footnote>
  <w:footnote w:type="continuationSeparator" w:id="0">
    <w:p w14:paraId="6C5AC501" w14:textId="77777777" w:rsidR="00BF3D8F" w:rsidRDefault="00BF3D8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A5470" w14:textId="77777777" w:rsidR="00FC7265" w:rsidRDefault="00FC7265">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374E4"/>
    <w:multiLevelType w:val="multilevel"/>
    <w:tmpl w:val="4350A7BC"/>
    <w:lvl w:ilvl="0">
      <w:start w:val="1"/>
      <w:numFmt w:val="lowerLetter"/>
      <w:lvlText w:val="%1."/>
      <w:lvlJc w:val="left"/>
      <w:pPr>
        <w:spacing w:before="240" w:after="240" w:line="264" w:lineRule="auto"/>
        <w:ind w:hanging="300"/>
        <w:contextualSpacing/>
        <w:jc w:val="left"/>
      </w:pPr>
    </w:lvl>
    <w:lvl w:ilvl="1">
      <w:start w:val="1"/>
      <w:numFmt w:val="lowerLetter"/>
      <w:lvlText w:val="%2."/>
      <w:lvlJc w:val="left"/>
      <w:pPr>
        <w:spacing w:before="240" w:after="240" w:line="264" w:lineRule="auto"/>
        <w:ind w:hanging="300"/>
        <w:contextualSpacing/>
        <w:jc w:val="left"/>
      </w:pPr>
    </w:lvl>
    <w:lvl w:ilvl="2">
      <w:start w:val="1"/>
      <w:numFmt w:val="lowerLetter"/>
      <w:lvlText w:val="%3."/>
      <w:lvlJc w:val="left"/>
      <w:pPr>
        <w:spacing w:before="240" w:after="240" w:line="264" w:lineRule="auto"/>
        <w:ind w:hanging="300"/>
        <w:contextualSpacing/>
        <w:jc w:val="left"/>
      </w:pPr>
    </w:lvl>
    <w:lvl w:ilvl="3">
      <w:start w:val="1"/>
      <w:numFmt w:val="lowerLetter"/>
      <w:lvlText w:val="%4."/>
      <w:lvlJc w:val="left"/>
      <w:pPr>
        <w:spacing w:before="240" w:after="240" w:line="264" w:lineRule="auto"/>
        <w:ind w:hanging="300"/>
        <w:contextualSpacing/>
        <w:jc w:val="left"/>
      </w:pPr>
    </w:lvl>
    <w:lvl w:ilvl="4">
      <w:start w:val="1"/>
      <w:numFmt w:val="lowerLetter"/>
      <w:lvlText w:val="%5."/>
      <w:lvlJc w:val="left"/>
      <w:pPr>
        <w:spacing w:before="240" w:after="240" w:line="264" w:lineRule="auto"/>
        <w:ind w:hanging="300"/>
        <w:contextualSpacing/>
        <w:jc w:val="left"/>
      </w:pPr>
    </w:lvl>
    <w:lvl w:ilvl="5">
      <w:start w:val="1"/>
      <w:numFmt w:val="lowerLetter"/>
      <w:lvlText w:val="%6."/>
      <w:lvlJc w:val="left"/>
      <w:pPr>
        <w:spacing w:before="240" w:after="240" w:line="264" w:lineRule="auto"/>
        <w:ind w:hanging="300"/>
        <w:contextualSpacing/>
        <w:jc w:val="left"/>
      </w:pPr>
    </w:lvl>
    <w:lvl w:ilvl="6">
      <w:start w:val="1"/>
      <w:numFmt w:val="lowerLetter"/>
      <w:lvlText w:val="%7."/>
      <w:lvlJc w:val="left"/>
      <w:pPr>
        <w:spacing w:before="240" w:after="240" w:line="264" w:lineRule="auto"/>
        <w:ind w:hanging="300"/>
        <w:contextualSpacing/>
        <w:jc w:val="left"/>
      </w:pPr>
    </w:lvl>
    <w:lvl w:ilvl="7">
      <w:start w:val="1"/>
      <w:numFmt w:val="lowerLetter"/>
      <w:lvlText w:val="%8."/>
      <w:lvlJc w:val="left"/>
      <w:pPr>
        <w:spacing w:before="240" w:after="240" w:line="264" w:lineRule="auto"/>
        <w:ind w:hanging="300"/>
        <w:contextualSpacing/>
        <w:jc w:val="left"/>
      </w:pPr>
    </w:lvl>
    <w:lvl w:ilvl="8">
      <w:start w:val="1"/>
      <w:numFmt w:val="lowerLetter"/>
      <w:lvlText w:val="%9."/>
      <w:lvlJc w:val="left"/>
      <w:pPr>
        <w:spacing w:before="240" w:after="240" w:line="264" w:lineRule="auto"/>
        <w:ind w:hanging="300"/>
        <w:contextualSpacing/>
        <w:jc w:val="left"/>
      </w:pPr>
    </w:lvl>
  </w:abstractNum>
  <w:abstractNum w:abstractNumId="1" w15:restartNumberingAfterBreak="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9D33523"/>
    <w:multiLevelType w:val="multilevel"/>
    <w:tmpl w:val="7F902B46"/>
    <w:lvl w:ilvl="0">
      <w:start w:val="1"/>
      <w:numFmt w:val="upperLetter"/>
      <w:lvlText w:val="%1"/>
      <w:lvlJc w:val="left"/>
      <w:pPr>
        <w:spacing w:before="240" w:after="240" w:line="264" w:lineRule="auto"/>
        <w:ind w:hanging="600"/>
        <w:contextualSpacing/>
        <w:jc w:val="left"/>
      </w:pPr>
    </w:lvl>
    <w:lvl w:ilvl="1">
      <w:start w:val="1"/>
      <w:numFmt w:val="decimal"/>
      <w:lvlText w:val="%1%2."/>
      <w:lvlJc w:val="left"/>
      <w:pPr>
        <w:spacing w:before="240" w:after="240" w:line="264" w:lineRule="auto"/>
        <w:ind w:hanging="600"/>
        <w:contextualSpacing/>
        <w:jc w:val="left"/>
      </w:pPr>
    </w:lvl>
    <w:lvl w:ilvl="2">
      <w:start w:val="1"/>
      <w:numFmt w:val="decimal"/>
      <w:lvlText w:val="%1%2.%3"/>
      <w:lvlJc w:val="left"/>
      <w:pPr>
        <w:spacing w:before="240" w:after="240" w:line="264" w:lineRule="auto"/>
        <w:ind w:hanging="600"/>
        <w:contextualSpacing/>
        <w:jc w:val="left"/>
      </w:pPr>
    </w:lvl>
    <w:lvl w:ilvl="3">
      <w:start w:val="1"/>
      <w:numFmt w:val="lowerLetter"/>
      <w:lvlText w:val="(%4)"/>
      <w:lvlJc w:val="left"/>
      <w:pPr>
        <w:spacing w:before="240" w:after="240" w:line="264" w:lineRule="auto"/>
        <w:ind w:hanging="600"/>
        <w:contextualSpacing/>
        <w:jc w:val="left"/>
      </w:pPr>
    </w:lvl>
    <w:lvl w:ilvl="4">
      <w:start w:val="1"/>
      <w:numFmt w:val="lowerRoman"/>
      <w:lvlText w:val="(%5)"/>
      <w:lvlJc w:val="left"/>
      <w:pPr>
        <w:spacing w:before="240" w:after="240" w:line="264" w:lineRule="auto"/>
        <w:ind w:hanging="600"/>
        <w:contextualSpacing/>
        <w:jc w:val="left"/>
      </w:pPr>
    </w:lvl>
    <w:lvl w:ilvl="5">
      <w:start w:val="1"/>
      <w:numFmt w:val="decimal"/>
      <w:lvlText w:val="(%6)"/>
      <w:lvlJc w:val="left"/>
      <w:pPr>
        <w:spacing w:before="240" w:after="240" w:line="264" w:lineRule="auto"/>
        <w:ind w:hanging="600"/>
        <w:contextualSpacing/>
        <w:jc w:val="left"/>
      </w:pPr>
    </w:lvl>
    <w:lvl w:ilvl="6">
      <w:start w:val="1"/>
      <w:numFmt w:val="lowerLetter"/>
      <w:lvlText w:val="(%7)"/>
      <w:lvlJc w:val="left"/>
      <w:pPr>
        <w:spacing w:before="240" w:after="240" w:line="264" w:lineRule="auto"/>
        <w:ind w:hanging="600"/>
        <w:contextualSpacing/>
        <w:jc w:val="left"/>
      </w:pPr>
    </w:lvl>
    <w:lvl w:ilvl="7">
      <w:start w:val="1"/>
      <w:numFmt w:val="lowerLetter"/>
      <w:lvlText w:val="(%8)"/>
      <w:lvlJc w:val="left"/>
      <w:pPr>
        <w:spacing w:before="240" w:after="240" w:line="264" w:lineRule="auto"/>
        <w:ind w:hanging="600"/>
        <w:contextualSpacing/>
        <w:jc w:val="left"/>
      </w:pPr>
    </w:lvl>
    <w:lvl w:ilvl="8">
      <w:start w:val="1"/>
      <w:numFmt w:val="lowerLetter"/>
      <w:lvlText w:val="(%9)"/>
      <w:lvlJc w:val="left"/>
      <w:pPr>
        <w:spacing w:before="240" w:after="240" w:line="264" w:lineRule="auto"/>
        <w:ind w:hanging="600"/>
        <w:contextualSpacing/>
        <w:jc w:val="left"/>
      </w:pPr>
    </w:lvl>
  </w:abstractNum>
  <w:abstractNum w:abstractNumId="3" w15:restartNumberingAfterBreak="0">
    <w:nsid w:val="43891F8B"/>
    <w:multiLevelType w:val="multilevel"/>
    <w:tmpl w:val="A956C2B0"/>
    <w:lvl w:ilvl="0">
      <w:start w:val="1"/>
      <w:numFmt w:val="lowerLetter"/>
      <w:lvlText w:val="%1."/>
      <w:lvlJc w:val="left"/>
      <w:pPr>
        <w:spacing w:before="240" w:after="240" w:line="264" w:lineRule="auto"/>
        <w:ind w:hanging="300"/>
        <w:contextualSpacing/>
        <w:jc w:val="left"/>
      </w:pPr>
    </w:lvl>
    <w:lvl w:ilvl="1">
      <w:start w:val="1"/>
      <w:numFmt w:val="lowerLetter"/>
      <w:lvlText w:val="%2."/>
      <w:lvlJc w:val="left"/>
      <w:pPr>
        <w:spacing w:before="240" w:after="240" w:line="264" w:lineRule="auto"/>
        <w:ind w:hanging="300"/>
        <w:contextualSpacing/>
        <w:jc w:val="left"/>
      </w:pPr>
    </w:lvl>
    <w:lvl w:ilvl="2">
      <w:start w:val="1"/>
      <w:numFmt w:val="lowerLetter"/>
      <w:lvlText w:val="%3."/>
      <w:lvlJc w:val="left"/>
      <w:pPr>
        <w:spacing w:before="240" w:after="240" w:line="264" w:lineRule="auto"/>
        <w:ind w:hanging="300"/>
        <w:contextualSpacing/>
        <w:jc w:val="left"/>
      </w:pPr>
    </w:lvl>
    <w:lvl w:ilvl="3">
      <w:start w:val="1"/>
      <w:numFmt w:val="lowerLetter"/>
      <w:lvlText w:val="%4."/>
      <w:lvlJc w:val="left"/>
      <w:pPr>
        <w:spacing w:before="240" w:after="240" w:line="264" w:lineRule="auto"/>
        <w:ind w:hanging="300"/>
        <w:contextualSpacing/>
        <w:jc w:val="left"/>
      </w:pPr>
    </w:lvl>
    <w:lvl w:ilvl="4">
      <w:start w:val="1"/>
      <w:numFmt w:val="lowerLetter"/>
      <w:lvlText w:val="%5."/>
      <w:lvlJc w:val="left"/>
      <w:pPr>
        <w:spacing w:before="240" w:after="240" w:line="264" w:lineRule="auto"/>
        <w:ind w:hanging="300"/>
        <w:contextualSpacing/>
        <w:jc w:val="left"/>
      </w:pPr>
    </w:lvl>
    <w:lvl w:ilvl="5">
      <w:start w:val="1"/>
      <w:numFmt w:val="lowerLetter"/>
      <w:lvlText w:val="%6."/>
      <w:lvlJc w:val="left"/>
      <w:pPr>
        <w:spacing w:before="240" w:after="240" w:line="264" w:lineRule="auto"/>
        <w:ind w:hanging="300"/>
        <w:contextualSpacing/>
        <w:jc w:val="left"/>
      </w:pPr>
    </w:lvl>
    <w:lvl w:ilvl="6">
      <w:start w:val="1"/>
      <w:numFmt w:val="lowerLetter"/>
      <w:lvlText w:val="%7."/>
      <w:lvlJc w:val="left"/>
      <w:pPr>
        <w:spacing w:before="240" w:after="240" w:line="264" w:lineRule="auto"/>
        <w:ind w:hanging="300"/>
        <w:contextualSpacing/>
        <w:jc w:val="left"/>
      </w:pPr>
    </w:lvl>
    <w:lvl w:ilvl="7">
      <w:start w:val="1"/>
      <w:numFmt w:val="lowerLetter"/>
      <w:lvlText w:val="%8."/>
      <w:lvlJc w:val="left"/>
      <w:pPr>
        <w:spacing w:before="240" w:after="240" w:line="264" w:lineRule="auto"/>
        <w:ind w:hanging="300"/>
        <w:contextualSpacing/>
        <w:jc w:val="left"/>
      </w:pPr>
    </w:lvl>
    <w:lvl w:ilvl="8">
      <w:start w:val="1"/>
      <w:numFmt w:val="lowerLetter"/>
      <w:lvlText w:val="%9."/>
      <w:lvlJc w:val="left"/>
      <w:pPr>
        <w:spacing w:before="240" w:after="240" w:line="264" w:lineRule="auto"/>
        <w:ind w:hanging="300"/>
        <w:contextualSpacing/>
        <w:jc w:val="left"/>
      </w:pPr>
    </w:lvl>
  </w:abstractNum>
  <w:abstractNum w:abstractNumId="4" w15:restartNumberingAfterBreak="0">
    <w:nsid w:val="55DE5C45"/>
    <w:multiLevelType w:val="multilevel"/>
    <w:tmpl w:val="FBA0EE0E"/>
    <w:lvl w:ilvl="0">
      <w:start w:val="1"/>
      <w:numFmt w:val="upperLetter"/>
      <w:lvlText w:val="%1"/>
      <w:lvlJc w:val="left"/>
      <w:pPr>
        <w:spacing w:before="240" w:after="240" w:line="264" w:lineRule="auto"/>
        <w:ind w:hanging="600"/>
        <w:contextualSpacing/>
        <w:jc w:val="left"/>
      </w:pPr>
    </w:lvl>
    <w:lvl w:ilvl="1">
      <w:start w:val="1"/>
      <w:numFmt w:val="decimal"/>
      <w:lvlText w:val="%1%2."/>
      <w:lvlJc w:val="left"/>
      <w:pPr>
        <w:spacing w:before="240" w:after="240" w:line="264" w:lineRule="auto"/>
        <w:ind w:hanging="600"/>
        <w:contextualSpacing/>
        <w:jc w:val="left"/>
      </w:pPr>
    </w:lvl>
    <w:lvl w:ilvl="2">
      <w:start w:val="1"/>
      <w:numFmt w:val="decimal"/>
      <w:lvlText w:val="%1%2.%3"/>
      <w:lvlJc w:val="left"/>
      <w:pPr>
        <w:spacing w:before="240" w:after="240" w:line="264" w:lineRule="auto"/>
        <w:ind w:hanging="600"/>
        <w:contextualSpacing/>
        <w:jc w:val="left"/>
      </w:pPr>
    </w:lvl>
    <w:lvl w:ilvl="3">
      <w:start w:val="1"/>
      <w:numFmt w:val="lowerLetter"/>
      <w:lvlText w:val="(%4)"/>
      <w:lvlJc w:val="left"/>
      <w:pPr>
        <w:spacing w:before="240" w:after="240" w:line="264" w:lineRule="auto"/>
        <w:ind w:hanging="600"/>
        <w:contextualSpacing/>
        <w:jc w:val="left"/>
      </w:pPr>
    </w:lvl>
    <w:lvl w:ilvl="4">
      <w:start w:val="1"/>
      <w:numFmt w:val="lowerRoman"/>
      <w:lvlText w:val="(%5)"/>
      <w:lvlJc w:val="left"/>
      <w:pPr>
        <w:spacing w:before="240" w:after="240" w:line="264" w:lineRule="auto"/>
        <w:ind w:hanging="600"/>
        <w:contextualSpacing/>
        <w:jc w:val="left"/>
      </w:pPr>
    </w:lvl>
    <w:lvl w:ilvl="5">
      <w:start w:val="1"/>
      <w:numFmt w:val="decimal"/>
      <w:lvlText w:val="(%6)"/>
      <w:lvlJc w:val="left"/>
      <w:pPr>
        <w:spacing w:before="240" w:after="240" w:line="264" w:lineRule="auto"/>
        <w:ind w:hanging="600"/>
        <w:contextualSpacing/>
        <w:jc w:val="left"/>
      </w:pPr>
    </w:lvl>
    <w:lvl w:ilvl="6">
      <w:start w:val="1"/>
      <w:numFmt w:val="lowerLetter"/>
      <w:lvlText w:val="(%7)"/>
      <w:lvlJc w:val="left"/>
      <w:pPr>
        <w:spacing w:before="240" w:after="240" w:line="264" w:lineRule="auto"/>
        <w:ind w:hanging="600"/>
        <w:contextualSpacing/>
        <w:jc w:val="left"/>
      </w:pPr>
    </w:lvl>
    <w:lvl w:ilvl="7">
      <w:start w:val="1"/>
      <w:numFmt w:val="lowerLetter"/>
      <w:lvlText w:val="(%8)"/>
      <w:lvlJc w:val="left"/>
      <w:pPr>
        <w:spacing w:before="240" w:after="240" w:line="264" w:lineRule="auto"/>
        <w:ind w:hanging="600"/>
        <w:contextualSpacing/>
        <w:jc w:val="left"/>
      </w:pPr>
    </w:lvl>
    <w:lvl w:ilvl="8">
      <w:start w:val="1"/>
      <w:numFmt w:val="lowerLetter"/>
      <w:lvlText w:val="(%9)"/>
      <w:lvlJc w:val="left"/>
      <w:pPr>
        <w:spacing w:before="240" w:after="240" w:line="264" w:lineRule="auto"/>
        <w:ind w:hanging="600"/>
        <w:contextualSpacing/>
        <w:jc w:val="left"/>
      </w:pPr>
    </w:lvl>
  </w:abstractNum>
  <w:abstractNum w:abstractNumId="5" w15:restartNumberingAfterBreak="0">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CAS">
    <w15:presenceInfo w15:providerId="None" w15:userId="SEC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D1A"/>
    <w:rsid w:val="00090A7B"/>
    <w:rsid w:val="001010B0"/>
    <w:rsid w:val="001825AB"/>
    <w:rsid w:val="00193B17"/>
    <w:rsid w:val="00310E04"/>
    <w:rsid w:val="00341A9B"/>
    <w:rsid w:val="00414F1B"/>
    <w:rsid w:val="0049279B"/>
    <w:rsid w:val="006202DD"/>
    <w:rsid w:val="006310ED"/>
    <w:rsid w:val="00833203"/>
    <w:rsid w:val="008D6C0A"/>
    <w:rsid w:val="00A8515F"/>
    <w:rsid w:val="00AC17D9"/>
    <w:rsid w:val="00B4498C"/>
    <w:rsid w:val="00BF3D8F"/>
    <w:rsid w:val="00C115E4"/>
    <w:rsid w:val="00C73F83"/>
    <w:rsid w:val="00C75EAA"/>
    <w:rsid w:val="00CE664B"/>
    <w:rsid w:val="00D44F3F"/>
    <w:rsid w:val="00DC5FE1"/>
    <w:rsid w:val="00DE1F90"/>
    <w:rsid w:val="00EC2D1A"/>
    <w:rsid w:val="00EF0E20"/>
    <w:rsid w:val="00FC72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6E9EA"/>
  <w15:docId w15:val="{06112D18-7DD6-45A9-B443-7EACDADEF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link w:val="InlineNormal"/>
    <w:pPr>
      <w:spacing w:before="240" w:after="240" w:line="264" w:lineRule="auto"/>
      <w:contextualSpacing/>
    </w:pPr>
    <w:rPr>
      <w:rFonts w:ascii="Expert Sans" w:cs="Expert Sans"/>
      <w:color w:val="000000"/>
      <w:sz w:val="19"/>
    </w:rPr>
  </w:style>
  <w:style w:type="paragraph" w:styleId="Heading1">
    <w:name w:val="heading 1"/>
    <w:basedOn w:val="Normal"/>
    <w:link w:val="Heading1Char"/>
    <w:pPr>
      <w:keepNext/>
      <w:contextualSpacing w:val="0"/>
      <w:outlineLvl w:val="0"/>
    </w:pPr>
    <w:rPr>
      <w:b/>
      <w:sz w:val="24"/>
    </w:rPr>
  </w:style>
  <w:style w:type="paragraph" w:styleId="Heading2">
    <w:name w:val="heading 2"/>
    <w:basedOn w:val="Normal"/>
    <w:link w:val="Heading2Char"/>
    <w:pPr>
      <w:keepNext/>
      <w:contextualSpacing w:val="0"/>
      <w:outlineLvl w:val="1"/>
    </w:pPr>
    <w:rPr>
      <w:b/>
      <w:sz w:val="21"/>
      <w:u w:val="single"/>
    </w:rPr>
  </w:style>
  <w:style w:type="paragraph" w:styleId="Heading3">
    <w:name w:val="heading 3"/>
    <w:basedOn w:val="Normal"/>
    <w:link w:val="Heading3Char"/>
    <w:pPr>
      <w:keepNext/>
      <w:contextualSpacing w:val="0"/>
      <w:outlineLvl w:val="2"/>
    </w:pPr>
    <w:rPr>
      <w:b/>
      <w:sz w:val="21"/>
    </w:rPr>
  </w:style>
  <w:style w:type="paragraph" w:styleId="Heading4">
    <w:name w:val="heading 4"/>
    <w:basedOn w:val="Normal"/>
    <w:link w:val="Heading4Char"/>
    <w:pPr>
      <w:keepNext/>
      <w:contextualSpacing w:val="0"/>
      <w:outlineLvl w:val="3"/>
    </w:pPr>
    <w:rPr>
      <w:sz w:val="21"/>
      <w:u w:val="single"/>
    </w:rPr>
  </w:style>
  <w:style w:type="paragraph" w:styleId="Heading5">
    <w:name w:val="heading 5"/>
    <w:basedOn w:val="Normal"/>
    <w:link w:val="Heading5Char"/>
    <w:pPr>
      <w:keepNext/>
      <w:contextualSpacing w:val="0"/>
      <w:outlineLvl w:val="4"/>
    </w:pPr>
    <w:rPr>
      <w:color w:val="1DAF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InlineNormal"/>
    <w:uiPriority w:val="99"/>
    <w:rsid w:val="00841CD9"/>
    <w:rPr>
      <w:rFonts w:ascii="Expert Sans" w:cs="Expert Sans"/>
      <w:color w:val="000000"/>
      <w:position w:val="0"/>
      <w:sz w:val="19"/>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InlineNormal"/>
    <w:link w:val="Subtitle"/>
    <w:uiPriority w:val="11"/>
    <w:rsid w:val="00841CD9"/>
    <w:rPr>
      <w:rFonts w:asciiTheme="majorHAnsi" w:eastAsiaTheme="majorEastAsia" w:hAnsiTheme="majorHAnsi" w:cstheme="majorBidi"/>
      <w:i/>
      <w:iCs/>
      <w:color w:val="4472C4" w:themeColor="accent1"/>
      <w:spacing w:val="15"/>
      <w:position w:val="0"/>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InlineNormal"/>
    <w:link w:val="Title"/>
    <w:uiPriority w:val="10"/>
    <w:rsid w:val="00841CD9"/>
    <w:rPr>
      <w:rFonts w:asciiTheme="majorHAnsi" w:eastAsiaTheme="majorEastAsia" w:hAnsiTheme="majorHAnsi" w:cstheme="majorBidi"/>
      <w:color w:val="323E4F" w:themeColor="text2" w:themeShade="BF"/>
      <w:spacing w:val="5"/>
      <w:kern w:val="28"/>
      <w:position w:val="0"/>
      <w:sz w:val="52"/>
      <w:szCs w:val="52"/>
    </w:rPr>
  </w:style>
  <w:style w:type="character" w:styleId="Emphasis">
    <w:name w:val="Emphasis"/>
    <w:basedOn w:val="InlineNormal"/>
    <w:uiPriority w:val="20"/>
    <w:qFormat/>
    <w:rsid w:val="00D1197D"/>
    <w:rPr>
      <w:rFonts w:ascii="Expert Sans" w:cs="Expert Sans"/>
      <w:i/>
      <w:iCs/>
      <w:color w:val="000000"/>
      <w:position w:val="0"/>
      <w:sz w:val="19"/>
    </w:rPr>
  </w:style>
  <w:style w:type="table" w:styleId="TableGrid">
    <w:name w:val="Table Grid"/>
    <w:basedOn w:val="CMTable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tblCellMar>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Header">
    <w:name w:val="header"/>
    <w:aliases w:val="Header Char1,Header Char1 Char,Header Char1 Char Char,Header Char1 Char Char Char,Header Char1 Char Char Char Char,Header Char1 Char Char Char Char Char,Header Char1 Char Char Char Char Char Char,Header Char1 Char Char Char Char Char Char Char"/>
    <w:basedOn w:val="Normal"/>
    <w:link w:val="Header"/>
    <w:pPr>
      <w:spacing w:before="0"/>
    </w:pPr>
  </w:style>
  <w:style w:type="paragraph" w:styleId="Footer">
    <w:name w:val="footer"/>
    <w:aliases w:val="Footer Char,Footer Char Char,Footer Char Char Char,Footer Char Char Char Char,Footer Char Char Char Char Char,Footer Char Char Char Char Char Char,Footer Char Char Char Char Char Char Char,Footer Char Char Char Char Char Char Char Char"/>
    <w:basedOn w:val="Normal"/>
    <w:link w:val="Footer"/>
    <w:pPr>
      <w:spacing w:after="0"/>
    </w:pPr>
  </w:style>
  <w:style w:type="paragraph" w:customStyle="1" w:styleId="TableParagraphNormal">
    <w:name w:val="TableParagraphNormal"/>
    <w:basedOn w:val="Normal"/>
    <w:link w:val="TableParagraphNormal"/>
    <w:pPr>
      <w:spacing w:before="60" w:after="60"/>
      <w:contextualSpacing w:val="0"/>
    </w:pPr>
  </w:style>
  <w:style w:type="paragraph" w:customStyle="1" w:styleId="FootnoteParagraph">
    <w:name w:val="FootnoteParagraph"/>
    <w:basedOn w:val="Normal"/>
    <w:link w:val="FootnoteParagraph"/>
    <w:pPr>
      <w:spacing w:before="60" w:after="60"/>
      <w:contextualSpacing w:val="0"/>
    </w:pPr>
  </w:style>
  <w:style w:type="paragraph" w:styleId="TOCHeading">
    <w:name w:val="TOC Heading"/>
    <w:basedOn w:val="Normal"/>
    <w:link w:val="TOCHeadingChar"/>
    <w:pPr>
      <w:keepNext/>
      <w:contextualSpacing w:val="0"/>
    </w:pPr>
    <w:rPr>
      <w:b/>
      <w:sz w:val="24"/>
    </w:rPr>
  </w:style>
  <w:style w:type="paragraph" w:styleId="TOC1">
    <w:name w:val="toc 1"/>
    <w:aliases w:val="TOC 1 Char,TOC 1 Char Char,TOC 1 Char Char Char,TOC 1 Char Char Char Char,TOC 1 Char Char Char Char Char,TOC 1 Char Char Char Char Char Char,TOC 1 Char Char Char Char Char Char Char,TOC 1 Char Char Char Char Char Char Char Char"/>
    <w:basedOn w:val="Normal"/>
    <w:link w:val="TOC1"/>
    <w:uiPriority w:val="39"/>
    <w:pPr>
      <w:spacing w:before="60" w:after="60"/>
      <w:contextualSpacing w:val="0"/>
    </w:pPr>
  </w:style>
  <w:style w:type="paragraph" w:styleId="TOC2">
    <w:name w:val="toc 2"/>
    <w:aliases w:val="TOC 2 Char,TOC 2 Char Char,TOC 2 Char Char Char,TOC 2 Char Char Char Char,TOC 2 Char Char Char Char Char,TOC 2 Char Char Char Char Char Char,TOC 2 Char Char Char Char Char Char Char,TOC 2 Char Char Char Char Char Char Char Char"/>
    <w:basedOn w:val="Normal"/>
    <w:link w:val="TOC2"/>
    <w:uiPriority w:val="39"/>
    <w:pPr>
      <w:spacing w:before="60" w:after="60"/>
      <w:ind w:left="300"/>
      <w:contextualSpacing w:val="0"/>
    </w:pPr>
  </w:style>
  <w:style w:type="paragraph" w:styleId="TOC3">
    <w:name w:val="toc 3"/>
    <w:aliases w:val="TOC 3 Char,TOC 3 Char Char,TOC 3 Char Char Char,TOC 3 Char Char Char Char,TOC 3 Char Char Char Char Char,TOC 3 Char Char Char Char Char Char,TOC 3 Char Char Char Char Char Char Char,TOC 3 Char Char Char Char Char Char Char Char"/>
    <w:basedOn w:val="Normal"/>
    <w:link w:val="TOC3"/>
    <w:uiPriority w:val="39"/>
    <w:pPr>
      <w:spacing w:before="60" w:after="60"/>
      <w:ind w:left="600"/>
      <w:contextualSpacing w:val="0"/>
    </w:pPr>
  </w:style>
  <w:style w:type="paragraph" w:styleId="TOC4">
    <w:name w:val="toc 4"/>
    <w:aliases w:val="TOC 4 Char,TOC 4 Char Char,TOC 4 Char Char Char,TOC 4 Char Char Char Char,TOC 4 Char Char Char Char Char,TOC 4 Char Char Char Char Char Char,TOC 4 Char Char Char Char Char Char Char,TOC 4 Char Char Char Char Char Char Char Char"/>
    <w:basedOn w:val="Normal"/>
    <w:link w:val="TOC4"/>
    <w:pPr>
      <w:spacing w:before="60" w:after="60"/>
      <w:ind w:left="900"/>
      <w:contextualSpacing w:val="0"/>
    </w:pPr>
  </w:style>
  <w:style w:type="paragraph" w:styleId="TOC5">
    <w:name w:val="toc 5"/>
    <w:aliases w:val="TOC 5 Char,TOC 5 Char Char,TOC 5 Char Char Char,TOC 5 Char Char Char Char,TOC 5 Char Char Char Char Char,TOC 5 Char Char Char Char Char Char,TOC 5 Char Char Char Char Char Char Char,TOC 5 Char Char Char Char Char Char Char Char"/>
    <w:basedOn w:val="Normal"/>
    <w:link w:val="TOC5"/>
    <w:pPr>
      <w:spacing w:before="60" w:after="60"/>
      <w:ind w:left="1200"/>
      <w:contextualSpacing w:val="0"/>
    </w:pPr>
  </w:style>
  <w:style w:type="paragraph" w:styleId="TOC6">
    <w:name w:val="toc 6"/>
    <w:aliases w:val="TOC 6 Char,TOC 6 Char Char,TOC 6 Char Char Char,TOC 6 Char Char Char Char,TOC 6 Char Char Char Char Char,TOC 6 Char Char Char Char Char Char,TOC 6 Char Char Char Char Char Char Char,TOC 6 Char Char Char Char Char Char Char Char"/>
    <w:basedOn w:val="Normal"/>
    <w:link w:val="TOC6"/>
    <w:pPr>
      <w:spacing w:before="60" w:after="60"/>
      <w:ind w:left="1500"/>
      <w:contextualSpacing w:val="0"/>
    </w:pPr>
  </w:style>
  <w:style w:type="paragraph" w:styleId="TOC7">
    <w:name w:val="toc 7"/>
    <w:aliases w:val="TOC 7 Char,TOC 7 Char Char,TOC 7 Char Char Char,TOC 7 Char Char Char Char,TOC 7 Char Char Char Char Char,TOC 7 Char Char Char Char Char Char,TOC 7 Char Char Char Char Char Char Char,TOC 7 Char Char Char Char Char Char Char Char"/>
    <w:basedOn w:val="Normal"/>
    <w:link w:val="TOC7"/>
    <w:pPr>
      <w:spacing w:before="60" w:after="60"/>
      <w:ind w:left="1800"/>
      <w:contextualSpacing w:val="0"/>
    </w:pPr>
  </w:style>
  <w:style w:type="paragraph" w:styleId="TOC8">
    <w:name w:val="toc 8"/>
    <w:aliases w:val="TOC 8 Char,TOC 8 Char Char,TOC 8 Char Char Char,TOC 8 Char Char Char Char,TOC 8 Char Char Char Char Char,TOC 8 Char Char Char Char Char Char,TOC 8 Char Char Char Char Char Char Char,TOC 8 Char Char Char Char Char Char Char Char"/>
    <w:basedOn w:val="Normal"/>
    <w:link w:val="TOC8"/>
    <w:pPr>
      <w:spacing w:before="60" w:after="60"/>
      <w:ind w:left="2100"/>
      <w:contextualSpacing w:val="0"/>
    </w:pPr>
  </w:style>
  <w:style w:type="paragraph" w:styleId="TOC9">
    <w:name w:val="toc 9"/>
    <w:aliases w:val="TOC 9 Char,TOC 9 Char Char,TOC 9 Char Char Char,TOC 9 Char Char Char Char,TOC 9 Char Char Char Char Char,TOC 9 Char Char Char Char Char Char,TOC 9 Char Char Char Char Char Char Char,TOC 9 Char Char Char Char Char Char Char Char"/>
    <w:basedOn w:val="Normal"/>
    <w:link w:val="TOC9"/>
    <w:pPr>
      <w:spacing w:before="60" w:after="60"/>
      <w:ind w:left="2400"/>
      <w:contextualSpacing w:val="0"/>
    </w:pPr>
  </w:style>
  <w:style w:type="paragraph" w:customStyle="1" w:styleId="TOC10">
    <w:name w:val="TOC 10"/>
    <w:basedOn w:val="Normal"/>
    <w:link w:val="TOC10"/>
    <w:pPr>
      <w:spacing w:before="60" w:after="60"/>
      <w:ind w:left="2700"/>
      <w:contextualSpacing w:val="0"/>
    </w:pPr>
  </w:style>
  <w:style w:type="character" w:customStyle="1" w:styleId="InlineNormal">
    <w:name w:val="InlineNormal"/>
    <w:rPr>
      <w:rFonts w:ascii="Expert Sans" w:cs="Expert Sans"/>
      <w:color w:val="000000"/>
      <w:position w:val="0"/>
      <w:sz w:val="19"/>
    </w:rPr>
  </w:style>
  <w:style w:type="character" w:styleId="Hyperlink">
    <w:name w:val="Hyperlink"/>
    <w:basedOn w:val="InlineNormal"/>
    <w:uiPriority w:val="99"/>
    <w:rPr>
      <w:rFonts w:ascii="Expert Sans" w:cs="Expert Sans"/>
      <w:color w:val="337AB7"/>
      <w:position w:val="0"/>
      <w:sz w:val="19"/>
    </w:rPr>
  </w:style>
  <w:style w:type="character" w:customStyle="1" w:styleId="FootnoteText">
    <w:name w:val="FootnoteText"/>
    <w:basedOn w:val="InlineNormal"/>
    <w:rPr>
      <w:rFonts w:ascii="Expert Sans" w:cs="Expert Sans"/>
      <w:color w:val="000000"/>
      <w:position w:val="0"/>
      <w:sz w:val="15"/>
    </w:rPr>
  </w:style>
  <w:style w:type="character" w:customStyle="1" w:styleId="FootnoteReference">
    <w:name w:val="FootnoteReference"/>
    <w:basedOn w:val="InlineNormal"/>
    <w:rPr>
      <w:rFonts w:ascii="Expert Sans" w:cs="Expert Sans"/>
      <w:color w:val="000000"/>
      <w:position w:val="9"/>
      <w:sz w:val="12"/>
    </w:rPr>
  </w:style>
  <w:style w:type="character" w:customStyle="1" w:styleId="TOCHeadingChar">
    <w:name w:val="TOC Heading Char"/>
    <w:basedOn w:val="InlineNormal"/>
    <w:link w:val="TOCHeading"/>
    <w:rPr>
      <w:rFonts w:ascii="Expert Sans" w:cs="Expert Sans"/>
      <w:b/>
      <w:color w:val="000000"/>
      <w:position w:val="0"/>
      <w:sz w:val="24"/>
    </w:rPr>
  </w:style>
  <w:style w:type="character" w:customStyle="1" w:styleId="PendingDeletion">
    <w:name w:val="PendingDeletion"/>
    <w:basedOn w:val="InlineNormal"/>
    <w:rPr>
      <w:rFonts w:ascii="Expert Sans" w:cs="Expert Sans"/>
      <w:strike/>
      <w:color w:val="000000"/>
      <w:position w:val="0"/>
      <w:sz w:val="19"/>
    </w:rPr>
  </w:style>
  <w:style w:type="character" w:customStyle="1" w:styleId="Heading1Char">
    <w:name w:val="Heading 1 Char"/>
    <w:basedOn w:val="InlineNormal"/>
    <w:link w:val="Heading1"/>
    <w:rPr>
      <w:rFonts w:ascii="Expert Sans" w:cs="Expert Sans"/>
      <w:b/>
      <w:color w:val="000000"/>
      <w:position w:val="0"/>
      <w:sz w:val="24"/>
    </w:rPr>
  </w:style>
  <w:style w:type="character" w:customStyle="1" w:styleId="Heading2Char">
    <w:name w:val="Heading 2 Char"/>
    <w:basedOn w:val="InlineNormal"/>
    <w:link w:val="Heading2"/>
    <w:rPr>
      <w:rFonts w:ascii="Expert Sans" w:cs="Expert Sans"/>
      <w:b/>
      <w:color w:val="000000"/>
      <w:position w:val="0"/>
      <w:sz w:val="21"/>
      <w:u w:val="single"/>
    </w:rPr>
  </w:style>
  <w:style w:type="character" w:customStyle="1" w:styleId="Heading3Char">
    <w:name w:val="Heading 3 Char"/>
    <w:basedOn w:val="InlineNormal"/>
    <w:link w:val="Heading3"/>
    <w:rPr>
      <w:rFonts w:ascii="Expert Sans" w:cs="Expert Sans"/>
      <w:b/>
      <w:color w:val="000000"/>
      <w:position w:val="0"/>
      <w:sz w:val="21"/>
    </w:rPr>
  </w:style>
  <w:style w:type="character" w:customStyle="1" w:styleId="Heading4Char">
    <w:name w:val="Heading 4 Char"/>
    <w:basedOn w:val="InlineNormal"/>
    <w:link w:val="Heading4"/>
    <w:rPr>
      <w:rFonts w:ascii="Expert Sans" w:cs="Expert Sans"/>
      <w:color w:val="000000"/>
      <w:position w:val="0"/>
      <w:sz w:val="21"/>
      <w:u w:val="single"/>
    </w:rPr>
  </w:style>
  <w:style w:type="character" w:customStyle="1" w:styleId="Heading5Char">
    <w:name w:val="Heading 5 Char"/>
    <w:basedOn w:val="InlineNormal"/>
    <w:link w:val="Heading5"/>
    <w:rPr>
      <w:rFonts w:ascii="Expert Sans" w:cs="Expert Sans"/>
      <w:color w:val="1DAFEC"/>
      <w:position w:val="0"/>
      <w:sz w:val="19"/>
    </w:rPr>
  </w:style>
  <w:style w:type="table" w:customStyle="1" w:styleId="CMTableTableNormal">
    <w:name w:val="CM Table: TableNormal"/>
    <w:basedOn w:val="TableNormal"/>
    <w:tblPr>
      <w:tblBorders>
        <w:top w:val="single" w:sz="2" w:space="0" w:color="E6E6E6"/>
        <w:left w:val="single" w:sz="2" w:space="0" w:color="E6E6E6"/>
        <w:bottom w:val="single" w:sz="2" w:space="0" w:color="E6E6E6"/>
        <w:right w:val="single" w:sz="2" w:space="0" w:color="E6E6E6"/>
        <w:insideH w:val="single" w:sz="2" w:space="0" w:color="E6E6E6"/>
        <w:insideV w:val="single" w:sz="2" w:space="0" w:color="E6E6E6"/>
      </w:tblBorders>
      <w:tblCellMar>
        <w:left w:w="43" w:type="dxa"/>
      </w:tblCellMar>
    </w:tblPr>
  </w:style>
  <w:style w:type="table" w:customStyle="1" w:styleId="CMTabletable--borders">
    <w:name w:val="CM Table: table--borders"/>
    <w:basedOn w:val="CMTableTableNormal"/>
    <w:tblPr/>
  </w:style>
  <w:style w:type="table" w:customStyle="1" w:styleId="CMTabletable--borders-none">
    <w:name w:val="CM Table: table--borders-none"/>
    <w:basedOn w:val="CMTableTableNormal"/>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style>
  <w:style w:type="paragraph" w:styleId="BalloonText">
    <w:name w:val="Balloon Text"/>
    <w:basedOn w:val="Normal"/>
    <w:link w:val="BalloonTextChar"/>
    <w:uiPriority w:val="99"/>
    <w:semiHidden/>
    <w:unhideWhenUsed/>
    <w:rsid w:val="00FC726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265"/>
    <w:rPr>
      <w:rFonts w:ascii="Segoe UI" w:hAnsi="Segoe UI" w:cs="Segoe UI"/>
      <w:color w:val="000000"/>
      <w:sz w:val="18"/>
      <w:szCs w:val="18"/>
    </w:rPr>
  </w:style>
  <w:style w:type="character" w:styleId="Strong">
    <w:name w:val="Strong"/>
    <w:basedOn w:val="DefaultParagraphFont"/>
    <w:uiPriority w:val="22"/>
    <w:qFormat/>
    <w:rsid w:val="00FC7265"/>
    <w:rPr>
      <w:b/>
      <w:bCs/>
    </w:rPr>
  </w:style>
  <w:style w:type="character" w:styleId="CommentReference">
    <w:name w:val="annotation reference"/>
    <w:basedOn w:val="DefaultParagraphFont"/>
    <w:uiPriority w:val="99"/>
    <w:semiHidden/>
    <w:unhideWhenUsed/>
    <w:rsid w:val="00DC5FE1"/>
    <w:rPr>
      <w:sz w:val="16"/>
      <w:szCs w:val="16"/>
    </w:rPr>
  </w:style>
  <w:style w:type="paragraph" w:styleId="CommentText">
    <w:name w:val="annotation text"/>
    <w:basedOn w:val="Normal"/>
    <w:link w:val="CommentTextChar"/>
    <w:uiPriority w:val="99"/>
    <w:semiHidden/>
    <w:unhideWhenUsed/>
    <w:rsid w:val="00DC5FE1"/>
    <w:pPr>
      <w:spacing w:line="240" w:lineRule="auto"/>
    </w:pPr>
    <w:rPr>
      <w:sz w:val="20"/>
      <w:szCs w:val="20"/>
    </w:rPr>
  </w:style>
  <w:style w:type="character" w:customStyle="1" w:styleId="CommentTextChar">
    <w:name w:val="Comment Text Char"/>
    <w:basedOn w:val="DefaultParagraphFont"/>
    <w:link w:val="CommentText"/>
    <w:uiPriority w:val="99"/>
    <w:semiHidden/>
    <w:rsid w:val="00DC5FE1"/>
    <w:rPr>
      <w:rFonts w:ascii="Expert Sans" w:cs="Expert Sans"/>
      <w:color w:val="000000"/>
      <w:sz w:val="20"/>
      <w:szCs w:val="20"/>
    </w:rPr>
  </w:style>
  <w:style w:type="paragraph" w:styleId="CommentSubject">
    <w:name w:val="annotation subject"/>
    <w:basedOn w:val="CommentText"/>
    <w:next w:val="CommentText"/>
    <w:link w:val="CommentSubjectChar"/>
    <w:uiPriority w:val="99"/>
    <w:semiHidden/>
    <w:unhideWhenUsed/>
    <w:rsid w:val="00DC5FE1"/>
    <w:rPr>
      <w:b/>
      <w:bCs/>
    </w:rPr>
  </w:style>
  <w:style w:type="character" w:customStyle="1" w:styleId="CommentSubjectChar">
    <w:name w:val="Comment Subject Char"/>
    <w:basedOn w:val="CommentTextChar"/>
    <w:link w:val="CommentSubject"/>
    <w:uiPriority w:val="99"/>
    <w:semiHidden/>
    <w:rsid w:val="00DC5FE1"/>
    <w:rPr>
      <w:rFonts w:ascii="Expert Sans" w:cs="Expert San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ClauseMatch</dc:creator>
  <cp:lastModifiedBy>SECAS</cp:lastModifiedBy>
  <cp:revision>22</cp:revision>
  <dcterms:created xsi:type="dcterms:W3CDTF">2020-06-18T13:11:00Z</dcterms:created>
  <dcterms:modified xsi:type="dcterms:W3CDTF">2020-12-08T13:00:00Z</dcterms:modified>
</cp:coreProperties>
</file>