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49A63E3" w:rsidR="002F2C55" w:rsidRPr="002F2C55" w:rsidRDefault="002F2C55" w:rsidP="002F2C55">
            <w:pPr>
              <w:pStyle w:val="Title"/>
              <w:rPr>
                <w:noProof/>
                <w:sz w:val="22"/>
                <w:szCs w:val="22"/>
              </w:rPr>
            </w:pPr>
            <w:r>
              <w:rPr>
                <w:noProof/>
                <w:sz w:val="22"/>
                <w:szCs w:val="22"/>
              </w:rPr>
              <w:t>Network Innovation Competition 2020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3A1DFAB6" w:rsidR="002F2C55" w:rsidRPr="006605C4" w:rsidRDefault="00E4392A" w:rsidP="001F6E93">
            <w:pPr>
              <w:pStyle w:val="Heading1"/>
              <w:rPr>
                <w:rFonts w:eastAsia="Times New Roman"/>
                <w:sz w:val="24"/>
              </w:rPr>
            </w:pPr>
            <w:r>
              <w:rPr>
                <w:rFonts w:eastAsia="Times New Roman"/>
                <w:sz w:val="24"/>
              </w:rPr>
              <w:t>H100 Fife</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2E5965F0" w:rsidR="002F2C55" w:rsidRPr="006605C4" w:rsidRDefault="002F2C55" w:rsidP="001F6E93">
            <w:pPr>
              <w:pStyle w:val="Heading1"/>
              <w:rPr>
                <w:rFonts w:eastAsia="Times New Roman"/>
                <w:sz w:val="24"/>
              </w:rPr>
            </w:pPr>
            <w:r w:rsidRPr="006605C4">
              <w:rPr>
                <w:rFonts w:eastAsia="Times New Roman"/>
                <w:sz w:val="24"/>
              </w:rPr>
              <w:t>#</w:t>
            </w:r>
            <w:r w:rsidR="009E5B19">
              <w:rPr>
                <w:rFonts w:eastAsia="Times New Roman"/>
                <w:sz w:val="24"/>
              </w:rPr>
              <w:t>2</w:t>
            </w:r>
            <w:r w:rsidR="00774971">
              <w:rPr>
                <w:rFonts w:eastAsia="Times New Roman"/>
                <w:sz w:val="24"/>
              </w:rPr>
              <w:t>5</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68F1E0C7" w:rsidR="002F2C55" w:rsidRPr="006605C4" w:rsidRDefault="00D348BC" w:rsidP="001F6E93">
            <w:pPr>
              <w:pStyle w:val="Heading1"/>
              <w:rPr>
                <w:rFonts w:eastAsia="Times New Roman"/>
                <w:sz w:val="24"/>
              </w:rPr>
            </w:pPr>
            <w:r>
              <w:rPr>
                <w:rFonts w:eastAsia="Times New Roman"/>
                <w:sz w:val="24"/>
              </w:rPr>
              <w:t>7</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240DC48B" w:rsidR="002F2C55" w:rsidRPr="006605C4" w:rsidRDefault="006C3379" w:rsidP="001F6E93">
            <w:pPr>
              <w:pStyle w:val="Heading1"/>
              <w:rPr>
                <w:rFonts w:eastAsia="Times New Roman"/>
                <w:sz w:val="24"/>
              </w:rPr>
            </w:pPr>
            <w:r>
              <w:rPr>
                <w:rFonts w:eastAsia="Times New Roman"/>
                <w:sz w:val="24"/>
              </w:rPr>
              <w:t>10/09/</w:t>
            </w:r>
            <w:r w:rsidR="00DD63C8">
              <w:rPr>
                <w:rFonts w:eastAsia="Times New Roman"/>
                <w:sz w:val="24"/>
              </w:rPr>
              <w:t>20</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387E121F" w:rsidR="002F2C55" w:rsidRPr="006605C4" w:rsidRDefault="002006A5" w:rsidP="001F6E93">
            <w:pPr>
              <w:pStyle w:val="Heading1"/>
              <w:rPr>
                <w:rFonts w:eastAsia="Times New Roman"/>
                <w:sz w:val="24"/>
              </w:rPr>
            </w:pPr>
            <w:r>
              <w:rPr>
                <w:rFonts w:eastAsia="Times New Roman"/>
                <w:sz w:val="24"/>
              </w:rPr>
              <w:t>14/09/20</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2B93BE50" w:rsidR="002F2C55" w:rsidRPr="006605C4" w:rsidRDefault="00774971" w:rsidP="001F6E93">
            <w:pPr>
              <w:pStyle w:val="Heading1"/>
              <w:rPr>
                <w:rFonts w:eastAsia="Times New Roman"/>
                <w:sz w:val="24"/>
              </w:rPr>
            </w:pPr>
            <w:r w:rsidRPr="00774971">
              <w:rPr>
                <w:rFonts w:eastAsia="Times New Roman"/>
                <w:sz w:val="24"/>
              </w:rPr>
              <w:t xml:space="preserve">In the event of seeking derogations under Option 2 or 3 presented in the bid, can you provide further information (with specific reference to legislation and/or licence conditions) on the obligations that SGN believe they would be unable to fulfil as part of the project and justifications on how these conclusions have been reached? </w:t>
            </w:r>
            <w:r w:rsidRPr="00756FAF">
              <w:rPr>
                <w:rFonts w:eastAsia="Times New Roman"/>
                <w:sz w:val="24"/>
              </w:rPr>
              <w:t xml:space="preserve">In this instance we will waiver the </w:t>
            </w:r>
            <w:proofErr w:type="gramStart"/>
            <w:r w:rsidRPr="00756FAF">
              <w:rPr>
                <w:rFonts w:eastAsia="Times New Roman"/>
                <w:sz w:val="24"/>
              </w:rPr>
              <w:t>2 page</w:t>
            </w:r>
            <w:proofErr w:type="gramEnd"/>
            <w:r w:rsidRPr="00756FAF">
              <w:rPr>
                <w:rFonts w:eastAsia="Times New Roman"/>
                <w:sz w:val="24"/>
              </w:rPr>
              <w:t xml:space="preserve"> requirement on SQs.</w:t>
            </w:r>
          </w:p>
        </w:tc>
      </w:tr>
    </w:tbl>
    <w:p w14:paraId="768E604A" w14:textId="77777777" w:rsidR="002F2C55" w:rsidRDefault="002F2C55" w:rsidP="001F6E93">
      <w:pPr>
        <w:pStyle w:val="Heading2"/>
        <w:rPr>
          <w:rFonts w:eastAsia="Times New Roman"/>
        </w:rPr>
      </w:pPr>
      <w:bookmarkStart w:id="0" w:name="_Toc513709470"/>
    </w:p>
    <w:bookmarkEnd w:id="0"/>
    <w:p w14:paraId="19903D9A" w14:textId="06116E7A" w:rsidR="002A27A4" w:rsidRPr="004824AC"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14A07EAE" w14:textId="16E54EEA" w:rsidR="0091103D" w:rsidRDefault="009E2AB7" w:rsidP="00E737A1">
      <w:pPr>
        <w:autoSpaceDE w:val="0"/>
        <w:autoSpaceDN w:val="0"/>
        <w:adjustRightInd w:val="0"/>
        <w:rPr>
          <w:rFonts w:cs="Verdana"/>
          <w:szCs w:val="20"/>
        </w:rPr>
      </w:pPr>
      <w:r>
        <w:t xml:space="preserve">As detailed in </w:t>
      </w:r>
      <w:r w:rsidR="00A25B7F">
        <w:t>S</w:t>
      </w:r>
      <w:r>
        <w:t xml:space="preserve">ection 7 of our submission </w:t>
      </w:r>
      <w:r w:rsidR="0054734A">
        <w:t>we have</w:t>
      </w:r>
      <w:r w:rsidR="00226B82">
        <w:t xml:space="preserve"> engaged </w:t>
      </w:r>
      <w:proofErr w:type="spellStart"/>
      <w:r w:rsidR="0091103D">
        <w:rPr>
          <w:rFonts w:cs="Verdana"/>
          <w:szCs w:val="20"/>
        </w:rPr>
        <w:t>Addleshaw</w:t>
      </w:r>
      <w:proofErr w:type="spellEnd"/>
      <w:r w:rsidR="0091103D">
        <w:rPr>
          <w:rFonts w:cs="Verdana"/>
          <w:szCs w:val="20"/>
        </w:rPr>
        <w:t xml:space="preserve"> Goddard</w:t>
      </w:r>
    </w:p>
    <w:p w14:paraId="727E41BA" w14:textId="1B6B917D" w:rsidR="00756FAF" w:rsidRDefault="0091103D" w:rsidP="00E737A1">
      <w:pPr>
        <w:rPr>
          <w:rFonts w:cs="Verdana"/>
          <w:szCs w:val="20"/>
        </w:rPr>
      </w:pPr>
      <w:r>
        <w:rPr>
          <w:rFonts w:cs="Verdana"/>
          <w:szCs w:val="20"/>
        </w:rPr>
        <w:t xml:space="preserve">LLP to carry out </w:t>
      </w:r>
      <w:r w:rsidR="00DE1A7A">
        <w:rPr>
          <w:rFonts w:cs="Verdana"/>
          <w:szCs w:val="20"/>
        </w:rPr>
        <w:t xml:space="preserve">a </w:t>
      </w:r>
      <w:r w:rsidR="008E31FE" w:rsidRPr="008E31FE">
        <w:rPr>
          <w:rFonts w:cs="Verdana"/>
          <w:szCs w:val="20"/>
        </w:rPr>
        <w:t>review</w:t>
      </w:r>
      <w:r w:rsidR="00DE1A7A">
        <w:rPr>
          <w:rFonts w:cs="Verdana"/>
          <w:szCs w:val="20"/>
        </w:rPr>
        <w:t xml:space="preserve"> of</w:t>
      </w:r>
      <w:r w:rsidR="008E31FE" w:rsidRPr="008E31FE">
        <w:rPr>
          <w:rFonts w:cs="Verdana"/>
          <w:szCs w:val="20"/>
        </w:rPr>
        <w:t xml:space="preserve"> the relevant regulations, consider possible issues and identify a resolution</w:t>
      </w:r>
      <w:r w:rsidR="00E737A1">
        <w:rPr>
          <w:rFonts w:cs="Verdana"/>
          <w:szCs w:val="20"/>
        </w:rPr>
        <w:t xml:space="preserve"> </w:t>
      </w:r>
      <w:r w:rsidR="008E31FE" w:rsidRPr="008E31FE">
        <w:rPr>
          <w:rFonts w:cs="Verdana"/>
          <w:szCs w:val="20"/>
        </w:rPr>
        <w:t xml:space="preserve">which minimises the </w:t>
      </w:r>
      <w:r w:rsidR="00B01865">
        <w:rPr>
          <w:rFonts w:cs="Verdana"/>
          <w:szCs w:val="20"/>
        </w:rPr>
        <w:t xml:space="preserve">requirement to deviate from the existing </w:t>
      </w:r>
      <w:r w:rsidR="008E31FE" w:rsidRPr="008E31FE">
        <w:rPr>
          <w:rFonts w:cs="Verdana"/>
          <w:szCs w:val="20"/>
        </w:rPr>
        <w:t>the regulatory arrangements</w:t>
      </w:r>
      <w:r w:rsidR="00B01865">
        <w:rPr>
          <w:rFonts w:cs="Verdana"/>
          <w:szCs w:val="20"/>
        </w:rPr>
        <w:t xml:space="preserve"> where possible</w:t>
      </w:r>
      <w:r w:rsidR="008E31FE" w:rsidRPr="008E31FE">
        <w:rPr>
          <w:rFonts w:cs="Verdana"/>
          <w:szCs w:val="20"/>
        </w:rPr>
        <w:t>.</w:t>
      </w:r>
      <w:r w:rsidR="005F6C58">
        <w:rPr>
          <w:rFonts w:cs="Verdana"/>
          <w:szCs w:val="20"/>
        </w:rPr>
        <w:t xml:space="preserve"> Further detail on this regulatory analysis was provided in </w:t>
      </w:r>
      <w:r w:rsidR="005F6C58">
        <w:rPr>
          <w:rFonts w:cs="Verdana"/>
          <w:szCs w:val="20"/>
        </w:rPr>
        <w:lastRenderedPageBreak/>
        <w:t xml:space="preserve">Appendix O, however due to </w:t>
      </w:r>
      <w:r w:rsidR="00040E14">
        <w:rPr>
          <w:rFonts w:cs="Verdana"/>
          <w:szCs w:val="20"/>
        </w:rPr>
        <w:t>the page limit allowed for the submission</w:t>
      </w:r>
      <w:r w:rsidR="00365CA0">
        <w:rPr>
          <w:rFonts w:cs="Verdana"/>
          <w:szCs w:val="20"/>
        </w:rPr>
        <w:t xml:space="preserve"> some of the analysis for </w:t>
      </w:r>
      <w:r w:rsidR="000C5087">
        <w:rPr>
          <w:rFonts w:cs="Verdana"/>
          <w:szCs w:val="20"/>
        </w:rPr>
        <w:t>O</w:t>
      </w:r>
      <w:r w:rsidR="00365CA0">
        <w:rPr>
          <w:rFonts w:cs="Verdana"/>
          <w:szCs w:val="20"/>
        </w:rPr>
        <w:t xml:space="preserve">ptions 2 and 3 </w:t>
      </w:r>
      <w:r w:rsidR="002A0DFE">
        <w:rPr>
          <w:rFonts w:cs="Verdana"/>
          <w:szCs w:val="20"/>
        </w:rPr>
        <w:t>was not included in the final draft</w:t>
      </w:r>
      <w:r w:rsidR="00365CA0">
        <w:rPr>
          <w:rFonts w:cs="Verdana"/>
          <w:szCs w:val="20"/>
        </w:rPr>
        <w:t xml:space="preserve"> to ensure the analysis of our preferred </w:t>
      </w:r>
      <w:r w:rsidR="000C5087">
        <w:rPr>
          <w:rFonts w:cs="Verdana"/>
          <w:szCs w:val="20"/>
        </w:rPr>
        <w:t>O</w:t>
      </w:r>
      <w:r w:rsidR="00365CA0">
        <w:rPr>
          <w:rFonts w:cs="Verdana"/>
          <w:szCs w:val="20"/>
        </w:rPr>
        <w:t>ption 1</w:t>
      </w:r>
      <w:r w:rsidR="001F2D24">
        <w:rPr>
          <w:rFonts w:cs="Verdana"/>
          <w:szCs w:val="20"/>
        </w:rPr>
        <w:t xml:space="preserve"> was detailed in the submission</w:t>
      </w:r>
      <w:r w:rsidR="002A3A96">
        <w:rPr>
          <w:rFonts w:cs="Verdana"/>
          <w:szCs w:val="20"/>
        </w:rPr>
        <w:t xml:space="preserve">.  We have provided this </w:t>
      </w:r>
      <w:r w:rsidR="001F2D24">
        <w:rPr>
          <w:rFonts w:cs="Verdana"/>
          <w:szCs w:val="20"/>
        </w:rPr>
        <w:t xml:space="preserve">full analysis below </w:t>
      </w:r>
      <w:r w:rsidR="006A1CC7">
        <w:rPr>
          <w:rFonts w:cs="Verdana"/>
          <w:szCs w:val="20"/>
        </w:rPr>
        <w:t xml:space="preserve">which covers the key points for consideration </w:t>
      </w:r>
      <w:r w:rsidR="001F2D24">
        <w:rPr>
          <w:rFonts w:cs="Verdana"/>
          <w:szCs w:val="20"/>
        </w:rPr>
        <w:t>as requested.</w:t>
      </w:r>
      <w:bookmarkStart w:id="1" w:name="_GoBack"/>
      <w:bookmarkEnd w:id="1"/>
    </w:p>
    <w:p w14:paraId="42CEC77D" w14:textId="77777777" w:rsidR="006D13A2" w:rsidRDefault="006D13A2" w:rsidP="00E737A1">
      <w:pPr>
        <w:rPr>
          <w:rFonts w:cs="Verdana"/>
          <w:szCs w:val="20"/>
        </w:rPr>
      </w:pPr>
    </w:p>
    <w:p w14:paraId="27776ADC" w14:textId="11C7EFD6" w:rsidR="005B7ED4" w:rsidRDefault="005B7ED4" w:rsidP="005B7ED4">
      <w:r>
        <w:t>Further to this, if we were to move to Option 2 or 3, we would also require Ofgem to provide us with the derogation for the purposes of our complying with our Financing Documents as at present we have similar restrictions around “permitted purpose” and “indebtedness ” within our Financing Documents which the lenders would expect us to obtain Ofgem derogation</w:t>
      </w:r>
      <w:r w:rsidR="00597771">
        <w:t>s for</w:t>
      </w:r>
      <w:r>
        <w:t xml:space="preserve"> if we were to move away from this.</w:t>
      </w:r>
    </w:p>
    <w:p w14:paraId="3E48AE06" w14:textId="77777777" w:rsidR="006D13A2" w:rsidRDefault="006D13A2" w:rsidP="005B7ED4">
      <w:pPr>
        <w:rPr>
          <w:rFonts w:ascii="Calibri" w:hAnsi="Calibri"/>
        </w:rPr>
      </w:pPr>
    </w:p>
    <w:p w14:paraId="4F89A752" w14:textId="0A1449C7" w:rsidR="00473386" w:rsidRDefault="00473386" w:rsidP="00473386">
      <w:r>
        <w:t xml:space="preserve">Option 1 has been designed to complement our debt structure and Financing Documents which </w:t>
      </w:r>
      <w:proofErr w:type="spellStart"/>
      <w:r>
        <w:t>ScGN</w:t>
      </w:r>
      <w:proofErr w:type="spellEnd"/>
      <w:r>
        <w:t xml:space="preserve"> is a party to and should we move to an Option 2 (or 3) then we would need evidence to show that Ofgem had consented to this. </w:t>
      </w:r>
    </w:p>
    <w:p w14:paraId="7B8ECE7E" w14:textId="3094AC70" w:rsidR="00EF4E70" w:rsidRDefault="00EF4E70" w:rsidP="00756FAF"/>
    <w:p w14:paraId="43AE1ECA" w14:textId="77777777" w:rsidR="00DD1CF2" w:rsidRPr="00DD1CF2" w:rsidRDefault="00DD1CF2" w:rsidP="00DD1CF2">
      <w:pPr>
        <w:spacing w:after="240" w:line="240" w:lineRule="auto"/>
        <w:jc w:val="both"/>
        <w:rPr>
          <w:rFonts w:eastAsia="Times New Roman" w:cs="Arial"/>
          <w:b/>
          <w:szCs w:val="20"/>
          <w:lang w:eastAsia="en-GB"/>
        </w:rPr>
      </w:pPr>
      <w:r w:rsidRPr="00DD1CF2">
        <w:rPr>
          <w:rFonts w:eastAsia="Times New Roman" w:cs="Arial"/>
          <w:b/>
          <w:szCs w:val="20"/>
          <w:lang w:eastAsia="en-GB"/>
        </w:rPr>
        <w:t>Regulatory Issues</w:t>
      </w:r>
    </w:p>
    <w:p w14:paraId="09E016D5" w14:textId="77777777" w:rsidR="00DD1CF2" w:rsidRPr="00DD1CF2" w:rsidRDefault="00DD1CF2" w:rsidP="00DD1CF2">
      <w:pPr>
        <w:spacing w:after="240" w:line="240" w:lineRule="auto"/>
        <w:jc w:val="both"/>
        <w:rPr>
          <w:rFonts w:eastAsia="Calibri" w:cs="Times New Roman"/>
          <w:b/>
          <w:lang w:eastAsia="en-GB"/>
        </w:rPr>
      </w:pPr>
      <w:r w:rsidRPr="00DD1CF2">
        <w:rPr>
          <w:rFonts w:eastAsia="Calibri" w:cs="Times New Roman"/>
          <w:b/>
          <w:lang w:eastAsia="en-GB"/>
        </w:rPr>
        <w:t>7.1 Anticipated changes to regulatory arrangements</w:t>
      </w:r>
    </w:p>
    <w:p w14:paraId="74D8AEFC" w14:textId="77777777" w:rsidR="00DD1CF2" w:rsidRPr="00DD1CF2" w:rsidRDefault="00DD1CF2" w:rsidP="00DD1CF2">
      <w:pPr>
        <w:spacing w:after="240" w:line="240" w:lineRule="auto"/>
        <w:jc w:val="both"/>
        <w:rPr>
          <w:rFonts w:eastAsia="Calibri" w:cs="Times New Roman"/>
          <w:lang w:eastAsia="en-GB"/>
        </w:rPr>
      </w:pPr>
      <w:r w:rsidRPr="00DD1CF2">
        <w:rPr>
          <w:rFonts w:eastAsia="Calibri" w:cs="Times New Roman"/>
          <w:lang w:eastAsia="en-GB"/>
        </w:rPr>
        <w:t xml:space="preserve">SGN believe that a solution for H100 Fife Phase 1 </w:t>
      </w:r>
      <w:r w:rsidRPr="00DD1CF2">
        <w:rPr>
          <w:rFonts w:eastAsia="Calibri" w:cs="Times New Roman"/>
          <w:bCs/>
          <w:lang w:eastAsia="en-GB"/>
        </w:rPr>
        <w:t>can be implemented that requires</w:t>
      </w:r>
      <w:r w:rsidRPr="00DD1CF2">
        <w:rPr>
          <w:rFonts w:eastAsia="Calibri" w:cs="Times New Roman"/>
          <w:b/>
          <w:bCs/>
          <w:lang w:eastAsia="en-GB"/>
        </w:rPr>
        <w:t xml:space="preserve"> no derogation, licence consent, licence exemption or changes to regulatory arrangements</w:t>
      </w:r>
      <w:r w:rsidRPr="00DD1CF2">
        <w:rPr>
          <w:rFonts w:eastAsia="Calibri" w:cs="Times New Roman"/>
          <w:lang w:eastAsia="en-GB"/>
        </w:rPr>
        <w:t xml:space="preserve">. The only likely requirement would be </w:t>
      </w:r>
      <w:r w:rsidRPr="00DD1CF2">
        <w:rPr>
          <w:rFonts w:eastAsia="Calibri" w:cs="Times New Roman"/>
          <w:b/>
          <w:bCs/>
          <w:lang w:eastAsia="en-GB"/>
        </w:rPr>
        <w:t>a letter of comfort</w:t>
      </w:r>
      <w:r w:rsidRPr="00DD1CF2">
        <w:rPr>
          <w:rFonts w:eastAsia="Calibri" w:cs="Times New Roman"/>
          <w:lang w:eastAsia="en-GB"/>
        </w:rPr>
        <w:t xml:space="preserve"> from Ofgem addressing the fit of the project into The Gas (Calculation of Thermal Energy) Regulations 1996 (as amended) (please see row 1 of the table in section 7.3). </w:t>
      </w:r>
    </w:p>
    <w:p w14:paraId="37BDEFEF" w14:textId="77777777" w:rsidR="00DD1CF2" w:rsidRPr="00DD1CF2" w:rsidRDefault="00DD1CF2" w:rsidP="00DD1CF2">
      <w:pPr>
        <w:spacing w:after="240" w:line="240" w:lineRule="auto"/>
        <w:jc w:val="both"/>
        <w:rPr>
          <w:rFonts w:eastAsia="Calibri" w:cs="Times New Roman"/>
          <w:b/>
          <w:lang w:eastAsia="en-GB"/>
        </w:rPr>
      </w:pPr>
      <w:r w:rsidRPr="00DD1CF2">
        <w:rPr>
          <w:rFonts w:eastAsia="Calibri" w:cs="Times New Roman"/>
          <w:b/>
          <w:lang w:eastAsia="en-GB"/>
        </w:rPr>
        <w:t xml:space="preserve">7.2 Options and objectives </w:t>
      </w:r>
    </w:p>
    <w:p w14:paraId="0CAA7D5E" w14:textId="77777777" w:rsidR="00DD1CF2" w:rsidRPr="00DD1CF2" w:rsidRDefault="00DD1CF2" w:rsidP="00DD1CF2">
      <w:pPr>
        <w:spacing w:after="240" w:line="240" w:lineRule="auto"/>
        <w:jc w:val="both"/>
        <w:rPr>
          <w:rFonts w:eastAsia="Calibri" w:cs="Times New Roman"/>
          <w:lang w:eastAsia="en-GB"/>
        </w:rPr>
      </w:pPr>
      <w:r w:rsidRPr="00DD1CF2">
        <w:rPr>
          <w:rFonts w:eastAsia="Calibri" w:cs="Times New Roman"/>
          <w:lang w:eastAsia="en-GB"/>
        </w:rPr>
        <w:t>Despite the regulatory and licensing intricacies and challenges of this project, SGN recognises that protection of the participating customers is sacrosanct and that a solution must be sought that allows customer participation to be simple, without disadvantage and with minimal disruption.</w:t>
      </w:r>
    </w:p>
    <w:p w14:paraId="039834F3" w14:textId="77777777" w:rsidR="00DD1CF2" w:rsidRPr="00DD1CF2" w:rsidRDefault="00DD1CF2" w:rsidP="00DD1CF2">
      <w:pPr>
        <w:spacing w:after="240" w:line="240" w:lineRule="auto"/>
        <w:jc w:val="both"/>
        <w:rPr>
          <w:rFonts w:eastAsia="Calibri" w:cs="Times New Roman"/>
          <w:lang w:eastAsia="en-GB"/>
        </w:rPr>
      </w:pPr>
      <w:r w:rsidRPr="00DD1CF2">
        <w:rPr>
          <w:rFonts w:eastAsia="Calibri" w:cs="Times New Roman"/>
          <w:lang w:eastAsia="en-GB"/>
        </w:rPr>
        <w:t>With that in mind, SGN's preferred approach to the project ('Option 1') involves maintaining the current regulatory structure, with only the letter of comfort required. Under Option 1, SGN Futures would deliver system activities related to the electrolyser, predominantly hydrogen gas generation from electricity, and appoint a third-party shipper to take on ownership of the gas beyond the electrolyser, allowing Scotland Gas Networks plc (</w:t>
      </w:r>
      <w:proofErr w:type="spellStart"/>
      <w:r w:rsidRPr="00DD1CF2">
        <w:rPr>
          <w:rFonts w:eastAsia="Calibri" w:cs="Times New Roman"/>
          <w:b/>
          <w:lang w:eastAsia="en-GB"/>
        </w:rPr>
        <w:t>ScGN</w:t>
      </w:r>
      <w:proofErr w:type="spellEnd"/>
      <w:r w:rsidRPr="00DD1CF2">
        <w:rPr>
          <w:rFonts w:eastAsia="Calibri" w:cs="Times New Roman"/>
          <w:lang w:eastAsia="en-GB"/>
        </w:rPr>
        <w:t xml:space="preserve">) to deliver and operate the regulated network components of H100 Fife Phase 1 without the need for derogation or exemption from their gas transporter licence. The Meter Asset Manager (MAM) can also be appointed by the third-party shipper. Option 1 offers the opportunity to demonstrate that hydrogen gas can operate under the current industry arrangements (including the Uniform Network Code (noting our comments below on possible amendments) and </w:t>
      </w:r>
      <w:proofErr w:type="spellStart"/>
      <w:r w:rsidRPr="00DD1CF2">
        <w:rPr>
          <w:rFonts w:eastAsia="Calibri" w:cs="Times New Roman"/>
          <w:lang w:eastAsia="en-GB"/>
        </w:rPr>
        <w:t>Xoserve</w:t>
      </w:r>
      <w:proofErr w:type="spellEnd"/>
      <w:r w:rsidRPr="00DD1CF2">
        <w:rPr>
          <w:rFonts w:eastAsia="Calibri" w:cs="Times New Roman"/>
          <w:lang w:eastAsia="en-GB"/>
        </w:rPr>
        <w:t xml:space="preserve"> central systems) with minimal modifications. It would also allow gas consumers to remain with their current gas supplier and/or change supplier if they so desired. </w:t>
      </w:r>
    </w:p>
    <w:p w14:paraId="013411CB" w14:textId="77777777" w:rsidR="00DD1CF2" w:rsidRPr="00DD1CF2" w:rsidRDefault="00DD1CF2" w:rsidP="00DD1CF2">
      <w:pPr>
        <w:spacing w:after="240" w:line="240" w:lineRule="auto"/>
        <w:jc w:val="both"/>
        <w:rPr>
          <w:rFonts w:eastAsia="Calibri" w:cs="Times New Roman"/>
          <w:lang w:eastAsia="en-GB"/>
        </w:rPr>
      </w:pPr>
      <w:r w:rsidRPr="00DD1CF2">
        <w:rPr>
          <w:rFonts w:eastAsia="Calibri" w:cs="Times New Roman"/>
          <w:lang w:eastAsia="en-GB"/>
        </w:rPr>
        <w:lastRenderedPageBreak/>
        <w:t>Alternative models explored by SGN were:</w:t>
      </w:r>
    </w:p>
    <w:p w14:paraId="459B3F1C" w14:textId="77777777" w:rsidR="00DD1CF2" w:rsidRPr="00DD1CF2" w:rsidRDefault="00DD1CF2" w:rsidP="00DD1CF2">
      <w:pPr>
        <w:spacing w:after="240" w:line="240" w:lineRule="auto"/>
        <w:jc w:val="both"/>
        <w:rPr>
          <w:rFonts w:eastAsia="Calibri" w:cs="Times New Roman"/>
          <w:lang w:eastAsia="en-GB"/>
        </w:rPr>
      </w:pPr>
      <w:r w:rsidRPr="00DD1CF2">
        <w:rPr>
          <w:rFonts w:eastAsia="Calibri" w:cs="Times New Roman"/>
          <w:lang w:eastAsia="en-GB"/>
        </w:rPr>
        <w:t xml:space="preserve">(a) 'Option 2': SGN Futures and </w:t>
      </w:r>
      <w:proofErr w:type="spellStart"/>
      <w:r w:rsidRPr="00DD1CF2">
        <w:rPr>
          <w:rFonts w:eastAsia="Calibri" w:cs="Times New Roman"/>
          <w:lang w:eastAsia="en-GB"/>
        </w:rPr>
        <w:t>ScGN</w:t>
      </w:r>
      <w:proofErr w:type="spellEnd"/>
      <w:r w:rsidRPr="00DD1CF2">
        <w:rPr>
          <w:rFonts w:eastAsia="Calibri" w:cs="Times New Roman"/>
          <w:lang w:eastAsia="en-GB"/>
        </w:rPr>
        <w:t xml:space="preserve"> carry out the project activities, but with licence requirements/ derogations (in particular, one of them would have to act as shipper); </w:t>
      </w:r>
    </w:p>
    <w:p w14:paraId="6FD0EF02" w14:textId="77777777" w:rsidR="00DD1CF2" w:rsidRPr="00DD1CF2" w:rsidRDefault="00DD1CF2" w:rsidP="00DD1CF2">
      <w:pPr>
        <w:spacing w:after="240" w:line="240" w:lineRule="auto"/>
        <w:jc w:val="both"/>
        <w:rPr>
          <w:rFonts w:eastAsia="Calibri" w:cs="Times New Roman"/>
          <w:lang w:eastAsia="en-GB"/>
        </w:rPr>
      </w:pPr>
      <w:r w:rsidRPr="00DD1CF2">
        <w:rPr>
          <w:rFonts w:eastAsia="Calibri" w:cs="Times New Roman"/>
          <w:lang w:eastAsia="en-GB"/>
        </w:rPr>
        <w:t xml:space="preserve">(b) 'Option 3': </w:t>
      </w:r>
      <w:proofErr w:type="spellStart"/>
      <w:r w:rsidRPr="00DD1CF2">
        <w:rPr>
          <w:rFonts w:eastAsia="Calibri" w:cs="Times New Roman"/>
          <w:lang w:eastAsia="en-GB"/>
        </w:rPr>
        <w:t>ScGN</w:t>
      </w:r>
      <w:proofErr w:type="spellEnd"/>
      <w:r w:rsidRPr="00DD1CF2">
        <w:rPr>
          <w:rFonts w:eastAsia="Calibri" w:cs="Times New Roman"/>
          <w:lang w:eastAsia="en-GB"/>
        </w:rPr>
        <w:t xml:space="preserve"> would undertake the entirety of the project via a full derogation of its licence.</w:t>
      </w:r>
    </w:p>
    <w:p w14:paraId="3D6E233A" w14:textId="77777777" w:rsidR="00DD1CF2" w:rsidRPr="00DD1CF2" w:rsidRDefault="00DD1CF2" w:rsidP="00DD1CF2">
      <w:pPr>
        <w:spacing w:after="240" w:line="240" w:lineRule="auto"/>
        <w:jc w:val="both"/>
        <w:rPr>
          <w:rFonts w:eastAsia="Calibri" w:cs="Times New Roman"/>
          <w:b/>
          <w:bCs/>
          <w:i/>
          <w:iCs/>
          <w:lang w:eastAsia="en-GB"/>
        </w:rPr>
      </w:pPr>
      <w:r w:rsidRPr="00DD1CF2">
        <w:rPr>
          <w:rFonts w:eastAsia="Calibri" w:cs="Times New Roman"/>
          <w:b/>
          <w:bCs/>
          <w:i/>
          <w:iCs/>
          <w:lang w:eastAsia="en-GB"/>
        </w:rPr>
        <w:t xml:space="preserve">For the purposes of the analysis below, we have assumed that SGN's preferred Option 1 is to be </w:t>
      </w:r>
      <w:proofErr w:type="gramStart"/>
      <w:r w:rsidRPr="00DD1CF2">
        <w:rPr>
          <w:rFonts w:eastAsia="Calibri" w:cs="Times New Roman"/>
          <w:b/>
          <w:bCs/>
          <w:i/>
          <w:iCs/>
          <w:lang w:eastAsia="en-GB"/>
        </w:rPr>
        <w:t>effected</w:t>
      </w:r>
      <w:proofErr w:type="gramEnd"/>
      <w:r w:rsidRPr="00DD1CF2">
        <w:rPr>
          <w:rFonts w:eastAsia="Calibri" w:cs="Times New Roman"/>
          <w:b/>
          <w:bCs/>
          <w:i/>
          <w:iCs/>
          <w:lang w:eastAsia="en-GB"/>
        </w:rPr>
        <w:t xml:space="preserve">. We have commented on the specific differences below where relevant for Option 2.  We have not expanded further on this for Option 3, however would note that the same derogations would apply for option </w:t>
      </w:r>
      <w:proofErr w:type="gramStart"/>
      <w:r w:rsidRPr="00DD1CF2">
        <w:rPr>
          <w:rFonts w:eastAsia="Calibri" w:cs="Times New Roman"/>
          <w:b/>
          <w:bCs/>
          <w:i/>
          <w:iCs/>
          <w:lang w:eastAsia="en-GB"/>
        </w:rPr>
        <w:t>2, and</w:t>
      </w:r>
      <w:proofErr w:type="gramEnd"/>
      <w:r w:rsidRPr="00DD1CF2">
        <w:rPr>
          <w:rFonts w:eastAsia="Calibri" w:cs="Times New Roman"/>
          <w:b/>
          <w:bCs/>
          <w:i/>
          <w:iCs/>
          <w:lang w:eastAsia="en-GB"/>
        </w:rPr>
        <w:t xml:space="preserve"> would need to understand further analysis to confirm what over and above this would be required for Option 3. </w:t>
      </w:r>
    </w:p>
    <w:p w14:paraId="454A3984" w14:textId="77777777" w:rsidR="00DD1CF2" w:rsidRPr="00DD1CF2" w:rsidRDefault="00DD1CF2" w:rsidP="00DD1CF2">
      <w:pPr>
        <w:spacing w:after="240" w:line="240" w:lineRule="auto"/>
        <w:jc w:val="both"/>
        <w:rPr>
          <w:rFonts w:eastAsia="Calibri" w:cs="Times New Roman"/>
          <w:b/>
          <w:bCs/>
          <w:i/>
          <w:iCs/>
          <w:lang w:eastAsia="en-GB"/>
        </w:rPr>
      </w:pPr>
      <w:r w:rsidRPr="00DD1CF2">
        <w:rPr>
          <w:rFonts w:eastAsia="Calibri" w:cs="Times New Roman"/>
          <w:b/>
          <w:bCs/>
          <w:i/>
          <w:iCs/>
          <w:lang w:eastAsia="en-GB"/>
        </w:rPr>
        <w:t xml:space="preserve"> </w:t>
      </w:r>
    </w:p>
    <w:p w14:paraId="4B8D67CD" w14:textId="77777777" w:rsidR="00DD1CF2" w:rsidRPr="00DD1CF2" w:rsidRDefault="00DD1CF2" w:rsidP="00DD1CF2">
      <w:pPr>
        <w:spacing w:after="240" w:line="240" w:lineRule="auto"/>
        <w:jc w:val="both"/>
        <w:rPr>
          <w:rFonts w:eastAsia="Calibri" w:cs="Times New Roman"/>
          <w:b/>
          <w:lang w:eastAsia="en-GB"/>
        </w:rPr>
      </w:pPr>
      <w:r w:rsidRPr="00DD1CF2">
        <w:rPr>
          <w:rFonts w:eastAsia="Calibri" w:cs="Times New Roman"/>
          <w:b/>
          <w:lang w:eastAsia="en-GB"/>
        </w:rPr>
        <w:t>7.3 Regulatory analysis</w:t>
      </w:r>
    </w:p>
    <w:p w14:paraId="0AD3FE11" w14:textId="77777777" w:rsidR="00DD1CF2" w:rsidRPr="00DD1CF2" w:rsidRDefault="00DD1CF2" w:rsidP="00DD1CF2">
      <w:pPr>
        <w:spacing w:after="240" w:line="240" w:lineRule="auto"/>
        <w:jc w:val="both"/>
        <w:rPr>
          <w:rFonts w:eastAsia="Calibri" w:cs="Times New Roman"/>
          <w:lang w:eastAsia="en-GB"/>
        </w:rPr>
      </w:pPr>
      <w:r w:rsidRPr="00DD1CF2">
        <w:rPr>
          <w:rFonts w:eastAsia="Calibri" w:cs="Times New Roman"/>
          <w:lang w:eastAsia="en-GB"/>
        </w:rPr>
        <w:t xml:space="preserve">In reaching the conclusion at paragraph 7.1, SGN has worked with </w:t>
      </w:r>
      <w:proofErr w:type="spellStart"/>
      <w:r w:rsidRPr="00DD1CF2">
        <w:rPr>
          <w:rFonts w:eastAsia="Calibri" w:cs="Times New Roman"/>
          <w:lang w:eastAsia="en-GB"/>
        </w:rPr>
        <w:t>Addleshaw</w:t>
      </w:r>
      <w:proofErr w:type="spellEnd"/>
      <w:r w:rsidRPr="00DD1CF2">
        <w:rPr>
          <w:rFonts w:eastAsia="Calibri" w:cs="Times New Roman"/>
          <w:lang w:eastAsia="en-GB"/>
        </w:rPr>
        <w:t xml:space="preserve"> Goddard LLP to review the relevant regulations, consider possible issues and identify a resolution which minimises the risk of any changes to the regulatory arrangements. SGN intends to keep the regulatory issues listed below under review as its solution for H100 develops. </w:t>
      </w:r>
    </w:p>
    <w:tbl>
      <w:tblPr>
        <w:tblW w:w="0" w:type="auto"/>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6"/>
        <w:gridCol w:w="2939"/>
        <w:gridCol w:w="6189"/>
      </w:tblGrid>
      <w:tr w:rsidR="00DD1CF2" w:rsidRPr="00DD1CF2" w14:paraId="65754D6D" w14:textId="77777777" w:rsidTr="00DD1CF2">
        <w:tc>
          <w:tcPr>
            <w:tcW w:w="0" w:type="auto"/>
            <w:shd w:val="clear" w:color="auto" w:fill="D9D9D9"/>
            <w:tcMar>
              <w:top w:w="0" w:type="dxa"/>
              <w:left w:w="108" w:type="dxa"/>
              <w:bottom w:w="0" w:type="dxa"/>
              <w:right w:w="108" w:type="dxa"/>
            </w:tcMar>
          </w:tcPr>
          <w:p w14:paraId="01C67672" w14:textId="77777777" w:rsidR="00DD1CF2" w:rsidRPr="00DD1CF2" w:rsidRDefault="00DD1CF2" w:rsidP="00DD1CF2">
            <w:pPr>
              <w:spacing w:line="240" w:lineRule="auto"/>
              <w:jc w:val="both"/>
              <w:rPr>
                <w:rFonts w:eastAsia="Arial" w:cs="Arial"/>
                <w:szCs w:val="20"/>
              </w:rPr>
            </w:pPr>
          </w:p>
        </w:tc>
        <w:tc>
          <w:tcPr>
            <w:tcW w:w="2939" w:type="dxa"/>
            <w:shd w:val="clear" w:color="auto" w:fill="D9D9D9"/>
            <w:tcMar>
              <w:top w:w="0" w:type="dxa"/>
              <w:left w:w="108" w:type="dxa"/>
              <w:bottom w:w="0" w:type="dxa"/>
              <w:right w:w="108" w:type="dxa"/>
            </w:tcMar>
            <w:hideMark/>
          </w:tcPr>
          <w:p w14:paraId="35BAA398" w14:textId="77777777" w:rsidR="00DD1CF2" w:rsidRPr="00DD1CF2" w:rsidRDefault="00DD1CF2" w:rsidP="00DD1CF2">
            <w:pPr>
              <w:spacing w:line="240" w:lineRule="auto"/>
              <w:jc w:val="both"/>
              <w:rPr>
                <w:rFonts w:eastAsia="Arial" w:cs="Arial"/>
                <w:b/>
                <w:bCs/>
                <w:szCs w:val="20"/>
              </w:rPr>
            </w:pPr>
            <w:r w:rsidRPr="00DD1CF2">
              <w:rPr>
                <w:rFonts w:eastAsia="Arial" w:cs="Arial"/>
                <w:b/>
                <w:bCs/>
                <w:szCs w:val="20"/>
              </w:rPr>
              <w:t>Regulatory issue</w:t>
            </w:r>
          </w:p>
        </w:tc>
        <w:tc>
          <w:tcPr>
            <w:tcW w:w="6189" w:type="dxa"/>
            <w:shd w:val="clear" w:color="auto" w:fill="D9D9D9"/>
            <w:tcMar>
              <w:top w:w="0" w:type="dxa"/>
              <w:left w:w="108" w:type="dxa"/>
              <w:bottom w:w="0" w:type="dxa"/>
              <w:right w:w="108" w:type="dxa"/>
            </w:tcMar>
            <w:hideMark/>
          </w:tcPr>
          <w:p w14:paraId="5422D031" w14:textId="77777777" w:rsidR="00DD1CF2" w:rsidRPr="00DD1CF2" w:rsidRDefault="00DD1CF2" w:rsidP="00DD1CF2">
            <w:pPr>
              <w:spacing w:line="240" w:lineRule="auto"/>
              <w:jc w:val="both"/>
              <w:rPr>
                <w:rFonts w:eastAsia="Times New Roman" w:cs="Arial"/>
                <w:b/>
                <w:bCs/>
                <w:szCs w:val="20"/>
                <w:lang w:eastAsia="en-GB"/>
              </w:rPr>
            </w:pPr>
            <w:r w:rsidRPr="00DD1CF2">
              <w:rPr>
                <w:rFonts w:eastAsia="Times New Roman" w:cs="Arial"/>
                <w:b/>
                <w:bCs/>
                <w:szCs w:val="20"/>
                <w:lang w:eastAsia="en-GB"/>
              </w:rPr>
              <w:t xml:space="preserve">Proposed resolution </w:t>
            </w:r>
          </w:p>
          <w:p w14:paraId="5699CDB4" w14:textId="77777777" w:rsidR="00DD1CF2" w:rsidRPr="00DD1CF2" w:rsidRDefault="00DD1CF2" w:rsidP="00DD1CF2">
            <w:pPr>
              <w:spacing w:line="240" w:lineRule="auto"/>
              <w:jc w:val="both"/>
              <w:rPr>
                <w:rFonts w:eastAsia="Arial" w:cs="Arial"/>
                <w:b/>
                <w:bCs/>
                <w:szCs w:val="20"/>
              </w:rPr>
            </w:pPr>
          </w:p>
        </w:tc>
      </w:tr>
      <w:tr w:rsidR="00DD1CF2" w:rsidRPr="00DD1CF2" w14:paraId="472FD659" w14:textId="77777777" w:rsidTr="00DD1CF2">
        <w:trPr>
          <w:trHeight w:val="2967"/>
        </w:trPr>
        <w:tc>
          <w:tcPr>
            <w:tcW w:w="0" w:type="auto"/>
            <w:tcMar>
              <w:top w:w="0" w:type="dxa"/>
              <w:left w:w="108" w:type="dxa"/>
              <w:bottom w:w="0" w:type="dxa"/>
              <w:right w:w="108" w:type="dxa"/>
            </w:tcMar>
          </w:tcPr>
          <w:p w14:paraId="60284309" w14:textId="77777777" w:rsidR="00DD1CF2" w:rsidRPr="00DD1CF2" w:rsidRDefault="00DD1CF2" w:rsidP="00DD1CF2">
            <w:pPr>
              <w:spacing w:line="288" w:lineRule="auto"/>
              <w:jc w:val="both"/>
              <w:rPr>
                <w:rFonts w:eastAsia="Times New Roman" w:cs="Arial"/>
                <w:szCs w:val="20"/>
                <w:lang w:eastAsia="en-GB"/>
              </w:rPr>
            </w:pPr>
            <w:r w:rsidRPr="00DD1CF2">
              <w:rPr>
                <w:rFonts w:eastAsia="Times New Roman" w:cs="Arial"/>
                <w:szCs w:val="20"/>
                <w:lang w:eastAsia="en-GB"/>
              </w:rPr>
              <w:t>2.</w:t>
            </w:r>
          </w:p>
        </w:tc>
        <w:tc>
          <w:tcPr>
            <w:tcW w:w="2939" w:type="dxa"/>
            <w:tcMar>
              <w:top w:w="0" w:type="dxa"/>
              <w:left w:w="108" w:type="dxa"/>
              <w:bottom w:w="0" w:type="dxa"/>
              <w:right w:w="108" w:type="dxa"/>
            </w:tcMar>
          </w:tcPr>
          <w:p w14:paraId="03A09474" w14:textId="77777777" w:rsidR="00DD1CF2" w:rsidRPr="00DD1CF2" w:rsidRDefault="00DD1CF2" w:rsidP="00DD1CF2">
            <w:pPr>
              <w:spacing w:line="240" w:lineRule="auto"/>
              <w:jc w:val="both"/>
              <w:rPr>
                <w:rFonts w:eastAsia="Arial" w:cs="Arial"/>
                <w:b/>
                <w:bCs/>
                <w:i/>
                <w:iCs/>
                <w:szCs w:val="20"/>
              </w:rPr>
            </w:pPr>
            <w:r w:rsidRPr="00DD1CF2">
              <w:rPr>
                <w:rFonts w:eastAsia="Arial" w:cs="Arial"/>
                <w:b/>
                <w:bCs/>
                <w:i/>
                <w:iCs/>
                <w:szCs w:val="20"/>
              </w:rPr>
              <w:t>Gas Act.</w:t>
            </w:r>
          </w:p>
          <w:p w14:paraId="426BD3FF" w14:textId="77777777" w:rsidR="00DD1CF2" w:rsidRPr="00DD1CF2" w:rsidRDefault="00DD1CF2" w:rsidP="00DD1CF2">
            <w:pPr>
              <w:spacing w:line="240" w:lineRule="auto"/>
              <w:jc w:val="both"/>
              <w:rPr>
                <w:rFonts w:eastAsia="Arial" w:cs="Arial"/>
                <w:b/>
                <w:bCs/>
                <w:i/>
                <w:iCs/>
                <w:szCs w:val="20"/>
              </w:rPr>
            </w:pPr>
          </w:p>
          <w:p w14:paraId="3DB0BDC5" w14:textId="77777777" w:rsidR="00DD1CF2" w:rsidRPr="00DD1CF2" w:rsidRDefault="00DD1CF2" w:rsidP="00DD1CF2">
            <w:pPr>
              <w:spacing w:line="240" w:lineRule="auto"/>
              <w:jc w:val="both"/>
              <w:rPr>
                <w:rFonts w:eastAsia="Arial" w:cs="Arial"/>
                <w:bCs/>
                <w:iCs/>
                <w:szCs w:val="20"/>
              </w:rPr>
            </w:pPr>
            <w:r w:rsidRPr="00DD1CF2">
              <w:rPr>
                <w:rFonts w:eastAsia="Arial" w:cs="Arial"/>
                <w:bCs/>
                <w:iCs/>
                <w:szCs w:val="20"/>
              </w:rPr>
              <w:t xml:space="preserve">Whether a licence will be required by SGN Futures, or a licence derogation by </w:t>
            </w:r>
            <w:proofErr w:type="spellStart"/>
            <w:r w:rsidRPr="00DD1CF2">
              <w:rPr>
                <w:rFonts w:eastAsia="Arial" w:cs="Arial"/>
                <w:bCs/>
                <w:iCs/>
                <w:szCs w:val="20"/>
              </w:rPr>
              <w:t>ScGN</w:t>
            </w:r>
            <w:proofErr w:type="spellEnd"/>
            <w:r w:rsidRPr="00DD1CF2">
              <w:rPr>
                <w:rFonts w:eastAsia="Arial" w:cs="Arial"/>
                <w:bCs/>
                <w:iCs/>
                <w:szCs w:val="20"/>
              </w:rPr>
              <w:t>, for carrying out the project.</w:t>
            </w:r>
          </w:p>
        </w:tc>
        <w:tc>
          <w:tcPr>
            <w:tcW w:w="6189" w:type="dxa"/>
            <w:tcMar>
              <w:top w:w="0" w:type="dxa"/>
              <w:left w:w="108" w:type="dxa"/>
              <w:bottom w:w="0" w:type="dxa"/>
              <w:right w:w="108" w:type="dxa"/>
            </w:tcMar>
          </w:tcPr>
          <w:p w14:paraId="406D0A21" w14:textId="77777777" w:rsidR="00DD1CF2" w:rsidRPr="00DD1CF2" w:rsidRDefault="00DD1CF2" w:rsidP="00DD1CF2">
            <w:pPr>
              <w:spacing w:line="240" w:lineRule="auto"/>
              <w:jc w:val="both"/>
              <w:rPr>
                <w:rFonts w:eastAsia="Arial" w:cs="Arial"/>
                <w:szCs w:val="20"/>
              </w:rPr>
            </w:pPr>
            <w:r w:rsidRPr="00DD1CF2">
              <w:rPr>
                <w:rFonts w:eastAsia="Arial" w:cs="Arial"/>
                <w:szCs w:val="20"/>
              </w:rPr>
              <w:t xml:space="preserve">If 'Option 1' of SGN's proposal is adopted as planned, no activity of SGN Futures should require a licence, nor should </w:t>
            </w:r>
            <w:proofErr w:type="spellStart"/>
            <w:r w:rsidRPr="00DD1CF2">
              <w:rPr>
                <w:rFonts w:eastAsia="Arial" w:cs="Arial"/>
                <w:szCs w:val="20"/>
              </w:rPr>
              <w:t>ScGN</w:t>
            </w:r>
            <w:proofErr w:type="spellEnd"/>
            <w:r w:rsidRPr="00DD1CF2">
              <w:rPr>
                <w:rFonts w:eastAsia="Arial" w:cs="Arial"/>
                <w:szCs w:val="20"/>
              </w:rPr>
              <w:t xml:space="preserve"> need to obtain any additional licence or a derogation from its transporter licence.</w:t>
            </w:r>
          </w:p>
          <w:p w14:paraId="322A6C7B" w14:textId="77777777" w:rsidR="00DD1CF2" w:rsidRPr="00DD1CF2" w:rsidRDefault="00DD1CF2" w:rsidP="00DD1CF2">
            <w:pPr>
              <w:spacing w:line="240" w:lineRule="auto"/>
              <w:jc w:val="both"/>
              <w:rPr>
                <w:rFonts w:eastAsia="Arial" w:cs="Arial"/>
                <w:szCs w:val="20"/>
              </w:rPr>
            </w:pPr>
          </w:p>
          <w:p w14:paraId="20907204" w14:textId="77777777" w:rsidR="00DD1CF2" w:rsidRPr="00DD1CF2" w:rsidRDefault="00DD1CF2" w:rsidP="00DD1CF2">
            <w:pPr>
              <w:spacing w:line="240" w:lineRule="auto"/>
              <w:jc w:val="both"/>
              <w:rPr>
                <w:rFonts w:eastAsia="Arial" w:cs="Arial"/>
                <w:szCs w:val="20"/>
              </w:rPr>
            </w:pPr>
            <w:r w:rsidRPr="00DD1CF2">
              <w:rPr>
                <w:rFonts w:eastAsia="Arial" w:cs="Arial"/>
                <w:szCs w:val="20"/>
              </w:rPr>
              <w:t xml:space="preserve">If the intended approach changes and SGN Futures or </w:t>
            </w:r>
            <w:proofErr w:type="spellStart"/>
            <w:r w:rsidRPr="00DD1CF2">
              <w:rPr>
                <w:rFonts w:eastAsia="Arial" w:cs="Arial"/>
                <w:szCs w:val="20"/>
              </w:rPr>
              <w:t>ScGN</w:t>
            </w:r>
            <w:proofErr w:type="spellEnd"/>
            <w:r w:rsidRPr="00DD1CF2">
              <w:rPr>
                <w:rFonts w:eastAsia="Arial" w:cs="Arial"/>
                <w:szCs w:val="20"/>
              </w:rPr>
              <w:t xml:space="preserve"> is carrying out any (additional) licensable activities (e.g. the role of a shipper) (Option 2), SGN will re-evaluate whether any licence or derogation is required. </w:t>
            </w:r>
          </w:p>
          <w:p w14:paraId="6072DA4B" w14:textId="77777777" w:rsidR="00DD1CF2" w:rsidRPr="00DD1CF2" w:rsidRDefault="00DD1CF2" w:rsidP="00DD1CF2">
            <w:pPr>
              <w:spacing w:line="240" w:lineRule="auto"/>
              <w:jc w:val="both"/>
              <w:rPr>
                <w:rFonts w:eastAsia="Arial" w:cs="Arial"/>
                <w:szCs w:val="20"/>
              </w:rPr>
            </w:pPr>
          </w:p>
          <w:p w14:paraId="312D5D18" w14:textId="77777777" w:rsidR="00DD1CF2" w:rsidRPr="00DD1CF2" w:rsidRDefault="00DD1CF2" w:rsidP="00DD1CF2">
            <w:pPr>
              <w:spacing w:line="240" w:lineRule="auto"/>
              <w:jc w:val="both"/>
              <w:rPr>
                <w:rFonts w:eastAsia="Arial" w:cs="Arial"/>
                <w:b/>
                <w:bCs/>
                <w:i/>
                <w:iCs/>
                <w:szCs w:val="20"/>
              </w:rPr>
            </w:pPr>
            <w:r w:rsidRPr="00DD1CF2">
              <w:rPr>
                <w:rFonts w:eastAsia="Arial" w:cs="Arial"/>
                <w:b/>
                <w:bCs/>
                <w:i/>
                <w:iCs/>
                <w:szCs w:val="20"/>
              </w:rPr>
              <w:t>Detail:  </w:t>
            </w:r>
          </w:p>
          <w:p w14:paraId="34592023" w14:textId="77777777" w:rsidR="00DD1CF2" w:rsidRPr="00DD1CF2" w:rsidRDefault="00DD1CF2" w:rsidP="00DD1CF2">
            <w:pPr>
              <w:spacing w:line="240" w:lineRule="auto"/>
              <w:jc w:val="both"/>
              <w:rPr>
                <w:rFonts w:eastAsia="Arial" w:cs="Arial"/>
                <w:szCs w:val="20"/>
              </w:rPr>
            </w:pPr>
            <w:r w:rsidRPr="00DD1CF2">
              <w:rPr>
                <w:rFonts w:eastAsia="Arial" w:cs="Arial"/>
                <w:szCs w:val="20"/>
              </w:rPr>
              <w:t>"</w:t>
            </w:r>
            <w:r w:rsidRPr="00DD1CF2">
              <w:rPr>
                <w:rFonts w:eastAsia="Arial" w:cs="Arial"/>
                <w:bCs/>
                <w:szCs w:val="20"/>
              </w:rPr>
              <w:t>Licensable Activities"</w:t>
            </w:r>
            <w:r w:rsidRPr="00DD1CF2">
              <w:rPr>
                <w:rFonts w:eastAsia="Arial" w:cs="Arial"/>
                <w:szCs w:val="20"/>
              </w:rPr>
              <w:t xml:space="preserve"> under the Gas Act are:</w:t>
            </w:r>
          </w:p>
          <w:p w14:paraId="5A329DF4" w14:textId="77777777" w:rsidR="00DD1CF2" w:rsidRPr="00DD1CF2" w:rsidRDefault="00DD1CF2" w:rsidP="00DD1CF2">
            <w:pPr>
              <w:spacing w:line="240" w:lineRule="auto"/>
              <w:jc w:val="both"/>
              <w:rPr>
                <w:rFonts w:eastAsia="Arial" w:cs="Arial"/>
                <w:szCs w:val="20"/>
              </w:rPr>
            </w:pPr>
          </w:p>
          <w:p w14:paraId="62E27F2B" w14:textId="77777777" w:rsidR="00DD1CF2" w:rsidRPr="00DD1CF2" w:rsidRDefault="00DD1CF2" w:rsidP="00DD1CF2">
            <w:pPr>
              <w:spacing w:line="240" w:lineRule="auto"/>
              <w:jc w:val="both"/>
              <w:rPr>
                <w:rFonts w:eastAsia="Times New Roman" w:cs="Arial"/>
                <w:szCs w:val="20"/>
                <w:lang w:eastAsia="en-GB"/>
              </w:rPr>
            </w:pPr>
            <w:r w:rsidRPr="00DD1CF2">
              <w:rPr>
                <w:rFonts w:eastAsia="Times New Roman" w:cs="Arial"/>
                <w:szCs w:val="20"/>
                <w:lang w:eastAsia="en-GB"/>
              </w:rPr>
              <w:t xml:space="preserve">(a) conveying gas through pipes to any premises or to a pipeline system operated by a gas transporter; </w:t>
            </w:r>
          </w:p>
          <w:p w14:paraId="2635732F" w14:textId="77777777" w:rsidR="00DD1CF2" w:rsidRPr="00DD1CF2" w:rsidRDefault="00DD1CF2" w:rsidP="00DD1CF2">
            <w:pPr>
              <w:spacing w:line="240" w:lineRule="auto"/>
              <w:jc w:val="both"/>
              <w:rPr>
                <w:rFonts w:eastAsia="Times New Roman" w:cs="Arial"/>
                <w:szCs w:val="20"/>
                <w:lang w:eastAsia="en-GB"/>
              </w:rPr>
            </w:pPr>
            <w:r w:rsidRPr="00DD1CF2">
              <w:rPr>
                <w:rFonts w:eastAsia="Times New Roman" w:cs="Arial"/>
                <w:szCs w:val="20"/>
                <w:lang w:eastAsia="en-GB"/>
              </w:rPr>
              <w:t>(b) participating in the operation of a gas interconnector;  </w:t>
            </w:r>
          </w:p>
          <w:p w14:paraId="6B908E64" w14:textId="77777777" w:rsidR="00DD1CF2" w:rsidRPr="00DD1CF2" w:rsidRDefault="00DD1CF2" w:rsidP="00DD1CF2">
            <w:pPr>
              <w:spacing w:line="240" w:lineRule="auto"/>
              <w:jc w:val="both"/>
              <w:rPr>
                <w:rFonts w:eastAsia="Times New Roman" w:cs="Arial"/>
                <w:szCs w:val="20"/>
                <w:lang w:eastAsia="en-GB"/>
              </w:rPr>
            </w:pPr>
            <w:r w:rsidRPr="00DD1CF2">
              <w:rPr>
                <w:rFonts w:eastAsia="Times New Roman" w:cs="Arial"/>
                <w:szCs w:val="20"/>
                <w:lang w:eastAsia="en-GB"/>
              </w:rPr>
              <w:t>(c) supplying to any premises gas which has been conveyed to those premises through pipes;</w:t>
            </w:r>
          </w:p>
          <w:p w14:paraId="23B374A3" w14:textId="77777777" w:rsidR="00DD1CF2" w:rsidRPr="00DD1CF2" w:rsidRDefault="00DD1CF2" w:rsidP="00DD1CF2">
            <w:pPr>
              <w:spacing w:line="240" w:lineRule="auto"/>
              <w:jc w:val="both"/>
              <w:rPr>
                <w:rFonts w:eastAsia="Times New Roman" w:cs="Arial"/>
                <w:szCs w:val="20"/>
                <w:lang w:eastAsia="en-GB"/>
              </w:rPr>
            </w:pPr>
            <w:r w:rsidRPr="00DD1CF2">
              <w:rPr>
                <w:rFonts w:eastAsia="Times New Roman" w:cs="Arial"/>
                <w:szCs w:val="20"/>
                <w:lang w:eastAsia="en-GB"/>
              </w:rPr>
              <w:t>(d) arranging with any gas transporter for gas to be introduced or taken out of the transporter's pipeline system.</w:t>
            </w:r>
            <w:r w:rsidRPr="00DD1CF2">
              <w:rPr>
                <w:rFonts w:eastAsia="Times New Roman" w:cs="Arial"/>
                <w:szCs w:val="20"/>
                <w:vertAlign w:val="superscript"/>
                <w:lang w:eastAsia="en-GB"/>
              </w:rPr>
              <w:footnoteReference w:id="1"/>
            </w:r>
          </w:p>
          <w:p w14:paraId="368E50AE" w14:textId="77777777" w:rsidR="00DD1CF2" w:rsidRPr="00DD1CF2" w:rsidRDefault="00DD1CF2" w:rsidP="00DD1CF2">
            <w:pPr>
              <w:spacing w:line="240" w:lineRule="auto"/>
              <w:jc w:val="both"/>
              <w:rPr>
                <w:rFonts w:eastAsia="Arial" w:cs="Arial"/>
                <w:bCs/>
                <w:i/>
                <w:szCs w:val="20"/>
              </w:rPr>
            </w:pPr>
          </w:p>
          <w:p w14:paraId="0CB9F749" w14:textId="77777777" w:rsidR="00DD1CF2" w:rsidRPr="00DD1CF2" w:rsidRDefault="00DD1CF2" w:rsidP="00DD1CF2">
            <w:pPr>
              <w:spacing w:line="240" w:lineRule="auto"/>
              <w:jc w:val="both"/>
              <w:rPr>
                <w:rFonts w:eastAsia="Arial" w:cs="Arial"/>
                <w:bCs/>
                <w:i/>
                <w:szCs w:val="20"/>
              </w:rPr>
            </w:pPr>
            <w:r w:rsidRPr="00DD1CF2">
              <w:rPr>
                <w:rFonts w:eastAsia="Arial" w:cs="Arial"/>
                <w:bCs/>
                <w:i/>
                <w:szCs w:val="20"/>
              </w:rPr>
              <w:t>Option 1</w:t>
            </w:r>
          </w:p>
          <w:p w14:paraId="5550575A" w14:textId="77777777" w:rsidR="00DD1CF2" w:rsidRPr="00DD1CF2" w:rsidRDefault="00DD1CF2" w:rsidP="00DD1CF2">
            <w:pPr>
              <w:spacing w:line="240" w:lineRule="auto"/>
              <w:jc w:val="both"/>
              <w:rPr>
                <w:rFonts w:eastAsia="Arial" w:cs="Arial"/>
                <w:szCs w:val="20"/>
              </w:rPr>
            </w:pPr>
          </w:p>
          <w:p w14:paraId="0633FB81" w14:textId="77777777" w:rsidR="00DD1CF2" w:rsidRPr="00DD1CF2" w:rsidRDefault="00DD1CF2" w:rsidP="00DD1CF2">
            <w:pPr>
              <w:spacing w:line="240" w:lineRule="auto"/>
              <w:jc w:val="both"/>
              <w:rPr>
                <w:rFonts w:eastAsia="Arial" w:cs="Arial"/>
                <w:szCs w:val="20"/>
              </w:rPr>
            </w:pPr>
            <w:r w:rsidRPr="00DD1CF2">
              <w:rPr>
                <w:rFonts w:eastAsia="Arial" w:cs="Arial"/>
                <w:szCs w:val="20"/>
              </w:rPr>
              <w:lastRenderedPageBreak/>
              <w:t xml:space="preserve">We have considered the potential for SGN Futures or </w:t>
            </w:r>
            <w:proofErr w:type="spellStart"/>
            <w:r w:rsidRPr="00DD1CF2">
              <w:rPr>
                <w:rFonts w:eastAsia="Arial" w:cs="Arial"/>
                <w:szCs w:val="20"/>
              </w:rPr>
              <w:t>ScGN</w:t>
            </w:r>
            <w:proofErr w:type="spellEnd"/>
            <w:r w:rsidRPr="00DD1CF2">
              <w:rPr>
                <w:rFonts w:eastAsia="Arial" w:cs="Arial"/>
                <w:szCs w:val="20"/>
              </w:rPr>
              <w:t xml:space="preserve"> to engage in any Licensable Activities under Option 1. The proposal assumes that activities (c) and (d) above will be undertaken by third parties with appropriate licences in place. Activity (a) will be undertaken by </w:t>
            </w:r>
            <w:proofErr w:type="spellStart"/>
            <w:r w:rsidRPr="00DD1CF2">
              <w:rPr>
                <w:rFonts w:eastAsia="Arial" w:cs="Arial"/>
                <w:szCs w:val="20"/>
              </w:rPr>
              <w:t>ScGN</w:t>
            </w:r>
            <w:proofErr w:type="spellEnd"/>
            <w:r w:rsidRPr="00DD1CF2">
              <w:rPr>
                <w:rFonts w:eastAsia="Arial" w:cs="Arial"/>
                <w:szCs w:val="20"/>
              </w:rPr>
              <w:t xml:space="preserve"> (under its current licence). Activity (b) will not be relevant. Consequently, SGN Futures will not be engaging in any Licensable Activities and </w:t>
            </w:r>
            <w:proofErr w:type="spellStart"/>
            <w:r w:rsidRPr="00DD1CF2">
              <w:rPr>
                <w:rFonts w:eastAsia="Arial" w:cs="Arial"/>
                <w:szCs w:val="20"/>
              </w:rPr>
              <w:t>ScGN</w:t>
            </w:r>
            <w:proofErr w:type="spellEnd"/>
            <w:r w:rsidRPr="00DD1CF2">
              <w:rPr>
                <w:rFonts w:eastAsia="Arial" w:cs="Arial"/>
                <w:szCs w:val="20"/>
              </w:rPr>
              <w:t xml:space="preserve"> will not require any derogation from its licence.</w:t>
            </w:r>
          </w:p>
          <w:p w14:paraId="1344353E" w14:textId="77777777" w:rsidR="00DD1CF2" w:rsidRPr="00DD1CF2" w:rsidRDefault="00DD1CF2" w:rsidP="00DD1CF2">
            <w:pPr>
              <w:spacing w:line="240" w:lineRule="auto"/>
              <w:jc w:val="both"/>
              <w:rPr>
                <w:rFonts w:eastAsia="Arial" w:cs="Arial"/>
                <w:szCs w:val="20"/>
              </w:rPr>
            </w:pPr>
          </w:p>
          <w:p w14:paraId="3ABB59E6" w14:textId="77777777" w:rsidR="00DD1CF2" w:rsidRPr="00DD1CF2" w:rsidRDefault="00DD1CF2" w:rsidP="00DD1CF2">
            <w:pPr>
              <w:spacing w:line="240" w:lineRule="auto"/>
              <w:jc w:val="both"/>
              <w:rPr>
                <w:rFonts w:eastAsia="Arial" w:cs="Arial"/>
                <w:szCs w:val="20"/>
              </w:rPr>
            </w:pPr>
          </w:p>
          <w:p w14:paraId="4074A63F" w14:textId="77777777" w:rsidR="00DD1CF2" w:rsidRPr="00DD1CF2" w:rsidRDefault="00DD1CF2" w:rsidP="00DD1CF2">
            <w:pPr>
              <w:spacing w:line="240" w:lineRule="auto"/>
              <w:jc w:val="both"/>
              <w:rPr>
                <w:rFonts w:eastAsia="Arial" w:cs="Arial"/>
                <w:bCs/>
                <w:i/>
                <w:szCs w:val="20"/>
              </w:rPr>
            </w:pPr>
            <w:r w:rsidRPr="00DD1CF2">
              <w:rPr>
                <w:rFonts w:eastAsia="Arial" w:cs="Arial"/>
                <w:bCs/>
                <w:i/>
                <w:szCs w:val="20"/>
              </w:rPr>
              <w:t>Option 2  </w:t>
            </w:r>
          </w:p>
          <w:p w14:paraId="561A829F" w14:textId="77777777" w:rsidR="00DD1CF2" w:rsidRPr="00DD1CF2" w:rsidRDefault="00DD1CF2" w:rsidP="00DD1CF2">
            <w:pPr>
              <w:spacing w:line="240" w:lineRule="auto"/>
              <w:jc w:val="both"/>
              <w:rPr>
                <w:rFonts w:eastAsia="Arial" w:cs="Arial"/>
                <w:szCs w:val="20"/>
              </w:rPr>
            </w:pPr>
          </w:p>
          <w:p w14:paraId="5211EF64" w14:textId="77777777" w:rsidR="00DD1CF2" w:rsidRPr="00DD1CF2" w:rsidRDefault="00DD1CF2" w:rsidP="00DD1CF2">
            <w:pPr>
              <w:spacing w:line="240" w:lineRule="auto"/>
              <w:jc w:val="both"/>
              <w:rPr>
                <w:rFonts w:eastAsia="Arial" w:cs="Arial"/>
                <w:szCs w:val="20"/>
              </w:rPr>
            </w:pPr>
            <w:r w:rsidRPr="00DD1CF2">
              <w:rPr>
                <w:rFonts w:eastAsia="Arial" w:cs="Arial"/>
                <w:szCs w:val="20"/>
              </w:rPr>
              <w:t xml:space="preserve">Under Option 2, either SGN Futures or </w:t>
            </w:r>
            <w:proofErr w:type="spellStart"/>
            <w:r w:rsidRPr="00DD1CF2">
              <w:rPr>
                <w:rFonts w:eastAsia="Arial" w:cs="Arial"/>
                <w:szCs w:val="20"/>
              </w:rPr>
              <w:t>ScGN</w:t>
            </w:r>
            <w:proofErr w:type="spellEnd"/>
            <w:r w:rsidRPr="00DD1CF2">
              <w:rPr>
                <w:rFonts w:eastAsia="Arial" w:cs="Arial"/>
                <w:szCs w:val="20"/>
              </w:rPr>
              <w:t xml:space="preserve"> may take on the role of shipper, requiring a licence or derogation unless an exemption applies. </w:t>
            </w:r>
          </w:p>
          <w:p w14:paraId="1519C32C" w14:textId="77777777" w:rsidR="00DD1CF2" w:rsidRPr="00DD1CF2" w:rsidRDefault="00DD1CF2" w:rsidP="00DD1CF2">
            <w:pPr>
              <w:spacing w:line="240" w:lineRule="auto"/>
              <w:jc w:val="both"/>
              <w:rPr>
                <w:rFonts w:eastAsia="Arial" w:cs="Arial"/>
                <w:szCs w:val="20"/>
              </w:rPr>
            </w:pPr>
            <w:r w:rsidRPr="00DD1CF2">
              <w:rPr>
                <w:rFonts w:eastAsia="Arial" w:cs="Arial"/>
                <w:szCs w:val="20"/>
              </w:rPr>
              <w:t>No exemptions under the Gas (Exemptions) Order 2011 apply (as the activities do not concern large consumers, a licensed supplier or a gas related emergency)</w:t>
            </w:r>
            <w:r w:rsidRPr="00DD1CF2">
              <w:rPr>
                <w:rFonts w:eastAsia="Arial" w:cs="Arial"/>
                <w:szCs w:val="20"/>
                <w:vertAlign w:val="superscript"/>
              </w:rPr>
              <w:footnoteReference w:id="2"/>
            </w:r>
            <w:r w:rsidRPr="00DD1CF2">
              <w:rPr>
                <w:rFonts w:eastAsia="Arial" w:cs="Arial"/>
                <w:szCs w:val="20"/>
              </w:rPr>
              <w:t xml:space="preserve">. </w:t>
            </w:r>
          </w:p>
          <w:p w14:paraId="18611B6B" w14:textId="77777777" w:rsidR="00DD1CF2" w:rsidRPr="00DD1CF2" w:rsidRDefault="00DD1CF2" w:rsidP="00DD1CF2">
            <w:pPr>
              <w:spacing w:line="240" w:lineRule="auto"/>
              <w:jc w:val="both"/>
              <w:rPr>
                <w:rFonts w:eastAsia="Arial" w:cs="Arial"/>
                <w:szCs w:val="20"/>
              </w:rPr>
            </w:pPr>
          </w:p>
          <w:p w14:paraId="6065A6B2" w14:textId="77777777" w:rsidR="00DD1CF2" w:rsidRPr="00DD1CF2" w:rsidRDefault="00DD1CF2" w:rsidP="00DD1CF2">
            <w:pPr>
              <w:spacing w:line="240" w:lineRule="auto"/>
              <w:jc w:val="both"/>
              <w:rPr>
                <w:rFonts w:eastAsia="Arial" w:cs="Arial"/>
                <w:szCs w:val="20"/>
              </w:rPr>
            </w:pPr>
            <w:r w:rsidRPr="00DD1CF2">
              <w:rPr>
                <w:rFonts w:eastAsia="Arial" w:cs="Arial"/>
                <w:szCs w:val="20"/>
              </w:rPr>
              <w:t xml:space="preserve">Turning to the exemptions specific to shipping, we do not consider that either party would be conveying as a landlord, supplying propane or butane or conveying/ supplying to a very large consumer. If SGN Futures was acting as shipper, it might seem that the exemption of conveying the gas to an 'associated company' would assist. However, although </w:t>
            </w:r>
            <w:proofErr w:type="spellStart"/>
            <w:r w:rsidRPr="00DD1CF2">
              <w:rPr>
                <w:rFonts w:eastAsia="Arial" w:cs="Arial"/>
                <w:szCs w:val="20"/>
              </w:rPr>
              <w:t>ScGN</w:t>
            </w:r>
            <w:proofErr w:type="spellEnd"/>
            <w:r w:rsidRPr="00DD1CF2">
              <w:rPr>
                <w:rFonts w:eastAsia="Arial" w:cs="Arial"/>
                <w:szCs w:val="20"/>
              </w:rPr>
              <w:t xml:space="preserve"> is intended to be an affiliate of SGN Futures, the exemption will not apply, as the gas is not being conveyed to 'premises' (but to </w:t>
            </w:r>
            <w:proofErr w:type="spellStart"/>
            <w:r w:rsidRPr="00DD1CF2">
              <w:rPr>
                <w:rFonts w:eastAsia="Arial" w:cs="Arial"/>
                <w:szCs w:val="20"/>
              </w:rPr>
              <w:t>ScGN's</w:t>
            </w:r>
            <w:proofErr w:type="spellEnd"/>
            <w:r w:rsidRPr="00DD1CF2">
              <w:rPr>
                <w:rFonts w:eastAsia="Arial" w:cs="Arial"/>
                <w:szCs w:val="20"/>
              </w:rPr>
              <w:t xml:space="preserve"> transporter pipeline)</w:t>
            </w:r>
            <w:r w:rsidRPr="00DD1CF2">
              <w:rPr>
                <w:rFonts w:eastAsia="Arial" w:cs="Arial"/>
                <w:szCs w:val="20"/>
                <w:vertAlign w:val="superscript"/>
              </w:rPr>
              <w:footnoteReference w:id="3"/>
            </w:r>
            <w:r w:rsidRPr="00DD1CF2">
              <w:rPr>
                <w:rFonts w:eastAsia="Arial" w:cs="Arial"/>
                <w:szCs w:val="20"/>
              </w:rPr>
              <w:t xml:space="preserve">.  </w:t>
            </w:r>
          </w:p>
          <w:p w14:paraId="36B8D7CD" w14:textId="77777777" w:rsidR="00DD1CF2" w:rsidRPr="00DD1CF2" w:rsidRDefault="00DD1CF2" w:rsidP="00DD1CF2">
            <w:pPr>
              <w:spacing w:line="240" w:lineRule="auto"/>
              <w:jc w:val="both"/>
              <w:rPr>
                <w:rFonts w:eastAsia="Arial" w:cs="Arial"/>
                <w:szCs w:val="20"/>
              </w:rPr>
            </w:pPr>
          </w:p>
          <w:p w14:paraId="6C3BA4D8" w14:textId="77777777" w:rsidR="00DD1CF2" w:rsidRPr="00DD1CF2" w:rsidRDefault="00DD1CF2" w:rsidP="00DD1CF2">
            <w:pPr>
              <w:spacing w:line="240" w:lineRule="auto"/>
              <w:jc w:val="both"/>
              <w:rPr>
                <w:rFonts w:eastAsia="Arial" w:cs="Arial"/>
                <w:szCs w:val="20"/>
              </w:rPr>
            </w:pPr>
            <w:r w:rsidRPr="00DD1CF2">
              <w:rPr>
                <w:rFonts w:eastAsia="Arial" w:cs="Arial"/>
                <w:szCs w:val="20"/>
              </w:rPr>
              <w:t xml:space="preserve">In short, Option 2 is more complex under the Gas Act, as a licensable activity will be taking place and there are no apparent exemptions. Option 1 in contrast appears relatively straightforward to carry out without performing a licensable activity and this is in any case SGN's preferred option. </w:t>
            </w:r>
          </w:p>
        </w:tc>
      </w:tr>
      <w:tr w:rsidR="00DD1CF2" w:rsidRPr="00DD1CF2" w14:paraId="1BE342F3" w14:textId="77777777" w:rsidTr="00DD1CF2">
        <w:tc>
          <w:tcPr>
            <w:tcW w:w="0" w:type="auto"/>
            <w:tcMar>
              <w:top w:w="0" w:type="dxa"/>
              <w:left w:w="108" w:type="dxa"/>
              <w:bottom w:w="0" w:type="dxa"/>
              <w:right w:w="108" w:type="dxa"/>
            </w:tcMar>
          </w:tcPr>
          <w:p w14:paraId="113EF31F" w14:textId="77777777" w:rsidR="00DD1CF2" w:rsidRPr="00DD1CF2" w:rsidRDefault="00DD1CF2" w:rsidP="00DD1CF2">
            <w:pPr>
              <w:numPr>
                <w:ilvl w:val="0"/>
                <w:numId w:val="14"/>
              </w:numPr>
              <w:spacing w:line="240" w:lineRule="auto"/>
              <w:jc w:val="both"/>
              <w:rPr>
                <w:rFonts w:eastAsia="Arial" w:cs="Arial"/>
                <w:sz w:val="22"/>
                <w:szCs w:val="22"/>
              </w:rPr>
            </w:pPr>
            <w:r w:rsidRPr="00DD1CF2">
              <w:rPr>
                <w:rFonts w:eastAsia="Arial" w:cs="Arial"/>
                <w:sz w:val="22"/>
                <w:szCs w:val="22"/>
              </w:rPr>
              <w:lastRenderedPageBreak/>
              <w:t xml:space="preserve"> </w:t>
            </w:r>
          </w:p>
        </w:tc>
        <w:tc>
          <w:tcPr>
            <w:tcW w:w="2939" w:type="dxa"/>
            <w:tcMar>
              <w:top w:w="0" w:type="dxa"/>
              <w:left w:w="108" w:type="dxa"/>
              <w:bottom w:w="0" w:type="dxa"/>
              <w:right w:w="108" w:type="dxa"/>
            </w:tcMar>
          </w:tcPr>
          <w:p w14:paraId="3701971F" w14:textId="77777777" w:rsidR="00DD1CF2" w:rsidRPr="00DD1CF2" w:rsidRDefault="00DD1CF2" w:rsidP="00DD1CF2">
            <w:pPr>
              <w:spacing w:line="240" w:lineRule="auto"/>
              <w:jc w:val="both"/>
              <w:rPr>
                <w:rFonts w:eastAsia="Arial" w:cs="Arial"/>
                <w:b/>
                <w:i/>
                <w:szCs w:val="20"/>
              </w:rPr>
            </w:pPr>
            <w:r w:rsidRPr="00DD1CF2">
              <w:rPr>
                <w:rFonts w:eastAsia="Arial" w:cs="Arial"/>
                <w:b/>
                <w:i/>
                <w:szCs w:val="20"/>
              </w:rPr>
              <w:t xml:space="preserve">Licence requirements </w:t>
            </w:r>
          </w:p>
          <w:p w14:paraId="530F5634" w14:textId="77777777" w:rsidR="00DD1CF2" w:rsidRPr="00DD1CF2" w:rsidRDefault="00DD1CF2" w:rsidP="00DD1CF2">
            <w:pPr>
              <w:spacing w:line="240" w:lineRule="auto"/>
              <w:jc w:val="both"/>
              <w:rPr>
                <w:rFonts w:eastAsia="Arial" w:cs="Arial"/>
                <w:b/>
                <w:i/>
                <w:szCs w:val="20"/>
              </w:rPr>
            </w:pPr>
          </w:p>
          <w:p w14:paraId="0E6AEFD8" w14:textId="77777777" w:rsidR="00DD1CF2" w:rsidRPr="00DD1CF2" w:rsidRDefault="00DD1CF2" w:rsidP="00DD1CF2">
            <w:pPr>
              <w:spacing w:line="240" w:lineRule="auto"/>
              <w:jc w:val="both"/>
              <w:rPr>
                <w:rFonts w:eastAsia="Arial" w:cs="Arial"/>
                <w:szCs w:val="20"/>
              </w:rPr>
            </w:pPr>
            <w:r w:rsidRPr="00DD1CF2">
              <w:rPr>
                <w:rFonts w:eastAsia="Arial" w:cs="Arial"/>
                <w:szCs w:val="20"/>
              </w:rPr>
              <w:t xml:space="preserve">The restrictions/ requirements placed on </w:t>
            </w:r>
            <w:proofErr w:type="spellStart"/>
            <w:r w:rsidRPr="00DD1CF2">
              <w:rPr>
                <w:rFonts w:eastAsia="Arial" w:cs="Arial"/>
                <w:szCs w:val="20"/>
              </w:rPr>
              <w:t>ScGN</w:t>
            </w:r>
            <w:proofErr w:type="spellEnd"/>
            <w:r w:rsidRPr="00DD1CF2">
              <w:rPr>
                <w:rFonts w:eastAsia="Arial" w:cs="Arial"/>
                <w:szCs w:val="20"/>
              </w:rPr>
              <w:t xml:space="preserve"> under its licence, in particular in relation to: (a) restrictions on its activities and investment; (b) restrictions on its acquisition of gas or related rights and derivatives; and (c) avoiding providing cross-</w:t>
            </w:r>
            <w:r w:rsidRPr="00DD1CF2">
              <w:rPr>
                <w:rFonts w:eastAsia="Arial" w:cs="Arial"/>
                <w:szCs w:val="20"/>
              </w:rPr>
              <w:lastRenderedPageBreak/>
              <w:t>subsidies or an unfair commercial advantage to related entities.</w:t>
            </w:r>
          </w:p>
        </w:tc>
        <w:tc>
          <w:tcPr>
            <w:tcW w:w="6189" w:type="dxa"/>
            <w:tcMar>
              <w:top w:w="0" w:type="dxa"/>
              <w:left w:w="108" w:type="dxa"/>
              <w:bottom w:w="0" w:type="dxa"/>
              <w:right w:w="108" w:type="dxa"/>
            </w:tcMar>
          </w:tcPr>
          <w:p w14:paraId="377FFAF9" w14:textId="77777777" w:rsidR="00DD1CF2" w:rsidRPr="00DD1CF2" w:rsidRDefault="00DD1CF2" w:rsidP="00DD1CF2">
            <w:pPr>
              <w:spacing w:line="240" w:lineRule="auto"/>
              <w:jc w:val="both"/>
              <w:rPr>
                <w:rFonts w:eastAsia="Arial" w:cs="Arial"/>
                <w:szCs w:val="20"/>
              </w:rPr>
            </w:pPr>
            <w:r w:rsidRPr="00DD1CF2">
              <w:rPr>
                <w:rFonts w:eastAsia="Arial" w:cs="Arial"/>
                <w:szCs w:val="20"/>
              </w:rPr>
              <w:lastRenderedPageBreak/>
              <w:t>SGN is satisfied that it would be able to comply with its licence conditions under Option 1.</w:t>
            </w:r>
          </w:p>
          <w:p w14:paraId="43CC0390" w14:textId="77777777" w:rsidR="00DD1CF2" w:rsidRPr="00DD1CF2" w:rsidRDefault="00DD1CF2" w:rsidP="00DD1CF2">
            <w:pPr>
              <w:spacing w:line="240" w:lineRule="auto"/>
              <w:jc w:val="both"/>
              <w:rPr>
                <w:rFonts w:eastAsia="Arial" w:cs="Arial"/>
                <w:szCs w:val="20"/>
              </w:rPr>
            </w:pPr>
          </w:p>
          <w:p w14:paraId="04B194BE" w14:textId="77777777" w:rsidR="00DD1CF2" w:rsidRPr="00DD1CF2" w:rsidRDefault="00DD1CF2" w:rsidP="00DD1CF2">
            <w:pPr>
              <w:spacing w:line="240" w:lineRule="auto"/>
              <w:jc w:val="both"/>
              <w:rPr>
                <w:rFonts w:eastAsia="Arial" w:cs="Arial"/>
                <w:szCs w:val="20"/>
              </w:rPr>
            </w:pPr>
            <w:r w:rsidRPr="00DD1CF2">
              <w:rPr>
                <w:rFonts w:eastAsia="Arial" w:cs="Arial"/>
                <w:szCs w:val="20"/>
              </w:rPr>
              <w:t xml:space="preserve">The proposed structure under Option 1 has been designed to support this.  Pursuant to this SGN Futures will be an affiliate company to </w:t>
            </w:r>
            <w:proofErr w:type="spellStart"/>
            <w:r w:rsidRPr="00DD1CF2">
              <w:rPr>
                <w:rFonts w:eastAsia="Arial" w:cs="Arial"/>
                <w:szCs w:val="20"/>
              </w:rPr>
              <w:t>ScGN</w:t>
            </w:r>
            <w:proofErr w:type="spellEnd"/>
            <w:r w:rsidRPr="00DD1CF2">
              <w:rPr>
                <w:rFonts w:eastAsia="Arial" w:cs="Arial"/>
                <w:szCs w:val="20"/>
              </w:rPr>
              <w:t xml:space="preserve"> (and thereby not directly owned by </w:t>
            </w:r>
            <w:proofErr w:type="spellStart"/>
            <w:r w:rsidRPr="00DD1CF2">
              <w:rPr>
                <w:rFonts w:eastAsia="Arial" w:cs="Arial"/>
                <w:szCs w:val="20"/>
              </w:rPr>
              <w:t>ScGN</w:t>
            </w:r>
            <w:proofErr w:type="spellEnd"/>
            <w:r w:rsidRPr="00DD1CF2">
              <w:rPr>
                <w:rFonts w:eastAsia="Arial" w:cs="Arial"/>
                <w:szCs w:val="20"/>
              </w:rPr>
              <w:t xml:space="preserve">). Further, as with all intra group agreements, an arm's length contract will be in place between </w:t>
            </w:r>
            <w:proofErr w:type="spellStart"/>
            <w:r w:rsidRPr="00DD1CF2">
              <w:rPr>
                <w:rFonts w:eastAsia="Arial" w:cs="Arial"/>
                <w:szCs w:val="20"/>
              </w:rPr>
              <w:t>ScGN</w:t>
            </w:r>
            <w:proofErr w:type="spellEnd"/>
            <w:r w:rsidRPr="00DD1CF2">
              <w:rPr>
                <w:rFonts w:eastAsia="Arial" w:cs="Arial"/>
                <w:szCs w:val="20"/>
              </w:rPr>
              <w:t xml:space="preserve"> and SGN Futures for the services procured by </w:t>
            </w:r>
            <w:proofErr w:type="spellStart"/>
            <w:r w:rsidRPr="00DD1CF2">
              <w:rPr>
                <w:rFonts w:eastAsia="Arial" w:cs="Arial"/>
                <w:szCs w:val="20"/>
              </w:rPr>
              <w:t>ScGN</w:t>
            </w:r>
            <w:proofErr w:type="spellEnd"/>
            <w:r w:rsidRPr="00DD1CF2">
              <w:rPr>
                <w:rFonts w:eastAsia="Arial" w:cs="Arial"/>
                <w:szCs w:val="20"/>
              </w:rPr>
              <w:t xml:space="preserve"> of SGN Futures and to govern the funding between the two entities. </w:t>
            </w:r>
          </w:p>
          <w:p w14:paraId="2BA3DFF1" w14:textId="77777777" w:rsidR="00DD1CF2" w:rsidRPr="00DD1CF2" w:rsidRDefault="00DD1CF2" w:rsidP="00DD1CF2">
            <w:pPr>
              <w:spacing w:line="240" w:lineRule="auto"/>
              <w:jc w:val="both"/>
              <w:rPr>
                <w:rFonts w:eastAsia="Arial" w:cs="Arial"/>
                <w:szCs w:val="20"/>
              </w:rPr>
            </w:pPr>
          </w:p>
          <w:p w14:paraId="48D2ECC1" w14:textId="77777777" w:rsidR="00DD1CF2" w:rsidRPr="00DD1CF2" w:rsidRDefault="00DD1CF2" w:rsidP="00DD1CF2">
            <w:pPr>
              <w:spacing w:line="240" w:lineRule="auto"/>
              <w:jc w:val="both"/>
              <w:rPr>
                <w:rFonts w:eastAsia="Arial" w:cs="Arial"/>
                <w:szCs w:val="20"/>
              </w:rPr>
            </w:pPr>
            <w:r w:rsidRPr="00DD1CF2">
              <w:rPr>
                <w:rFonts w:eastAsia="Arial" w:cs="Arial"/>
                <w:szCs w:val="20"/>
              </w:rPr>
              <w:lastRenderedPageBreak/>
              <w:t xml:space="preserve">Given the innovative nature of hydrogen supply, SGN will work with Ofgem if any licence amendments become necessary as the project develops. </w:t>
            </w:r>
          </w:p>
          <w:p w14:paraId="5ED17789" w14:textId="77777777" w:rsidR="00DD1CF2" w:rsidRPr="00DD1CF2" w:rsidRDefault="00DD1CF2" w:rsidP="00DD1CF2">
            <w:pPr>
              <w:spacing w:line="240" w:lineRule="auto"/>
              <w:jc w:val="both"/>
              <w:rPr>
                <w:rFonts w:eastAsia="Arial" w:cs="Arial"/>
                <w:szCs w:val="20"/>
              </w:rPr>
            </w:pPr>
          </w:p>
          <w:p w14:paraId="24E3B14A" w14:textId="77777777" w:rsidR="00DD1CF2" w:rsidRPr="00DD1CF2" w:rsidRDefault="00DD1CF2" w:rsidP="00DD1CF2">
            <w:pPr>
              <w:spacing w:line="240" w:lineRule="auto"/>
              <w:jc w:val="both"/>
              <w:rPr>
                <w:rFonts w:eastAsia="Arial" w:cs="Arial"/>
                <w:b/>
                <w:i/>
                <w:szCs w:val="20"/>
              </w:rPr>
            </w:pPr>
            <w:r w:rsidRPr="00DD1CF2">
              <w:rPr>
                <w:rFonts w:eastAsia="Arial" w:cs="Arial"/>
                <w:b/>
                <w:i/>
                <w:szCs w:val="20"/>
              </w:rPr>
              <w:t xml:space="preserve">Detail: </w:t>
            </w:r>
          </w:p>
          <w:p w14:paraId="4E153AA6" w14:textId="77777777" w:rsidR="00DD1CF2" w:rsidRPr="00DD1CF2" w:rsidRDefault="00DD1CF2" w:rsidP="00DD1CF2">
            <w:pPr>
              <w:spacing w:line="240" w:lineRule="auto"/>
              <w:jc w:val="both"/>
              <w:rPr>
                <w:rFonts w:eastAsia="Arial" w:cs="Arial"/>
                <w:szCs w:val="20"/>
              </w:rPr>
            </w:pPr>
          </w:p>
          <w:p w14:paraId="1F77D92F" w14:textId="77777777" w:rsidR="00DD1CF2" w:rsidRPr="00DD1CF2" w:rsidRDefault="00DD1CF2" w:rsidP="00DD1CF2">
            <w:pPr>
              <w:spacing w:line="240" w:lineRule="auto"/>
              <w:jc w:val="both"/>
              <w:rPr>
                <w:rFonts w:eastAsia="Arial" w:cs="Arial"/>
                <w:szCs w:val="20"/>
              </w:rPr>
            </w:pPr>
            <w:r w:rsidRPr="00DD1CF2">
              <w:rPr>
                <w:rFonts w:eastAsia="Arial" w:cs="Arial"/>
                <w:szCs w:val="20"/>
              </w:rPr>
              <w:t>Looking at each licence restriction in turn:</w:t>
            </w:r>
          </w:p>
          <w:p w14:paraId="53D3A29C" w14:textId="77777777" w:rsidR="00DD1CF2" w:rsidRPr="00DD1CF2" w:rsidRDefault="00DD1CF2" w:rsidP="00DD1CF2">
            <w:pPr>
              <w:spacing w:line="240" w:lineRule="auto"/>
              <w:jc w:val="both"/>
              <w:rPr>
                <w:rFonts w:eastAsia="Arial" w:cs="Arial"/>
                <w:szCs w:val="20"/>
              </w:rPr>
            </w:pPr>
          </w:p>
          <w:p w14:paraId="79121FE6" w14:textId="77777777" w:rsidR="00DD1CF2" w:rsidRPr="00DD1CF2" w:rsidRDefault="00DD1CF2" w:rsidP="00DD1CF2">
            <w:pPr>
              <w:spacing w:line="240" w:lineRule="auto"/>
              <w:jc w:val="both"/>
              <w:rPr>
                <w:rFonts w:eastAsia="Arial" w:cs="Arial"/>
                <w:szCs w:val="20"/>
              </w:rPr>
            </w:pPr>
            <w:r w:rsidRPr="00DD1CF2">
              <w:rPr>
                <w:rFonts w:eastAsia="Arial" w:cs="Arial"/>
                <w:szCs w:val="20"/>
              </w:rPr>
              <w:t xml:space="preserve">(a) </w:t>
            </w:r>
            <w:proofErr w:type="spellStart"/>
            <w:r w:rsidRPr="00DD1CF2">
              <w:rPr>
                <w:rFonts w:eastAsia="Arial" w:cs="Arial"/>
                <w:szCs w:val="20"/>
              </w:rPr>
              <w:t>ScGN</w:t>
            </w:r>
            <w:proofErr w:type="spellEnd"/>
            <w:r w:rsidRPr="00DD1CF2">
              <w:rPr>
                <w:rFonts w:eastAsia="Arial" w:cs="Arial"/>
                <w:szCs w:val="20"/>
              </w:rPr>
              <w:t xml:space="preserve"> can only carry out the activities of a gas transporter and may only directly hold shares in a body corporate if that body only carries out business for a 'permitted purpose'</w:t>
            </w:r>
            <w:r w:rsidRPr="00DD1CF2">
              <w:rPr>
                <w:rFonts w:eastAsia="Arial" w:cs="Arial"/>
                <w:szCs w:val="20"/>
                <w:vertAlign w:val="superscript"/>
              </w:rPr>
              <w:footnoteReference w:id="4"/>
            </w:r>
            <w:r w:rsidRPr="00DD1CF2">
              <w:rPr>
                <w:rFonts w:eastAsia="Arial" w:cs="Arial"/>
                <w:szCs w:val="20"/>
              </w:rPr>
              <w:t xml:space="preserve"> .</w:t>
            </w:r>
          </w:p>
          <w:p w14:paraId="475EA39B" w14:textId="77777777" w:rsidR="00DD1CF2" w:rsidRPr="00DD1CF2" w:rsidRDefault="00DD1CF2" w:rsidP="00DD1CF2">
            <w:pPr>
              <w:spacing w:line="240" w:lineRule="auto"/>
              <w:jc w:val="both"/>
              <w:rPr>
                <w:rFonts w:eastAsia="Arial" w:cs="Arial"/>
                <w:szCs w:val="20"/>
              </w:rPr>
            </w:pPr>
          </w:p>
          <w:p w14:paraId="14B73E43" w14:textId="77777777" w:rsidR="00DD1CF2" w:rsidRPr="00DD1CF2" w:rsidRDefault="00DD1CF2" w:rsidP="00DD1CF2">
            <w:pPr>
              <w:spacing w:line="240" w:lineRule="auto"/>
              <w:jc w:val="both"/>
              <w:rPr>
                <w:rFonts w:eastAsia="Arial" w:cs="Arial"/>
                <w:szCs w:val="20"/>
              </w:rPr>
            </w:pPr>
            <w:r w:rsidRPr="00DD1CF2">
              <w:rPr>
                <w:rFonts w:eastAsia="Arial" w:cs="Arial"/>
                <w:i/>
                <w:szCs w:val="20"/>
              </w:rPr>
              <w:t>Application</w:t>
            </w:r>
            <w:r w:rsidRPr="00DD1CF2">
              <w:rPr>
                <w:rFonts w:eastAsia="Arial" w:cs="Arial"/>
                <w:szCs w:val="20"/>
              </w:rPr>
              <w:t xml:space="preserve">: under Option 1, </w:t>
            </w:r>
            <w:proofErr w:type="spellStart"/>
            <w:r w:rsidRPr="00DD1CF2">
              <w:rPr>
                <w:rFonts w:eastAsia="Arial" w:cs="Arial"/>
                <w:szCs w:val="20"/>
              </w:rPr>
              <w:t>ScGN</w:t>
            </w:r>
            <w:proofErr w:type="spellEnd"/>
            <w:r w:rsidRPr="00DD1CF2">
              <w:rPr>
                <w:rFonts w:eastAsia="Arial" w:cs="Arial"/>
                <w:szCs w:val="20"/>
              </w:rPr>
              <w:t xml:space="preserve"> would only be acting as transporter, so would be compliant with standard special condition</w:t>
            </w:r>
            <w:r w:rsidRPr="00DD1CF2">
              <w:rPr>
                <w:rFonts w:eastAsia="Arial" w:cs="Arial"/>
                <w:i/>
                <w:szCs w:val="20"/>
              </w:rPr>
              <w:t xml:space="preserve"> </w:t>
            </w:r>
            <w:r w:rsidRPr="00DD1CF2">
              <w:rPr>
                <w:rFonts w:eastAsia="Arial" w:cs="Arial"/>
                <w:szCs w:val="20"/>
              </w:rPr>
              <w:t xml:space="preserve">A32. If a form of Option 2 was ultimately adopted which required </w:t>
            </w:r>
            <w:proofErr w:type="spellStart"/>
            <w:r w:rsidRPr="00DD1CF2">
              <w:rPr>
                <w:rFonts w:eastAsia="Arial" w:cs="Arial"/>
                <w:szCs w:val="20"/>
              </w:rPr>
              <w:t>ScGN</w:t>
            </w:r>
            <w:proofErr w:type="spellEnd"/>
            <w:r w:rsidRPr="00DD1CF2">
              <w:rPr>
                <w:rFonts w:eastAsia="Arial" w:cs="Arial"/>
                <w:szCs w:val="20"/>
              </w:rPr>
              <w:t xml:space="preserve"> to act as shipper, SGN is aware that it would need to consider a derogation for this [pursuant to the definition of “permitted purpose” standard special condition</w:t>
            </w:r>
            <w:r w:rsidRPr="00DD1CF2">
              <w:rPr>
                <w:rFonts w:eastAsia="Arial" w:cs="Arial"/>
                <w:i/>
                <w:szCs w:val="20"/>
              </w:rPr>
              <w:t xml:space="preserve"> </w:t>
            </w:r>
            <w:r w:rsidRPr="00DD1CF2">
              <w:rPr>
                <w:rFonts w:eastAsia="Arial" w:cs="Arial"/>
                <w:szCs w:val="20"/>
              </w:rPr>
              <w:t xml:space="preserve">A32 and the definition of Licensed Activities under the Gas Act] . It is not proposed that </w:t>
            </w:r>
            <w:proofErr w:type="spellStart"/>
            <w:r w:rsidRPr="00DD1CF2">
              <w:rPr>
                <w:rFonts w:eastAsia="Arial" w:cs="Arial"/>
                <w:szCs w:val="20"/>
              </w:rPr>
              <w:t>ScGN</w:t>
            </w:r>
            <w:proofErr w:type="spellEnd"/>
            <w:r w:rsidRPr="00DD1CF2">
              <w:rPr>
                <w:rFonts w:eastAsia="Arial" w:cs="Arial"/>
                <w:szCs w:val="20"/>
              </w:rPr>
              <w:t xml:space="preserve"> will hold shares in SGN Futures, to avoid directly holding shares in a company which will be, among other things, producing gas</w:t>
            </w:r>
            <w:r w:rsidRPr="00DD1CF2">
              <w:rPr>
                <w:rFonts w:eastAsia="Arial" w:cs="Arial"/>
                <w:szCs w:val="20"/>
                <w:vertAlign w:val="superscript"/>
              </w:rPr>
              <w:footnoteReference w:id="5"/>
            </w:r>
            <w:r w:rsidRPr="00DD1CF2">
              <w:rPr>
                <w:rFonts w:eastAsia="Arial" w:cs="Arial"/>
                <w:szCs w:val="20"/>
              </w:rPr>
              <w:t xml:space="preserve">; </w:t>
            </w:r>
          </w:p>
          <w:p w14:paraId="54DC58B8" w14:textId="77777777" w:rsidR="00DD1CF2" w:rsidRPr="00DD1CF2" w:rsidRDefault="00DD1CF2" w:rsidP="00DD1CF2">
            <w:pPr>
              <w:spacing w:line="240" w:lineRule="auto"/>
              <w:jc w:val="both"/>
              <w:rPr>
                <w:rFonts w:eastAsia="Arial" w:cs="Arial"/>
                <w:szCs w:val="20"/>
              </w:rPr>
            </w:pPr>
          </w:p>
          <w:p w14:paraId="24447685" w14:textId="77777777" w:rsidR="00DD1CF2" w:rsidRPr="00DD1CF2" w:rsidRDefault="00DD1CF2" w:rsidP="00DD1CF2">
            <w:pPr>
              <w:spacing w:line="240" w:lineRule="auto"/>
              <w:jc w:val="both"/>
              <w:rPr>
                <w:rFonts w:eastAsia="Arial" w:cs="Arial"/>
                <w:szCs w:val="20"/>
              </w:rPr>
            </w:pPr>
            <w:r w:rsidRPr="00DD1CF2">
              <w:rPr>
                <w:rFonts w:eastAsia="Arial" w:cs="Arial"/>
                <w:szCs w:val="20"/>
              </w:rPr>
              <w:t xml:space="preserve">(b) </w:t>
            </w:r>
            <w:proofErr w:type="spellStart"/>
            <w:r w:rsidRPr="00DD1CF2">
              <w:rPr>
                <w:rFonts w:eastAsia="Arial" w:cs="Arial"/>
                <w:szCs w:val="20"/>
              </w:rPr>
              <w:t>ScGN</w:t>
            </w:r>
            <w:proofErr w:type="spellEnd"/>
            <w:r w:rsidRPr="00DD1CF2">
              <w:rPr>
                <w:rFonts w:eastAsia="Arial" w:cs="Arial"/>
                <w:szCs w:val="20"/>
              </w:rPr>
              <w:t xml:space="preserve"> and its affiliates cannot purchase or acquire capacity rights, gas or gas derivatives with the intention of disposing of these to a third party</w:t>
            </w:r>
            <w:r w:rsidRPr="00DD1CF2">
              <w:rPr>
                <w:rFonts w:eastAsia="Arial" w:cs="Arial"/>
                <w:szCs w:val="20"/>
                <w:vertAlign w:val="superscript"/>
              </w:rPr>
              <w:footnoteReference w:id="6"/>
            </w:r>
            <w:r w:rsidRPr="00DD1CF2">
              <w:rPr>
                <w:rFonts w:eastAsia="Arial" w:cs="Arial"/>
                <w:szCs w:val="20"/>
              </w:rPr>
              <w:t>.</w:t>
            </w:r>
          </w:p>
          <w:p w14:paraId="71838077" w14:textId="77777777" w:rsidR="00DD1CF2" w:rsidRPr="00DD1CF2" w:rsidRDefault="00DD1CF2" w:rsidP="00DD1CF2">
            <w:pPr>
              <w:spacing w:line="240" w:lineRule="auto"/>
              <w:jc w:val="both"/>
              <w:rPr>
                <w:rFonts w:eastAsia="Arial" w:cs="Arial"/>
                <w:szCs w:val="20"/>
              </w:rPr>
            </w:pPr>
          </w:p>
          <w:p w14:paraId="5CE43F41" w14:textId="77777777" w:rsidR="00DD1CF2" w:rsidRPr="00DD1CF2" w:rsidRDefault="00DD1CF2" w:rsidP="00DD1CF2">
            <w:pPr>
              <w:spacing w:line="240" w:lineRule="auto"/>
              <w:jc w:val="both"/>
              <w:rPr>
                <w:rFonts w:eastAsia="Arial" w:cs="Arial"/>
                <w:szCs w:val="20"/>
              </w:rPr>
            </w:pPr>
            <w:r w:rsidRPr="00DD1CF2">
              <w:rPr>
                <w:rFonts w:eastAsia="Arial" w:cs="Arial"/>
                <w:i/>
                <w:szCs w:val="20"/>
              </w:rPr>
              <w:t>Application</w:t>
            </w:r>
            <w:r w:rsidRPr="00DD1CF2">
              <w:rPr>
                <w:rFonts w:eastAsia="Arial" w:cs="Arial"/>
                <w:szCs w:val="20"/>
              </w:rPr>
              <w:t xml:space="preserve">: under Option 1, SGN Futures (which we are assuming for these purposes would be an 'affiliate' of </w:t>
            </w:r>
            <w:proofErr w:type="spellStart"/>
            <w:r w:rsidRPr="00DD1CF2">
              <w:rPr>
                <w:rFonts w:eastAsia="Arial" w:cs="Arial"/>
                <w:szCs w:val="20"/>
              </w:rPr>
              <w:t>ScGN</w:t>
            </w:r>
            <w:proofErr w:type="spellEnd"/>
            <w:r w:rsidRPr="00DD1CF2">
              <w:rPr>
                <w:rFonts w:eastAsia="Arial" w:cs="Arial"/>
                <w:szCs w:val="20"/>
              </w:rPr>
              <w:t xml:space="preserve">, as they would share an ultimate parent) would not be purchasing or acquiring </w:t>
            </w:r>
            <w:proofErr w:type="gramStart"/>
            <w:r w:rsidRPr="00DD1CF2">
              <w:rPr>
                <w:rFonts w:eastAsia="Arial" w:cs="Arial"/>
                <w:szCs w:val="20"/>
              </w:rPr>
              <w:t>gas, but</w:t>
            </w:r>
            <w:proofErr w:type="gramEnd"/>
            <w:r w:rsidRPr="00DD1CF2">
              <w:rPr>
                <w:rFonts w:eastAsia="Arial" w:cs="Arial"/>
                <w:szCs w:val="20"/>
              </w:rPr>
              <w:t xml:space="preserve"> producing it. </w:t>
            </w:r>
            <w:proofErr w:type="spellStart"/>
            <w:r w:rsidRPr="00DD1CF2">
              <w:rPr>
                <w:rFonts w:eastAsia="Arial" w:cs="Arial"/>
                <w:szCs w:val="20"/>
              </w:rPr>
              <w:t>ScGN</w:t>
            </w:r>
            <w:proofErr w:type="spellEnd"/>
            <w:r w:rsidRPr="00DD1CF2">
              <w:rPr>
                <w:rFonts w:eastAsia="Arial" w:cs="Arial"/>
                <w:szCs w:val="20"/>
              </w:rPr>
              <w:t xml:space="preserve"> would not be carrying out any of these activities. This restriction would only require further consideration if a version of 'Option 2' were adopted where either </w:t>
            </w:r>
            <w:proofErr w:type="spellStart"/>
            <w:r w:rsidRPr="00DD1CF2">
              <w:rPr>
                <w:rFonts w:eastAsia="Arial" w:cs="Arial"/>
                <w:szCs w:val="20"/>
              </w:rPr>
              <w:t>ScGN</w:t>
            </w:r>
            <w:proofErr w:type="spellEnd"/>
            <w:r w:rsidRPr="00DD1CF2">
              <w:rPr>
                <w:rFonts w:eastAsia="Arial" w:cs="Arial"/>
                <w:szCs w:val="20"/>
              </w:rPr>
              <w:t xml:space="preserve"> or SGN Futures was acting as shipper, where they would be purchasing gas/ acquiring capacity rights.</w:t>
            </w:r>
          </w:p>
          <w:p w14:paraId="3B5B7B5A" w14:textId="77777777" w:rsidR="00DD1CF2" w:rsidRPr="00DD1CF2" w:rsidRDefault="00DD1CF2" w:rsidP="00DD1CF2">
            <w:pPr>
              <w:spacing w:line="240" w:lineRule="auto"/>
              <w:jc w:val="both"/>
              <w:rPr>
                <w:rFonts w:eastAsia="Arial" w:cs="Arial"/>
                <w:szCs w:val="20"/>
              </w:rPr>
            </w:pPr>
          </w:p>
          <w:p w14:paraId="3F980443" w14:textId="77777777" w:rsidR="00DD1CF2" w:rsidRPr="00DD1CF2" w:rsidRDefault="00DD1CF2" w:rsidP="00DD1CF2">
            <w:pPr>
              <w:spacing w:line="240" w:lineRule="auto"/>
              <w:jc w:val="both"/>
              <w:rPr>
                <w:rFonts w:eastAsia="Arial" w:cs="Arial"/>
                <w:szCs w:val="20"/>
              </w:rPr>
            </w:pPr>
            <w:r w:rsidRPr="00DD1CF2">
              <w:rPr>
                <w:rFonts w:eastAsia="Arial" w:cs="Arial"/>
                <w:szCs w:val="20"/>
              </w:rPr>
              <w:t xml:space="preserve">(c) </w:t>
            </w:r>
            <w:proofErr w:type="spellStart"/>
            <w:r w:rsidRPr="00DD1CF2">
              <w:rPr>
                <w:rFonts w:eastAsia="Arial" w:cs="Arial"/>
                <w:szCs w:val="20"/>
              </w:rPr>
              <w:t>ScGN</w:t>
            </w:r>
            <w:proofErr w:type="spellEnd"/>
            <w:r w:rsidRPr="00DD1CF2">
              <w:rPr>
                <w:rFonts w:eastAsia="Arial" w:cs="Arial"/>
                <w:szCs w:val="20"/>
              </w:rPr>
              <w:t xml:space="preserve"> is prohibited from providing cross-subsidies to, or receiving any cross-subsidy from, an 'affiliate or related undertaking'</w:t>
            </w:r>
            <w:r w:rsidRPr="00DD1CF2">
              <w:rPr>
                <w:rFonts w:eastAsia="Arial" w:cs="Arial"/>
                <w:szCs w:val="20"/>
                <w:vertAlign w:val="superscript"/>
              </w:rPr>
              <w:footnoteReference w:id="7"/>
            </w:r>
            <w:r w:rsidRPr="00DD1CF2">
              <w:rPr>
                <w:rFonts w:eastAsia="Arial" w:cs="Arial"/>
                <w:szCs w:val="20"/>
              </w:rPr>
              <w:t xml:space="preserve"> .</w:t>
            </w:r>
          </w:p>
          <w:p w14:paraId="45E84CA4" w14:textId="77777777" w:rsidR="00DD1CF2" w:rsidRPr="00DD1CF2" w:rsidRDefault="00DD1CF2" w:rsidP="00DD1CF2">
            <w:pPr>
              <w:spacing w:line="240" w:lineRule="auto"/>
              <w:jc w:val="both"/>
              <w:rPr>
                <w:rFonts w:eastAsia="Arial" w:cs="Arial"/>
                <w:szCs w:val="20"/>
              </w:rPr>
            </w:pPr>
          </w:p>
          <w:p w14:paraId="7BD1024C" w14:textId="77777777" w:rsidR="00DD1CF2" w:rsidRPr="00DD1CF2" w:rsidRDefault="00DD1CF2" w:rsidP="00DD1CF2">
            <w:pPr>
              <w:spacing w:line="240" w:lineRule="auto"/>
              <w:jc w:val="both"/>
              <w:rPr>
                <w:rFonts w:eastAsia="Arial" w:cs="Arial"/>
                <w:szCs w:val="20"/>
              </w:rPr>
            </w:pPr>
            <w:r w:rsidRPr="00DD1CF2">
              <w:rPr>
                <w:rFonts w:eastAsia="Arial" w:cs="Arial"/>
                <w:i/>
                <w:szCs w:val="20"/>
              </w:rPr>
              <w:t>Application</w:t>
            </w:r>
            <w:r w:rsidRPr="00DD1CF2">
              <w:rPr>
                <w:rFonts w:eastAsia="Arial" w:cs="Arial"/>
                <w:szCs w:val="20"/>
              </w:rPr>
              <w:t xml:space="preserve">: since the NIC funding would be payable to </w:t>
            </w:r>
            <w:proofErr w:type="spellStart"/>
            <w:r w:rsidRPr="00DD1CF2">
              <w:rPr>
                <w:rFonts w:eastAsia="Arial" w:cs="Arial"/>
                <w:szCs w:val="20"/>
              </w:rPr>
              <w:t>ScGN</w:t>
            </w:r>
            <w:proofErr w:type="spellEnd"/>
            <w:r w:rsidRPr="00DD1CF2">
              <w:rPr>
                <w:rFonts w:eastAsia="Arial" w:cs="Arial"/>
                <w:szCs w:val="20"/>
              </w:rPr>
              <w:t xml:space="preserve">, but an element of will be paid to SGN Futures for services provided to </w:t>
            </w:r>
            <w:proofErr w:type="spellStart"/>
            <w:r w:rsidRPr="00DD1CF2">
              <w:rPr>
                <w:rFonts w:eastAsia="Arial" w:cs="Arial"/>
                <w:szCs w:val="20"/>
              </w:rPr>
              <w:t>ScGN</w:t>
            </w:r>
            <w:proofErr w:type="spellEnd"/>
            <w:r w:rsidRPr="00DD1CF2">
              <w:rPr>
                <w:rFonts w:eastAsia="Arial" w:cs="Arial"/>
                <w:szCs w:val="20"/>
              </w:rPr>
              <w:t xml:space="preserve"> under the NIC project, a contract </w:t>
            </w:r>
            <w:proofErr w:type="gramStart"/>
            <w:r w:rsidRPr="00DD1CF2">
              <w:rPr>
                <w:rFonts w:eastAsia="Arial" w:cs="Arial"/>
                <w:szCs w:val="20"/>
              </w:rPr>
              <w:t>will  be</w:t>
            </w:r>
            <w:proofErr w:type="gramEnd"/>
            <w:r w:rsidRPr="00DD1CF2">
              <w:rPr>
                <w:rFonts w:eastAsia="Arial" w:cs="Arial"/>
                <w:szCs w:val="20"/>
              </w:rPr>
              <w:t xml:space="preserve"> put in place between the two to facilitate this. This </w:t>
            </w:r>
            <w:r w:rsidRPr="00DD1CF2">
              <w:rPr>
                <w:rFonts w:eastAsia="Arial" w:cs="Arial"/>
                <w:szCs w:val="20"/>
              </w:rPr>
              <w:lastRenderedPageBreak/>
              <w:t xml:space="preserve">contract will be on arm's length terms; will protect </w:t>
            </w:r>
            <w:proofErr w:type="gramStart"/>
            <w:r w:rsidRPr="00DD1CF2">
              <w:rPr>
                <w:rFonts w:eastAsia="Arial" w:cs="Arial"/>
                <w:szCs w:val="20"/>
              </w:rPr>
              <w:t>against  any</w:t>
            </w:r>
            <w:proofErr w:type="gramEnd"/>
            <w:r w:rsidRPr="00DD1CF2">
              <w:rPr>
                <w:rFonts w:eastAsia="Arial" w:cs="Arial"/>
                <w:szCs w:val="20"/>
              </w:rPr>
              <w:t xml:space="preserve"> cross-subsidy and to reflect the requirements of the NIC;</w:t>
            </w:r>
          </w:p>
          <w:p w14:paraId="1C520BD5" w14:textId="77777777" w:rsidR="00DD1CF2" w:rsidRPr="00DD1CF2" w:rsidRDefault="00DD1CF2" w:rsidP="00DD1CF2">
            <w:pPr>
              <w:spacing w:line="240" w:lineRule="auto"/>
              <w:jc w:val="both"/>
              <w:rPr>
                <w:rFonts w:eastAsia="Arial" w:cs="Arial"/>
                <w:szCs w:val="20"/>
              </w:rPr>
            </w:pPr>
          </w:p>
          <w:p w14:paraId="129CA55A" w14:textId="77777777" w:rsidR="00DD1CF2" w:rsidRPr="00DD1CF2" w:rsidRDefault="00DD1CF2" w:rsidP="00DD1CF2">
            <w:pPr>
              <w:spacing w:line="240" w:lineRule="auto"/>
              <w:jc w:val="both"/>
              <w:rPr>
                <w:rFonts w:eastAsia="Arial" w:cs="Arial"/>
                <w:szCs w:val="20"/>
              </w:rPr>
            </w:pPr>
            <w:r w:rsidRPr="00DD1CF2">
              <w:rPr>
                <w:rFonts w:eastAsia="Arial" w:cs="Arial"/>
                <w:szCs w:val="20"/>
              </w:rPr>
              <w:t xml:space="preserve">(d) </w:t>
            </w:r>
            <w:proofErr w:type="spellStart"/>
            <w:r w:rsidRPr="00DD1CF2">
              <w:rPr>
                <w:rFonts w:eastAsia="Arial" w:cs="Arial"/>
                <w:szCs w:val="20"/>
              </w:rPr>
              <w:t>ScGN</w:t>
            </w:r>
            <w:proofErr w:type="spellEnd"/>
            <w:r w:rsidRPr="00DD1CF2">
              <w:rPr>
                <w:rFonts w:eastAsia="Arial" w:cs="Arial"/>
                <w:szCs w:val="20"/>
              </w:rPr>
              <w:t xml:space="preserve"> is required to conduct its business so that neither it nor any affiliate/ related undertaking (among others) obtains an unfair commercial advantage</w:t>
            </w:r>
            <w:r w:rsidRPr="00DD1CF2">
              <w:rPr>
                <w:rFonts w:eastAsia="Arial" w:cs="Arial"/>
                <w:szCs w:val="20"/>
                <w:vertAlign w:val="superscript"/>
              </w:rPr>
              <w:footnoteReference w:id="8"/>
            </w:r>
            <w:r w:rsidRPr="00DD1CF2">
              <w:rPr>
                <w:rFonts w:eastAsia="Arial" w:cs="Arial"/>
                <w:szCs w:val="20"/>
              </w:rPr>
              <w:t xml:space="preserve"> .</w:t>
            </w:r>
          </w:p>
          <w:p w14:paraId="1E801F4D" w14:textId="77777777" w:rsidR="00DD1CF2" w:rsidRPr="00DD1CF2" w:rsidRDefault="00DD1CF2" w:rsidP="00DD1CF2">
            <w:pPr>
              <w:spacing w:line="240" w:lineRule="auto"/>
              <w:jc w:val="both"/>
              <w:rPr>
                <w:rFonts w:eastAsia="Arial" w:cs="Arial"/>
                <w:szCs w:val="20"/>
              </w:rPr>
            </w:pPr>
          </w:p>
          <w:p w14:paraId="343D89E4" w14:textId="77777777" w:rsidR="00DD1CF2" w:rsidRPr="00DD1CF2" w:rsidRDefault="00DD1CF2" w:rsidP="00DD1CF2">
            <w:pPr>
              <w:spacing w:line="240" w:lineRule="auto"/>
              <w:jc w:val="both"/>
              <w:rPr>
                <w:rFonts w:eastAsia="Arial" w:cs="Arial"/>
                <w:szCs w:val="20"/>
              </w:rPr>
            </w:pPr>
            <w:r w:rsidRPr="00DD1CF2">
              <w:rPr>
                <w:rFonts w:eastAsia="Arial" w:cs="Arial"/>
                <w:i/>
                <w:szCs w:val="20"/>
              </w:rPr>
              <w:t>Application</w:t>
            </w:r>
            <w:r w:rsidRPr="00DD1CF2">
              <w:rPr>
                <w:rFonts w:eastAsia="Arial" w:cs="Arial"/>
                <w:szCs w:val="20"/>
              </w:rPr>
              <w:t xml:space="preserve">: as noted above, the agreement between SGN Futures and </w:t>
            </w:r>
            <w:proofErr w:type="spellStart"/>
            <w:r w:rsidRPr="00DD1CF2">
              <w:rPr>
                <w:rFonts w:eastAsia="Arial" w:cs="Arial"/>
                <w:szCs w:val="20"/>
              </w:rPr>
              <w:t>ScGN</w:t>
            </w:r>
            <w:proofErr w:type="spellEnd"/>
            <w:r w:rsidRPr="00DD1CF2">
              <w:rPr>
                <w:rFonts w:eastAsia="Arial" w:cs="Arial"/>
                <w:szCs w:val="20"/>
              </w:rPr>
              <w:t xml:space="preserve"> will be on arm's length terms. Contracts with other parties, in particular the </w:t>
            </w:r>
            <w:proofErr w:type="gramStart"/>
            <w:r w:rsidRPr="00DD1CF2">
              <w:rPr>
                <w:rFonts w:eastAsia="Arial" w:cs="Arial"/>
                <w:szCs w:val="20"/>
              </w:rPr>
              <w:t>third party</w:t>
            </w:r>
            <w:proofErr w:type="gramEnd"/>
            <w:r w:rsidRPr="00DD1CF2">
              <w:rPr>
                <w:rFonts w:eastAsia="Arial" w:cs="Arial"/>
                <w:szCs w:val="20"/>
              </w:rPr>
              <w:t xml:space="preserve"> shipper, will be on industry standard/ market terms. </w:t>
            </w:r>
          </w:p>
          <w:p w14:paraId="37DFBD28" w14:textId="77777777" w:rsidR="00DD1CF2" w:rsidRPr="00DD1CF2" w:rsidRDefault="00DD1CF2" w:rsidP="00DD1CF2">
            <w:pPr>
              <w:spacing w:line="240" w:lineRule="auto"/>
              <w:jc w:val="both"/>
              <w:rPr>
                <w:rFonts w:eastAsia="Arial" w:cs="Arial"/>
                <w:szCs w:val="20"/>
              </w:rPr>
            </w:pPr>
          </w:p>
          <w:p w14:paraId="1D686C65" w14:textId="77777777" w:rsidR="00DD1CF2" w:rsidRPr="00DD1CF2" w:rsidRDefault="00DD1CF2" w:rsidP="00DD1CF2">
            <w:pPr>
              <w:spacing w:line="240" w:lineRule="auto"/>
              <w:jc w:val="both"/>
              <w:rPr>
                <w:rFonts w:eastAsia="Arial" w:cs="Arial"/>
                <w:szCs w:val="20"/>
              </w:rPr>
            </w:pPr>
          </w:p>
          <w:p w14:paraId="4A130F65" w14:textId="77777777" w:rsidR="00DD1CF2" w:rsidRPr="00DD1CF2" w:rsidRDefault="00DD1CF2" w:rsidP="00DD1CF2">
            <w:pPr>
              <w:spacing w:line="240" w:lineRule="auto"/>
              <w:jc w:val="both"/>
              <w:rPr>
                <w:rFonts w:eastAsia="Arial" w:cs="Arial"/>
                <w:szCs w:val="20"/>
              </w:rPr>
            </w:pPr>
            <w:r w:rsidRPr="00DD1CF2">
              <w:rPr>
                <w:rFonts w:eastAsia="Arial" w:cs="Arial"/>
                <w:szCs w:val="20"/>
              </w:rPr>
              <w:t xml:space="preserve">(e) </w:t>
            </w:r>
            <w:proofErr w:type="spellStart"/>
            <w:r w:rsidRPr="00DD1CF2">
              <w:rPr>
                <w:rFonts w:eastAsia="Arial" w:cs="Arial"/>
                <w:szCs w:val="20"/>
              </w:rPr>
              <w:t>ScGN</w:t>
            </w:r>
            <w:proofErr w:type="spellEnd"/>
            <w:r w:rsidRPr="00DD1CF2">
              <w:rPr>
                <w:rFonts w:eastAsia="Arial" w:cs="Arial"/>
                <w:szCs w:val="20"/>
              </w:rPr>
              <w:t xml:space="preserve"> is prohibited from, amongst other things (c), entering into an agreement or incur a commitment incorporating a cross-default obligation</w:t>
            </w:r>
            <w:r w:rsidRPr="00DD1CF2">
              <w:rPr>
                <w:rFonts w:eastAsia="Arial" w:cs="Arial"/>
                <w:szCs w:val="20"/>
                <w:vertAlign w:val="superscript"/>
              </w:rPr>
              <w:footnoteReference w:id="9"/>
            </w:r>
            <w:r w:rsidRPr="00DD1CF2">
              <w:rPr>
                <w:rFonts w:eastAsia="Arial" w:cs="Arial"/>
                <w:szCs w:val="20"/>
              </w:rPr>
              <w:t>.</w:t>
            </w:r>
          </w:p>
          <w:p w14:paraId="58427214" w14:textId="77777777" w:rsidR="00DD1CF2" w:rsidRPr="00DD1CF2" w:rsidRDefault="00DD1CF2" w:rsidP="00DD1CF2">
            <w:pPr>
              <w:spacing w:line="240" w:lineRule="auto"/>
              <w:jc w:val="both"/>
              <w:rPr>
                <w:rFonts w:eastAsia="Arial" w:cs="Arial"/>
                <w:szCs w:val="20"/>
              </w:rPr>
            </w:pPr>
          </w:p>
          <w:p w14:paraId="081F41AF" w14:textId="77777777" w:rsidR="00DD1CF2" w:rsidRPr="00DD1CF2" w:rsidRDefault="00DD1CF2" w:rsidP="00DD1CF2">
            <w:pPr>
              <w:spacing w:line="240" w:lineRule="auto"/>
              <w:jc w:val="both"/>
              <w:rPr>
                <w:rFonts w:eastAsia="Arial" w:cs="Arial"/>
                <w:szCs w:val="20"/>
              </w:rPr>
            </w:pPr>
            <w:r w:rsidRPr="00DD1CF2">
              <w:rPr>
                <w:rFonts w:eastAsia="Arial" w:cs="Arial"/>
                <w:i/>
                <w:szCs w:val="20"/>
              </w:rPr>
              <w:t>Application</w:t>
            </w:r>
            <w:r w:rsidRPr="00DD1CF2">
              <w:rPr>
                <w:rFonts w:eastAsia="Arial" w:cs="Arial"/>
                <w:szCs w:val="20"/>
              </w:rPr>
              <w:t xml:space="preserve">: as noted above, under Option 1 SGN Futures will contract with various third parties to produce and deliver hydrogen for injection into the network which will ensure any risk of cross default is ring fenced away from </w:t>
            </w:r>
            <w:proofErr w:type="spellStart"/>
            <w:r w:rsidRPr="00DD1CF2">
              <w:rPr>
                <w:rFonts w:eastAsia="Arial" w:cs="Arial"/>
                <w:szCs w:val="20"/>
              </w:rPr>
              <w:t>ScGN</w:t>
            </w:r>
            <w:proofErr w:type="spellEnd"/>
            <w:r w:rsidRPr="00DD1CF2">
              <w:rPr>
                <w:rFonts w:eastAsia="Arial" w:cs="Arial"/>
                <w:szCs w:val="20"/>
              </w:rPr>
              <w:t xml:space="preserve">. Under Option 2 </w:t>
            </w:r>
            <w:proofErr w:type="spellStart"/>
            <w:r w:rsidRPr="00DD1CF2">
              <w:rPr>
                <w:rFonts w:eastAsia="Arial" w:cs="Arial"/>
                <w:szCs w:val="20"/>
              </w:rPr>
              <w:t>ScGN</w:t>
            </w:r>
            <w:proofErr w:type="spellEnd"/>
            <w:r w:rsidRPr="00DD1CF2">
              <w:rPr>
                <w:rFonts w:eastAsia="Arial" w:cs="Arial"/>
                <w:szCs w:val="20"/>
              </w:rPr>
              <w:t xml:space="preserve"> would undertake this contracting role and therefore would require a derogation from Ofgem.  Until contracts are placed it would be difficult to be specific on the exact detail of what this derogation would need to cover so instead would need to be more high level. </w:t>
            </w:r>
          </w:p>
          <w:p w14:paraId="322796F0" w14:textId="77777777" w:rsidR="00DD1CF2" w:rsidRPr="00DD1CF2" w:rsidRDefault="00DD1CF2" w:rsidP="00DD1CF2">
            <w:pPr>
              <w:spacing w:line="240" w:lineRule="auto"/>
              <w:jc w:val="both"/>
              <w:rPr>
                <w:rFonts w:eastAsia="Arial" w:cs="Arial"/>
                <w:szCs w:val="20"/>
              </w:rPr>
            </w:pPr>
          </w:p>
          <w:p w14:paraId="33D65027" w14:textId="77777777" w:rsidR="00DD1CF2" w:rsidRPr="00DD1CF2" w:rsidRDefault="00DD1CF2" w:rsidP="00DD1CF2">
            <w:pPr>
              <w:spacing w:line="240" w:lineRule="auto"/>
              <w:jc w:val="both"/>
              <w:rPr>
                <w:rFonts w:eastAsia="Arial" w:cs="Arial"/>
                <w:szCs w:val="20"/>
              </w:rPr>
            </w:pPr>
          </w:p>
          <w:p w14:paraId="3FCDAF46" w14:textId="77777777" w:rsidR="00DD1CF2" w:rsidRPr="00DD1CF2" w:rsidRDefault="00DD1CF2" w:rsidP="00DD1CF2">
            <w:pPr>
              <w:spacing w:line="240" w:lineRule="auto"/>
              <w:jc w:val="both"/>
              <w:rPr>
                <w:rFonts w:eastAsia="Arial" w:cs="Arial"/>
                <w:szCs w:val="20"/>
              </w:rPr>
            </w:pPr>
            <w:r w:rsidRPr="00DD1CF2">
              <w:rPr>
                <w:rFonts w:eastAsia="Arial" w:cs="Arial"/>
                <w:szCs w:val="20"/>
              </w:rPr>
              <w:t xml:space="preserve">As is clear from the above, Option 1 (which is SGN's favoured approach) would be simpler to carry out </w:t>
            </w:r>
            <w:proofErr w:type="gramStart"/>
            <w:r w:rsidRPr="00DD1CF2">
              <w:rPr>
                <w:rFonts w:eastAsia="Arial" w:cs="Arial"/>
                <w:szCs w:val="20"/>
              </w:rPr>
              <w:t>in light of</w:t>
            </w:r>
            <w:proofErr w:type="gramEnd"/>
            <w:r w:rsidRPr="00DD1CF2">
              <w:rPr>
                <w:rFonts w:eastAsia="Arial" w:cs="Arial"/>
                <w:szCs w:val="20"/>
              </w:rPr>
              <w:t xml:space="preserve"> the licence requirements than Option 2. </w:t>
            </w:r>
          </w:p>
          <w:p w14:paraId="50C9F8BB" w14:textId="77777777" w:rsidR="00DD1CF2" w:rsidRPr="00DD1CF2" w:rsidRDefault="00DD1CF2" w:rsidP="00DD1CF2">
            <w:pPr>
              <w:spacing w:line="240" w:lineRule="auto"/>
              <w:jc w:val="both"/>
              <w:rPr>
                <w:rFonts w:eastAsia="Arial" w:cs="Arial"/>
                <w:szCs w:val="20"/>
              </w:rPr>
            </w:pPr>
          </w:p>
          <w:p w14:paraId="6F57F1C7" w14:textId="77777777" w:rsidR="00DD1CF2" w:rsidRPr="00DD1CF2" w:rsidRDefault="00DD1CF2" w:rsidP="00DD1CF2">
            <w:pPr>
              <w:spacing w:line="240" w:lineRule="auto"/>
              <w:jc w:val="both"/>
              <w:rPr>
                <w:rFonts w:eastAsia="Arial" w:cs="Arial"/>
                <w:szCs w:val="20"/>
              </w:rPr>
            </w:pPr>
          </w:p>
        </w:tc>
      </w:tr>
    </w:tbl>
    <w:p w14:paraId="788C2E3A" w14:textId="77777777" w:rsidR="00DD1CF2" w:rsidRPr="00DD1CF2" w:rsidRDefault="00DD1CF2" w:rsidP="00DD1CF2">
      <w:pPr>
        <w:spacing w:after="240" w:line="240" w:lineRule="auto"/>
        <w:jc w:val="both"/>
        <w:rPr>
          <w:rFonts w:ascii="Arial" w:eastAsia="Times New Roman" w:hAnsi="Arial" w:cs="Arial"/>
          <w:szCs w:val="20"/>
          <w:lang w:eastAsia="en-GB"/>
        </w:rPr>
      </w:pPr>
    </w:p>
    <w:p w14:paraId="52A8177C" w14:textId="77777777" w:rsidR="00EF4E70" w:rsidRDefault="00EF4E70" w:rsidP="00756FAF"/>
    <w:p w14:paraId="22D719B7" w14:textId="77777777" w:rsidR="00756FAF" w:rsidRDefault="00756FAF" w:rsidP="00756FAF"/>
    <w:p w14:paraId="78F2B430" w14:textId="77777777" w:rsidR="00903B76" w:rsidRDefault="00903B76" w:rsidP="00903B76"/>
    <w:sectPr w:rsidR="00903B76" w:rsidSect="00265B97">
      <w:headerReference w:type="even" r:id="rId12"/>
      <w:headerReference w:type="default" r:id="rId13"/>
      <w:footerReference w:type="even" r:id="rId14"/>
      <w:footerReference w:type="default" r:id="rId15"/>
      <w:headerReference w:type="first" r:id="rId16"/>
      <w:footerReference w:type="first" r:id="rId17"/>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8DAAC6" w14:textId="77777777" w:rsidR="00A75A45" w:rsidRDefault="00A75A45" w:rsidP="001F6E93">
      <w:r>
        <w:separator/>
      </w:r>
    </w:p>
  </w:endnote>
  <w:endnote w:type="continuationSeparator" w:id="0">
    <w:p w14:paraId="2F548495" w14:textId="77777777" w:rsidR="00A75A45" w:rsidRDefault="00A75A45"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66CEE" w14:textId="77FEDE13" w:rsidR="00000C82" w:rsidRDefault="00B65DF4" w:rsidP="001F6E93">
    <w:pPr>
      <w:pStyle w:val="Footer"/>
      <w:rPr>
        <w:rStyle w:val="PageNumber"/>
      </w:rPr>
    </w:pPr>
    <w:r>
      <w:rPr>
        <w:noProof/>
      </w:rPr>
      <mc:AlternateContent>
        <mc:Choice Requires="wps">
          <w:drawing>
            <wp:anchor distT="0" distB="0" distL="114300" distR="114300" simplePos="0" relativeHeight="251659264" behindDoc="0" locked="0" layoutInCell="0" allowOverlap="1" wp14:anchorId="079A72F8" wp14:editId="763A33E7">
              <wp:simplePos x="0" y="0"/>
              <wp:positionH relativeFrom="page">
                <wp:posOffset>0</wp:posOffset>
              </wp:positionH>
              <wp:positionV relativeFrom="page">
                <wp:posOffset>10229215</wp:posOffset>
              </wp:positionV>
              <wp:extent cx="7556500" cy="273050"/>
              <wp:effectExtent l="0" t="0" r="0" b="12700"/>
              <wp:wrapNone/>
              <wp:docPr id="3" name="MSIPCM15e543789a96702be23cbf3d" descr="{&quot;HashCode&quot;:205147173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8FDF73E" w14:textId="39255387" w:rsidR="00B65DF4" w:rsidRPr="00B65DF4" w:rsidRDefault="00B65DF4" w:rsidP="00B65DF4">
                          <w:pPr>
                            <w:rPr>
                              <w:rFonts w:ascii="Calibri" w:hAnsi="Calibri" w:cs="Calibri"/>
                              <w:color w:val="000000"/>
                            </w:rPr>
                          </w:pPr>
                          <w:r w:rsidRPr="00B65DF4">
                            <w:rPr>
                              <w:rFonts w:ascii="Calibri" w:hAnsi="Calibri" w:cs="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79A72F8" id="_x0000_t202" coordsize="21600,21600" o:spt="202" path="m,l,21600r21600,l21600,xe">
              <v:stroke joinstyle="miter"/>
              <v:path gradientshapeok="t" o:connecttype="rect"/>
            </v:shapetype>
            <v:shape id="MSIPCM15e543789a96702be23cbf3d" o:spid="_x0000_s1026" type="#_x0000_t202" alt="{&quot;HashCode&quot;:2051471737,&quot;Height&quot;:842.0,&quot;Width&quot;:595.0,&quot;Placement&quot;:&quot;Footer&quot;,&quot;Index&quot;:&quot;Primary&quot;,&quot;Section&quot;:1,&quot;Top&quot;:0.0,&quot;Left&quot;:0.0}" style="position:absolute;margin-left:0;margin-top:805.45pt;width:59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RW5HAMAADcGAAAOAAAAZHJzL2Uyb0RvYy54bWysVEtv2zAMvg/YfxB02GmpH7HjOKtbtCmy&#10;FUjbAOnQsyLLtTBbciWlcVb0v4+S7fSxHYZhF4kiKYr8+InHp21doUemNJciw8GRjxETVOZc3Gf4&#10;++1iNMVIGyJyUknBMrxnGp+efPxwvGtmLJSlrHKmEAQRerZrMlwa08w8T9OS1UQfyYYJMBZS1cTA&#10;Ud17uSI7iF5XXuj7E28nVd4oSZnWoL3ojPjExS8KRs1NUWhmUJVhyM24Vbl1Y1fv5JjM7hVpSk77&#10;NMg/ZFETLuDRQ6gLYgjaKv5bqJpTJbUszBGVtSeLglPmaoBqAv9dNeuSNMzVAuDo5gCT/n9h6fXj&#10;SiGeZ3iMkSA1tOhqfbmaXwUxi6NxMk1JOkn8cMPCMd0U4xyjnGkKCD59ethK8+Ub0eVc5qw7zUI/&#10;DqIkSMbJ597O+H1peus0Co/83nDHc1P2+jiND/pVRSirmRjudC4LKQ1TndwHuBQ5a/sA3bZSvCZq&#10;/8ZrDRQAbvZ+QX/3Vja9xj88vGTF8CYony01do2eAULrBjAy7blsgeKDXoPSdrwtVG136CUCO5Bs&#10;fyAWaw2ioEzieBL7YKJgC5OxHzvmeS+3G6XNVyZrZIUMK8ja8Yk8LrWBTMB1cLGPCbngVeXIWwm0&#10;y/BkDCHfWOBGJawGkoAYvdSR8ikNwsg/D9PRYjJNRtEiikdp4k9HfpCepxM/SqOLxbONF0Szkuc5&#10;E0su2PBBgujvCNh/1Y7a7ou8SVXLiue2DpubrW5eKfRI4KdugAM/LNBQxCsv7206zgzVDbur0rM9&#10;63pjJdNu2r6RG5nvoY9KAr7QCt3QBYdHl0SbFVHw60EJk8zcwFJUEkCVvYRRKdXPP+mtP2ABVox2&#10;MEUyrB+2RDGMqksB3zSMI9/23bgTCMoJaRBFcNgMWrGt5xLqDlxaTrS+phrEQsn6DibdmX0OTERQ&#10;eBSAGsS5gRMYYFJSdnbmZJgwDTFLsW6oDT2gfNveEdX0RDOA37UcBg2ZveNb52tvCnm2NbLgjowW&#10;2Q5OwN4eYDq5LvST1I6/12fn9TLvT34BAAD//wMAUEsDBBQABgAIAAAAIQBP2IiB3gAAAAsBAAAP&#10;AAAAZHJzL2Rvd25yZXYueG1sTI/BTsMwEETvSPyDtZW4UTsgKhLiVFWlIsEB0dAPcOMlSWuvI9tp&#10;w9/jnOC4b0azM+V6soZd0IfekYRsKYAhNU731Eo4fO3un4GFqEgr4wgl/GCAdXV7U6pCuyvt8VLH&#10;lqUQCoWS0MU4FJyHpkOrwtINSEn7dt6qmE7fcu3VNYVbwx+EWHGrekofOjXgtsPmXI9WwgbHLLyZ&#10;3em1P9Sf76eP6PU2l/JuMW1egEWc4p8Z5vqpOlSp09GNpAMzEtKQmOgqEzmwWc9ykdhxZk+POfCq&#10;5P83VL8AAAD//wMAUEsBAi0AFAAGAAgAAAAhALaDOJL+AAAA4QEAABMAAAAAAAAAAAAAAAAAAAAA&#10;AFtDb250ZW50X1R5cGVzXS54bWxQSwECLQAUAAYACAAAACEAOP0h/9YAAACUAQAACwAAAAAAAAAA&#10;AAAAAAAvAQAAX3JlbHMvLnJlbHNQSwECLQAUAAYACAAAACEAahkVuRwDAAA3BgAADgAAAAAAAAAA&#10;AAAAAAAuAgAAZHJzL2Uyb0RvYy54bWxQSwECLQAUAAYACAAAACEAT9iIgd4AAAALAQAADwAAAAAA&#10;AAAAAAAAAAB2BQAAZHJzL2Rvd25yZXYueG1sUEsFBgAAAAAEAAQA8wAAAIEGAAAAAA==&#10;" o:allowincell="f" filled="f" stroked="f" strokeweight=".5pt">
              <v:textbox inset="20pt,0,,0">
                <w:txbxContent>
                  <w:p w14:paraId="48FDF73E" w14:textId="39255387" w:rsidR="00B65DF4" w:rsidRPr="00B65DF4" w:rsidRDefault="00B65DF4" w:rsidP="00B65DF4">
                    <w:pPr>
                      <w:rPr>
                        <w:rFonts w:ascii="Calibri" w:hAnsi="Calibri" w:cs="Calibri"/>
                        <w:color w:val="000000"/>
                      </w:rPr>
                    </w:pPr>
                    <w:r w:rsidRPr="00B65DF4">
                      <w:rPr>
                        <w:rFonts w:ascii="Calibri" w:hAnsi="Calibri" w:cs="Calibri"/>
                        <w:color w:val="000000"/>
                      </w:rPr>
                      <w:t>Classified as Internal</w:t>
                    </w:r>
                  </w:p>
                </w:txbxContent>
              </v:textbox>
              <w10:wrap anchorx="page" anchory="page"/>
            </v:shape>
          </w:pict>
        </mc:Fallback>
      </mc:AlternateContent>
    </w:r>
    <w:sdt>
      <w:sdtPr>
        <w:rPr>
          <w:rStyle w:val="PageNumber"/>
        </w:rPr>
        <w:id w:val="1612088975"/>
        <w:docPartObj>
          <w:docPartGallery w:val="Page Numbers (Bottom of Page)"/>
          <w:docPartUnique/>
        </w:docPartObj>
      </w:sdtPr>
      <w:sdtEndPr>
        <w:rPr>
          <w:rStyle w:val="PageNumber"/>
        </w:rPr>
      </w:sdtEndPr>
      <w:sdtContent>
        <w:r w:rsidR="00000C82">
          <w:rPr>
            <w:rStyle w:val="PageNumber"/>
          </w:rPr>
          <w:fldChar w:fldCharType="begin"/>
        </w:r>
        <w:r w:rsidR="00000C82">
          <w:rPr>
            <w:rStyle w:val="PageNumber"/>
          </w:rPr>
          <w:instrText xml:space="preserve"> PAGE </w:instrText>
        </w:r>
        <w:r w:rsidR="00000C82">
          <w:rPr>
            <w:rStyle w:val="PageNumber"/>
          </w:rPr>
          <w:fldChar w:fldCharType="separate"/>
        </w:r>
        <w:r w:rsidR="006605C4">
          <w:rPr>
            <w:rStyle w:val="PageNumber"/>
            <w:noProof/>
          </w:rPr>
          <w:t>1</w:t>
        </w:r>
        <w:r w:rsidR="00000C82">
          <w:rPr>
            <w:rStyle w:val="PageNumber"/>
          </w:rPr>
          <w:fldChar w:fldCharType="end"/>
        </w:r>
      </w:sdtContent>
    </w:sdt>
  </w:p>
  <w:p w14:paraId="5EEDD37B" w14:textId="7E59ED1C" w:rsidR="00000C82" w:rsidRPr="00000C82" w:rsidRDefault="009905C7" w:rsidP="001F6E93">
    <w:pPr>
      <w:pStyle w:val="Footer"/>
    </w:pPr>
    <w:r>
      <w:rPr>
        <w:noProof/>
        <w:lang w:eastAsia="en-GB"/>
      </w:rPr>
      <w:drawing>
        <wp:anchor distT="0" distB="0" distL="114300" distR="114300" simplePos="0" relativeHeight="251658240"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6E0EA0" w14:textId="77777777" w:rsidR="001A2292" w:rsidRDefault="001A22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AF829F" w14:textId="77777777" w:rsidR="00A75A45" w:rsidRDefault="00A75A45" w:rsidP="001F6E93">
      <w:r>
        <w:separator/>
      </w:r>
    </w:p>
  </w:footnote>
  <w:footnote w:type="continuationSeparator" w:id="0">
    <w:p w14:paraId="2133565E" w14:textId="77777777" w:rsidR="00A75A45" w:rsidRDefault="00A75A45" w:rsidP="001F6E93">
      <w:r>
        <w:continuationSeparator/>
      </w:r>
    </w:p>
  </w:footnote>
  <w:footnote w:id="1">
    <w:p w14:paraId="34D671FD" w14:textId="77777777" w:rsidR="00DD1CF2" w:rsidRDefault="00DD1CF2" w:rsidP="00DD1CF2">
      <w:pPr>
        <w:pStyle w:val="FootnoteText"/>
      </w:pPr>
      <w:r>
        <w:rPr>
          <w:rStyle w:val="FootnoteReference"/>
        </w:rPr>
        <w:footnoteRef/>
      </w:r>
      <w:r>
        <w:t xml:space="preserve"> Section 5 of the Gas Act 1986. </w:t>
      </w:r>
    </w:p>
  </w:footnote>
  <w:footnote w:id="2">
    <w:p w14:paraId="21DFC7C3" w14:textId="77777777" w:rsidR="00DD1CF2" w:rsidRDefault="00DD1CF2" w:rsidP="00DD1CF2">
      <w:pPr>
        <w:pStyle w:val="FootnoteText"/>
      </w:pPr>
      <w:r>
        <w:rPr>
          <w:rStyle w:val="FootnoteReference"/>
        </w:rPr>
        <w:footnoteRef/>
      </w:r>
      <w:r>
        <w:t xml:space="preserve"> Part 4 (sections 19-21) of the Gas Exemptions Order 2011. </w:t>
      </w:r>
    </w:p>
  </w:footnote>
  <w:footnote w:id="3">
    <w:p w14:paraId="20FF36F1" w14:textId="77777777" w:rsidR="00DD1CF2" w:rsidDel="008F4633" w:rsidRDefault="00DD1CF2" w:rsidP="00DD1CF2">
      <w:pPr>
        <w:pStyle w:val="FootnoteText"/>
        <w:rPr>
          <w:del w:id="2" w:author="Addleshaw Goddard" w:date="2020-07-29T09:29:00Z"/>
        </w:rPr>
      </w:pPr>
      <w:r>
        <w:rPr>
          <w:rStyle w:val="FootnoteReference"/>
        </w:rPr>
        <w:footnoteRef/>
      </w:r>
      <w:r>
        <w:t xml:space="preserve"> Schedule 2A of the Gas Act 1986. </w:t>
      </w:r>
    </w:p>
  </w:footnote>
  <w:footnote w:id="4">
    <w:p w14:paraId="79EB90BE" w14:textId="77777777" w:rsidR="00DD1CF2" w:rsidRDefault="00DD1CF2" w:rsidP="00DD1CF2">
      <w:pPr>
        <w:pStyle w:val="FootnoteText"/>
      </w:pPr>
      <w:r>
        <w:rPr>
          <w:rStyle w:val="FootnoteReference"/>
        </w:rPr>
        <w:footnoteRef/>
      </w:r>
      <w:r>
        <w:t xml:space="preserve"> S</w:t>
      </w:r>
      <w:r w:rsidRPr="00C66D04">
        <w:t>tandard special condition A32, 36 and standard condition 43</w:t>
      </w:r>
      <w:r>
        <w:t>.</w:t>
      </w:r>
    </w:p>
  </w:footnote>
  <w:footnote w:id="5">
    <w:p w14:paraId="5D1CB704" w14:textId="77777777" w:rsidR="00DD1CF2" w:rsidRDefault="00DD1CF2" w:rsidP="00DD1CF2">
      <w:pPr>
        <w:pStyle w:val="FootnoteText"/>
      </w:pPr>
      <w:r>
        <w:rPr>
          <w:rStyle w:val="FootnoteReference"/>
        </w:rPr>
        <w:footnoteRef/>
      </w:r>
      <w:r>
        <w:t xml:space="preserve"> S</w:t>
      </w:r>
      <w:r w:rsidRPr="00C66D04">
        <w:t>tandard special condition A36</w:t>
      </w:r>
    </w:p>
  </w:footnote>
  <w:footnote w:id="6">
    <w:p w14:paraId="31A6072B" w14:textId="77777777" w:rsidR="00DD1CF2" w:rsidRDefault="00DD1CF2" w:rsidP="00DD1CF2">
      <w:pPr>
        <w:pStyle w:val="FootnoteText"/>
      </w:pPr>
      <w:r>
        <w:rPr>
          <w:rStyle w:val="FootnoteReference"/>
        </w:rPr>
        <w:footnoteRef/>
      </w:r>
      <w:r>
        <w:t xml:space="preserve"> </w:t>
      </w:r>
      <w:r w:rsidRPr="00C66D04">
        <w:t>D4 (prohibited procurement activities) of the standard special licence conditions</w:t>
      </w:r>
      <w:r>
        <w:t>.</w:t>
      </w:r>
    </w:p>
  </w:footnote>
  <w:footnote w:id="7">
    <w:p w14:paraId="496DD9FB" w14:textId="77777777" w:rsidR="00DD1CF2" w:rsidRDefault="00DD1CF2" w:rsidP="00DD1CF2">
      <w:pPr>
        <w:pStyle w:val="FootnoteText"/>
      </w:pPr>
      <w:r>
        <w:rPr>
          <w:rStyle w:val="FootnoteReference"/>
        </w:rPr>
        <w:footnoteRef/>
      </w:r>
      <w:r>
        <w:t xml:space="preserve"> St</w:t>
      </w:r>
      <w:r w:rsidRPr="00C66D04">
        <w:t>andard special condition A35</w:t>
      </w:r>
      <w:r>
        <w:t>.</w:t>
      </w:r>
    </w:p>
  </w:footnote>
  <w:footnote w:id="8">
    <w:p w14:paraId="16505877" w14:textId="77777777" w:rsidR="00DD1CF2" w:rsidRPr="002B0D75" w:rsidRDefault="00DD1CF2" w:rsidP="00DD1CF2">
      <w:pPr>
        <w:pStyle w:val="FootnoteText"/>
      </w:pPr>
      <w:r w:rsidRPr="002B0D75">
        <w:rPr>
          <w:rStyle w:val="FootnoteReference"/>
        </w:rPr>
        <w:footnoteRef/>
      </w:r>
      <w:r w:rsidRPr="002B0D75">
        <w:rPr>
          <w:vertAlign w:val="superscript"/>
        </w:rPr>
        <w:t xml:space="preserve"> </w:t>
      </w:r>
      <w:r w:rsidRPr="002B0D75">
        <w:t>Standard special condition A6.</w:t>
      </w:r>
    </w:p>
  </w:footnote>
  <w:footnote w:id="9">
    <w:p w14:paraId="235E7E63" w14:textId="77777777" w:rsidR="00DD1CF2" w:rsidRPr="002B0D75" w:rsidRDefault="00DD1CF2" w:rsidP="00DD1CF2">
      <w:pPr>
        <w:pStyle w:val="ScheduleSub"/>
        <w:tabs>
          <w:tab w:val="clear" w:pos="360"/>
        </w:tabs>
        <w:spacing w:after="120"/>
        <w:jc w:val="left"/>
        <w:rPr>
          <w:rFonts w:ascii="Verdana" w:hAnsi="Verdana"/>
          <w:b w:val="0"/>
        </w:rPr>
      </w:pPr>
      <w:r w:rsidRPr="002B0D75">
        <w:rPr>
          <w:rFonts w:ascii="Verdana" w:hAnsi="Verdana"/>
          <w:b w:val="0"/>
          <w:vertAlign w:val="superscript"/>
        </w:rPr>
        <w:footnoteRef/>
      </w:r>
      <w:r w:rsidRPr="002B0D75">
        <w:rPr>
          <w:rFonts w:ascii="Verdana" w:hAnsi="Verdana"/>
          <w:b w:val="0"/>
        </w:rPr>
        <w:t xml:space="preserve"> </w:t>
      </w:r>
      <w:bookmarkStart w:id="3" w:name="_Toc19190946"/>
      <w:bookmarkStart w:id="4" w:name="_Ref19200164"/>
      <w:r w:rsidRPr="002B0D75">
        <w:rPr>
          <w:rFonts w:ascii="Verdana" w:hAnsi="Verdana"/>
          <w:b w:val="0"/>
        </w:rPr>
        <w:t>Standard Special Condition A39: Indebtedness</w:t>
      </w:r>
      <w:bookmarkEnd w:id="3"/>
      <w:bookmarkEnd w:id="4"/>
    </w:p>
    <w:p w14:paraId="7B23556E" w14:textId="77777777" w:rsidR="00DD1CF2" w:rsidRDefault="00DD1CF2" w:rsidP="00DD1CF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9E1FE" w14:textId="77777777" w:rsidR="001A2292" w:rsidRDefault="001A22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94A6A" w14:textId="77777777" w:rsidR="00000C82" w:rsidRDefault="00000C82" w:rsidP="001F6E93">
    <w:pPr>
      <w:pStyle w:val="Header"/>
    </w:pPr>
    <w:r>
      <w:rPr>
        <w:noProof/>
        <w:lang w:eastAsia="en-GB"/>
      </w:rPr>
      <w:drawing>
        <wp:anchor distT="0" distB="0" distL="114300" distR="114300" simplePos="0" relativeHeight="251656192"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27C5C" w14:textId="77777777" w:rsidR="001A2292" w:rsidRDefault="001A22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45505"/>
    <w:multiLevelType w:val="hybridMultilevel"/>
    <w:tmpl w:val="E6DC2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C23E46"/>
    <w:multiLevelType w:val="hybridMultilevel"/>
    <w:tmpl w:val="7D6617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8234427"/>
    <w:multiLevelType w:val="hybridMultilevel"/>
    <w:tmpl w:val="33A235FE"/>
    <w:lvl w:ilvl="0" w:tplc="0809000F">
      <w:start w:val="6"/>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416C1F0B"/>
    <w:multiLevelType w:val="multilevel"/>
    <w:tmpl w:val="EF8A22A6"/>
    <w:numStyleLink w:val="NumberingSchedules"/>
  </w:abstractNum>
  <w:abstractNum w:abstractNumId="5" w15:restartNumberingAfterBreak="0">
    <w:nsid w:val="495515E3"/>
    <w:multiLevelType w:val="hybridMultilevel"/>
    <w:tmpl w:val="94061F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4D600E64"/>
    <w:multiLevelType w:val="hybridMultilevel"/>
    <w:tmpl w:val="94CA7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AB144D"/>
    <w:multiLevelType w:val="hybridMultilevel"/>
    <w:tmpl w:val="F8BCE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933321F"/>
    <w:multiLevelType w:val="hybridMultilevel"/>
    <w:tmpl w:val="1A78B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01541AD"/>
    <w:multiLevelType w:val="hybridMultilevel"/>
    <w:tmpl w:val="7E889C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58F5B37"/>
    <w:multiLevelType w:val="multilevel"/>
    <w:tmpl w:val="EF8A22A6"/>
    <w:styleLink w:val="NumberingSchedules"/>
    <w:lvl w:ilvl="0">
      <w:start w:val="1"/>
      <w:numFmt w:val="none"/>
      <w:pStyle w:val="ScheduleSub"/>
      <w:suff w:val="nothing"/>
      <w:lvlText w:val=""/>
      <w:lvlJc w:val="left"/>
      <w:pPr>
        <w:ind w:left="0" w:firstLine="0"/>
      </w:pPr>
      <w:rPr>
        <w:rFonts w:hint="default"/>
      </w:rPr>
    </w:lvl>
    <w:lvl w:ilvl="1">
      <w:start w:val="1"/>
      <w:numFmt w:val="decimal"/>
      <w:pStyle w:val="Sch1Heading"/>
      <w:lvlText w:val="%2"/>
      <w:lvlJc w:val="left"/>
      <w:pPr>
        <w:tabs>
          <w:tab w:val="num" w:pos="720"/>
        </w:tabs>
        <w:ind w:left="720" w:hanging="720"/>
      </w:pPr>
      <w:rPr>
        <w:rFonts w:hint="default"/>
      </w:rPr>
    </w:lvl>
    <w:lvl w:ilvl="2">
      <w:start w:val="1"/>
      <w:numFmt w:val="decimal"/>
      <w:pStyle w:val="Sch2Number"/>
      <w:lvlText w:val="%2.%3"/>
      <w:lvlJc w:val="left"/>
      <w:pPr>
        <w:tabs>
          <w:tab w:val="num" w:pos="720"/>
        </w:tabs>
        <w:ind w:left="720" w:hanging="720"/>
      </w:pPr>
      <w:rPr>
        <w:rFonts w:hint="default"/>
        <w:b w:val="0"/>
        <w:i w:val="0"/>
      </w:rPr>
    </w:lvl>
    <w:lvl w:ilvl="3">
      <w:start w:val="1"/>
      <w:numFmt w:val="lowerLetter"/>
      <w:pStyle w:val="Sch3Number"/>
      <w:lvlText w:val="(%4)"/>
      <w:lvlJc w:val="left"/>
      <w:pPr>
        <w:tabs>
          <w:tab w:val="num" w:pos="1440"/>
        </w:tabs>
        <w:ind w:left="1440" w:hanging="720"/>
      </w:pPr>
      <w:rPr>
        <w:rFonts w:hint="default"/>
        <w:b w:val="0"/>
        <w:i w:val="0"/>
      </w:rPr>
    </w:lvl>
    <w:lvl w:ilvl="4">
      <w:start w:val="1"/>
      <w:numFmt w:val="lowerRoman"/>
      <w:pStyle w:val="Sch4Number"/>
      <w:lvlText w:val="(%5)"/>
      <w:lvlJc w:val="left"/>
      <w:pPr>
        <w:tabs>
          <w:tab w:val="num" w:pos="2160"/>
        </w:tabs>
        <w:ind w:left="2160" w:hanging="720"/>
      </w:pPr>
      <w:rPr>
        <w:rFonts w:hint="default"/>
        <w:b w:val="0"/>
        <w:i w:val="0"/>
      </w:rPr>
    </w:lvl>
    <w:lvl w:ilvl="5">
      <w:start w:val="1"/>
      <w:numFmt w:val="upperLetter"/>
      <w:pStyle w:val="Sch5Number"/>
      <w:lvlText w:val="(%6)"/>
      <w:lvlJc w:val="left"/>
      <w:pPr>
        <w:tabs>
          <w:tab w:val="num" w:pos="2880"/>
        </w:tabs>
        <w:ind w:left="2880" w:hanging="720"/>
      </w:pPr>
      <w:rPr>
        <w:rFonts w:hint="default"/>
        <w:b w:val="0"/>
        <w:i w:val="0"/>
      </w:rPr>
    </w:lvl>
    <w:lvl w:ilvl="6">
      <w:start w:val="1"/>
      <w:numFmt w:val="decimal"/>
      <w:pStyle w:val="Sch6Number"/>
      <w:lvlText w:val="%7)"/>
      <w:lvlJc w:val="left"/>
      <w:pPr>
        <w:tabs>
          <w:tab w:val="num" w:pos="3600"/>
        </w:tabs>
        <w:ind w:left="3600" w:hanging="720"/>
      </w:pPr>
      <w:rPr>
        <w:rFonts w:hint="default"/>
      </w:rPr>
    </w:lvl>
    <w:lvl w:ilvl="7">
      <w:start w:val="1"/>
      <w:numFmt w:val="lowerLetter"/>
      <w:pStyle w:val="Sch7Number"/>
      <w:lvlText w:val="%8)"/>
      <w:lvlJc w:val="left"/>
      <w:pPr>
        <w:tabs>
          <w:tab w:val="num" w:pos="4321"/>
        </w:tabs>
        <w:ind w:left="4321" w:hanging="721"/>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6B9F0D91"/>
    <w:multiLevelType w:val="hybridMultilevel"/>
    <w:tmpl w:val="646CE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89A0B70"/>
    <w:multiLevelType w:val="hybridMultilevel"/>
    <w:tmpl w:val="DE645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FA7755A"/>
    <w:multiLevelType w:val="hybridMultilevel"/>
    <w:tmpl w:val="853CC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0"/>
  </w:num>
  <w:num w:numId="4">
    <w:abstractNumId w:val="11"/>
  </w:num>
  <w:num w:numId="5">
    <w:abstractNumId w:val="5"/>
  </w:num>
  <w:num w:numId="6">
    <w:abstractNumId w:val="13"/>
  </w:num>
  <w:num w:numId="7">
    <w:abstractNumId w:val="6"/>
  </w:num>
  <w:num w:numId="8">
    <w:abstractNumId w:val="7"/>
  </w:num>
  <w:num w:numId="9">
    <w:abstractNumId w:val="2"/>
  </w:num>
  <w:num w:numId="10">
    <w:abstractNumId w:val="8"/>
  </w:num>
  <w:num w:numId="11">
    <w:abstractNumId w:val="9"/>
  </w:num>
  <w:num w:numId="12">
    <w:abstractNumId w:val="10"/>
  </w:num>
  <w:num w:numId="13">
    <w:abstractNumId w:val="4"/>
  </w:num>
  <w:num w:numId="1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dleshaw Goddard">
    <w15:presenceInfo w15:providerId="None" w15:userId="Addleshaw Godda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24363"/>
    <w:rsid w:val="00040E14"/>
    <w:rsid w:val="00046AFF"/>
    <w:rsid w:val="000704C4"/>
    <w:rsid w:val="00087FA2"/>
    <w:rsid w:val="000A31AE"/>
    <w:rsid w:val="000B63B4"/>
    <w:rsid w:val="000C5087"/>
    <w:rsid w:val="000F4635"/>
    <w:rsid w:val="000F6BBE"/>
    <w:rsid w:val="001117FD"/>
    <w:rsid w:val="001431F3"/>
    <w:rsid w:val="001722DA"/>
    <w:rsid w:val="00177460"/>
    <w:rsid w:val="001A2292"/>
    <w:rsid w:val="001A5456"/>
    <w:rsid w:val="001A68F2"/>
    <w:rsid w:val="001B636F"/>
    <w:rsid w:val="001C06F4"/>
    <w:rsid w:val="001C7745"/>
    <w:rsid w:val="001F2D24"/>
    <w:rsid w:val="001F6E93"/>
    <w:rsid w:val="002006A5"/>
    <w:rsid w:val="00226B82"/>
    <w:rsid w:val="00254765"/>
    <w:rsid w:val="00263DFC"/>
    <w:rsid w:val="00265B97"/>
    <w:rsid w:val="00284C29"/>
    <w:rsid w:val="002A0DFE"/>
    <w:rsid w:val="002A27A4"/>
    <w:rsid w:val="002A3A96"/>
    <w:rsid w:val="002B0D75"/>
    <w:rsid w:val="002F27CC"/>
    <w:rsid w:val="002F2C55"/>
    <w:rsid w:val="002F48C3"/>
    <w:rsid w:val="00330491"/>
    <w:rsid w:val="00331426"/>
    <w:rsid w:val="00365CA0"/>
    <w:rsid w:val="00380A9E"/>
    <w:rsid w:val="003C1342"/>
    <w:rsid w:val="003C2D5F"/>
    <w:rsid w:val="003D0181"/>
    <w:rsid w:val="003E0EED"/>
    <w:rsid w:val="00431249"/>
    <w:rsid w:val="00473386"/>
    <w:rsid w:val="004824AC"/>
    <w:rsid w:val="004A6E56"/>
    <w:rsid w:val="004B01E6"/>
    <w:rsid w:val="004B2FA7"/>
    <w:rsid w:val="004B58A0"/>
    <w:rsid w:val="004B71FB"/>
    <w:rsid w:val="004D5FA0"/>
    <w:rsid w:val="00525533"/>
    <w:rsid w:val="005331D0"/>
    <w:rsid w:val="00536E5B"/>
    <w:rsid w:val="0054734A"/>
    <w:rsid w:val="0059688D"/>
    <w:rsid w:val="00597771"/>
    <w:rsid w:val="005A5E1D"/>
    <w:rsid w:val="005A7C70"/>
    <w:rsid w:val="005B7ED4"/>
    <w:rsid w:val="005C4066"/>
    <w:rsid w:val="005C7DB8"/>
    <w:rsid w:val="005D4DAC"/>
    <w:rsid w:val="005F0460"/>
    <w:rsid w:val="005F6C58"/>
    <w:rsid w:val="005F6CC3"/>
    <w:rsid w:val="00600994"/>
    <w:rsid w:val="00607D48"/>
    <w:rsid w:val="0061133C"/>
    <w:rsid w:val="00642CA7"/>
    <w:rsid w:val="006605C4"/>
    <w:rsid w:val="00662A28"/>
    <w:rsid w:val="006A1CC7"/>
    <w:rsid w:val="006A5BBE"/>
    <w:rsid w:val="006B764E"/>
    <w:rsid w:val="006C3379"/>
    <w:rsid w:val="006C6124"/>
    <w:rsid w:val="006D13A2"/>
    <w:rsid w:val="006D211B"/>
    <w:rsid w:val="0072274A"/>
    <w:rsid w:val="0073390F"/>
    <w:rsid w:val="00733D5B"/>
    <w:rsid w:val="00737C37"/>
    <w:rsid w:val="00756FAF"/>
    <w:rsid w:val="00774971"/>
    <w:rsid w:val="00783680"/>
    <w:rsid w:val="007A4F15"/>
    <w:rsid w:val="007C0D12"/>
    <w:rsid w:val="007C484A"/>
    <w:rsid w:val="007C7E9B"/>
    <w:rsid w:val="007D4AAF"/>
    <w:rsid w:val="007D6A38"/>
    <w:rsid w:val="007F0694"/>
    <w:rsid w:val="007F1638"/>
    <w:rsid w:val="008163D2"/>
    <w:rsid w:val="00822639"/>
    <w:rsid w:val="00844D24"/>
    <w:rsid w:val="008517F4"/>
    <w:rsid w:val="0086475A"/>
    <w:rsid w:val="00872AC1"/>
    <w:rsid w:val="008867C2"/>
    <w:rsid w:val="0089032C"/>
    <w:rsid w:val="008A710C"/>
    <w:rsid w:val="008E31FE"/>
    <w:rsid w:val="00903B76"/>
    <w:rsid w:val="0091103D"/>
    <w:rsid w:val="009263A8"/>
    <w:rsid w:val="00932027"/>
    <w:rsid w:val="00941BC7"/>
    <w:rsid w:val="009524C4"/>
    <w:rsid w:val="00967DAE"/>
    <w:rsid w:val="009905C7"/>
    <w:rsid w:val="009927BC"/>
    <w:rsid w:val="009944E4"/>
    <w:rsid w:val="009B7453"/>
    <w:rsid w:val="009E2893"/>
    <w:rsid w:val="009E2AB7"/>
    <w:rsid w:val="009E5B19"/>
    <w:rsid w:val="00A12F54"/>
    <w:rsid w:val="00A17F94"/>
    <w:rsid w:val="00A25B7F"/>
    <w:rsid w:val="00A3371D"/>
    <w:rsid w:val="00A46A90"/>
    <w:rsid w:val="00A46B54"/>
    <w:rsid w:val="00A6139E"/>
    <w:rsid w:val="00A75A45"/>
    <w:rsid w:val="00A815D2"/>
    <w:rsid w:val="00A90AC1"/>
    <w:rsid w:val="00AA4841"/>
    <w:rsid w:val="00AD40BC"/>
    <w:rsid w:val="00AD4FBF"/>
    <w:rsid w:val="00AD4FDD"/>
    <w:rsid w:val="00AE30FA"/>
    <w:rsid w:val="00B01865"/>
    <w:rsid w:val="00B343C1"/>
    <w:rsid w:val="00B36A72"/>
    <w:rsid w:val="00B36C3F"/>
    <w:rsid w:val="00B51F6B"/>
    <w:rsid w:val="00B65DF4"/>
    <w:rsid w:val="00B74FD7"/>
    <w:rsid w:val="00B92D1F"/>
    <w:rsid w:val="00B96B4C"/>
    <w:rsid w:val="00BC24C5"/>
    <w:rsid w:val="00C32D82"/>
    <w:rsid w:val="00C471D1"/>
    <w:rsid w:val="00C5030B"/>
    <w:rsid w:val="00C5031B"/>
    <w:rsid w:val="00C54E19"/>
    <w:rsid w:val="00C570BB"/>
    <w:rsid w:val="00C840A6"/>
    <w:rsid w:val="00C90E51"/>
    <w:rsid w:val="00D217DF"/>
    <w:rsid w:val="00D348BC"/>
    <w:rsid w:val="00D54CBB"/>
    <w:rsid w:val="00D61087"/>
    <w:rsid w:val="00D82FB9"/>
    <w:rsid w:val="00D948CF"/>
    <w:rsid w:val="00D94E5E"/>
    <w:rsid w:val="00DA2A9D"/>
    <w:rsid w:val="00DC00BF"/>
    <w:rsid w:val="00DD1CF2"/>
    <w:rsid w:val="00DD395C"/>
    <w:rsid w:val="00DD63C8"/>
    <w:rsid w:val="00DE1A7A"/>
    <w:rsid w:val="00DF6119"/>
    <w:rsid w:val="00E108AC"/>
    <w:rsid w:val="00E21BF6"/>
    <w:rsid w:val="00E4392A"/>
    <w:rsid w:val="00E60B51"/>
    <w:rsid w:val="00E737A1"/>
    <w:rsid w:val="00E73F40"/>
    <w:rsid w:val="00EB7326"/>
    <w:rsid w:val="00EB754F"/>
    <w:rsid w:val="00EC665A"/>
    <w:rsid w:val="00ED043A"/>
    <w:rsid w:val="00EF4E70"/>
    <w:rsid w:val="00F225D1"/>
    <w:rsid w:val="00F53EB9"/>
    <w:rsid w:val="00F57AD1"/>
    <w:rsid w:val="00F64250"/>
    <w:rsid w:val="00F83F0A"/>
    <w:rsid w:val="00F90EF8"/>
    <w:rsid w:val="00F91364"/>
    <w:rsid w:val="00F92DE6"/>
    <w:rsid w:val="00FB0759"/>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E4392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92A"/>
    <w:rPr>
      <w:rFonts w:ascii="Segoe UI" w:hAnsi="Segoe UI" w:cs="Segoe UI"/>
      <w:sz w:val="18"/>
      <w:szCs w:val="18"/>
      <w:lang w:val="en-GB"/>
    </w:rPr>
  </w:style>
  <w:style w:type="paragraph" w:styleId="FootnoteText">
    <w:name w:val="footnote text"/>
    <w:basedOn w:val="Normal"/>
    <w:link w:val="FootnoteTextChar"/>
    <w:uiPriority w:val="99"/>
    <w:semiHidden/>
    <w:unhideWhenUsed/>
    <w:rsid w:val="00DD1CF2"/>
    <w:pPr>
      <w:spacing w:line="240" w:lineRule="auto"/>
    </w:pPr>
    <w:rPr>
      <w:szCs w:val="20"/>
    </w:rPr>
  </w:style>
  <w:style w:type="character" w:customStyle="1" w:styleId="FootnoteTextChar">
    <w:name w:val="Footnote Text Char"/>
    <w:basedOn w:val="DefaultParagraphFont"/>
    <w:link w:val="FootnoteText"/>
    <w:uiPriority w:val="99"/>
    <w:semiHidden/>
    <w:rsid w:val="00DD1CF2"/>
    <w:rPr>
      <w:rFonts w:ascii="Verdana" w:hAnsi="Verdana"/>
      <w:sz w:val="20"/>
      <w:szCs w:val="20"/>
      <w:lang w:val="en-GB"/>
    </w:rPr>
  </w:style>
  <w:style w:type="numbering" w:customStyle="1" w:styleId="NumberingSchedules">
    <w:name w:val="Numbering Schedules"/>
    <w:uiPriority w:val="99"/>
    <w:rsid w:val="00DD1CF2"/>
    <w:pPr>
      <w:numPr>
        <w:numId w:val="12"/>
      </w:numPr>
    </w:pPr>
  </w:style>
  <w:style w:type="paragraph" w:customStyle="1" w:styleId="Sch1Heading">
    <w:name w:val="Sch 1 Heading"/>
    <w:basedOn w:val="BodyText"/>
    <w:uiPriority w:val="79"/>
    <w:qFormat/>
    <w:rsid w:val="00DD1CF2"/>
    <w:pPr>
      <w:keepNext/>
      <w:numPr>
        <w:ilvl w:val="1"/>
        <w:numId w:val="13"/>
      </w:numPr>
      <w:tabs>
        <w:tab w:val="clear" w:pos="720"/>
        <w:tab w:val="num" w:pos="360"/>
      </w:tabs>
      <w:spacing w:after="240" w:line="288" w:lineRule="auto"/>
      <w:ind w:left="0" w:firstLine="0"/>
      <w:jc w:val="both"/>
      <w:outlineLvl w:val="2"/>
    </w:pPr>
    <w:rPr>
      <w:rFonts w:ascii="Arial" w:eastAsia="Times New Roman" w:hAnsi="Arial"/>
      <w:b/>
      <w:szCs w:val="20"/>
      <w:lang w:eastAsia="en-GB"/>
    </w:rPr>
  </w:style>
  <w:style w:type="paragraph" w:customStyle="1" w:styleId="Sch2Number">
    <w:name w:val="Sch 2 Number"/>
    <w:basedOn w:val="BodyText"/>
    <w:uiPriority w:val="79"/>
    <w:qFormat/>
    <w:rsid w:val="00DD1CF2"/>
    <w:pPr>
      <w:numPr>
        <w:ilvl w:val="2"/>
        <w:numId w:val="13"/>
      </w:numPr>
      <w:tabs>
        <w:tab w:val="clear" w:pos="720"/>
        <w:tab w:val="num" w:pos="360"/>
      </w:tabs>
      <w:spacing w:after="240" w:line="288" w:lineRule="auto"/>
      <w:ind w:left="0" w:firstLine="0"/>
      <w:jc w:val="both"/>
    </w:pPr>
    <w:rPr>
      <w:rFonts w:ascii="Arial" w:eastAsia="Times New Roman" w:hAnsi="Arial"/>
      <w:szCs w:val="20"/>
      <w:lang w:eastAsia="en-GB"/>
    </w:rPr>
  </w:style>
  <w:style w:type="paragraph" w:customStyle="1" w:styleId="Sch3Number">
    <w:name w:val="Sch 3 Number"/>
    <w:basedOn w:val="BodyText"/>
    <w:uiPriority w:val="79"/>
    <w:qFormat/>
    <w:rsid w:val="00DD1CF2"/>
    <w:pPr>
      <w:numPr>
        <w:ilvl w:val="3"/>
        <w:numId w:val="13"/>
      </w:numPr>
      <w:tabs>
        <w:tab w:val="clear" w:pos="1440"/>
        <w:tab w:val="num" w:pos="360"/>
      </w:tabs>
      <w:spacing w:after="240" w:line="288" w:lineRule="auto"/>
      <w:ind w:left="0" w:firstLine="0"/>
      <w:jc w:val="both"/>
    </w:pPr>
    <w:rPr>
      <w:rFonts w:ascii="Arial" w:eastAsia="Times New Roman" w:hAnsi="Arial"/>
      <w:szCs w:val="20"/>
      <w:lang w:eastAsia="en-GB"/>
    </w:rPr>
  </w:style>
  <w:style w:type="paragraph" w:customStyle="1" w:styleId="Sch4Number">
    <w:name w:val="Sch 4 Number"/>
    <w:basedOn w:val="BodyText"/>
    <w:uiPriority w:val="79"/>
    <w:qFormat/>
    <w:rsid w:val="00DD1CF2"/>
    <w:pPr>
      <w:numPr>
        <w:ilvl w:val="4"/>
        <w:numId w:val="13"/>
      </w:numPr>
      <w:tabs>
        <w:tab w:val="clear" w:pos="2160"/>
        <w:tab w:val="num" w:pos="360"/>
      </w:tabs>
      <w:spacing w:after="240" w:line="288" w:lineRule="auto"/>
      <w:ind w:left="0" w:firstLine="0"/>
      <w:jc w:val="both"/>
    </w:pPr>
    <w:rPr>
      <w:rFonts w:ascii="Arial" w:eastAsia="Times New Roman" w:hAnsi="Arial"/>
      <w:szCs w:val="20"/>
      <w:lang w:eastAsia="en-GB"/>
    </w:rPr>
  </w:style>
  <w:style w:type="paragraph" w:customStyle="1" w:styleId="Sch5Number">
    <w:name w:val="Sch 5 Number"/>
    <w:basedOn w:val="BodyText"/>
    <w:uiPriority w:val="79"/>
    <w:qFormat/>
    <w:rsid w:val="00DD1CF2"/>
    <w:pPr>
      <w:numPr>
        <w:ilvl w:val="5"/>
        <w:numId w:val="13"/>
      </w:numPr>
      <w:tabs>
        <w:tab w:val="clear" w:pos="2880"/>
        <w:tab w:val="num" w:pos="360"/>
      </w:tabs>
      <w:spacing w:after="240" w:line="288" w:lineRule="auto"/>
      <w:ind w:left="0" w:firstLine="0"/>
      <w:jc w:val="both"/>
    </w:pPr>
    <w:rPr>
      <w:rFonts w:ascii="Arial" w:eastAsia="Times New Roman" w:hAnsi="Arial"/>
      <w:szCs w:val="20"/>
      <w:lang w:eastAsia="en-GB"/>
    </w:rPr>
  </w:style>
  <w:style w:type="paragraph" w:customStyle="1" w:styleId="Sch6Number">
    <w:name w:val="Sch 6 Number"/>
    <w:basedOn w:val="BodyText"/>
    <w:uiPriority w:val="79"/>
    <w:qFormat/>
    <w:rsid w:val="00DD1CF2"/>
    <w:pPr>
      <w:numPr>
        <w:ilvl w:val="6"/>
        <w:numId w:val="13"/>
      </w:numPr>
      <w:tabs>
        <w:tab w:val="clear" w:pos="3600"/>
        <w:tab w:val="num" w:pos="360"/>
      </w:tabs>
      <w:spacing w:after="240" w:line="288" w:lineRule="auto"/>
      <w:ind w:left="0" w:firstLine="0"/>
      <w:jc w:val="both"/>
    </w:pPr>
    <w:rPr>
      <w:rFonts w:ascii="Arial" w:eastAsia="Times New Roman" w:hAnsi="Arial"/>
      <w:szCs w:val="20"/>
      <w:lang w:eastAsia="en-GB"/>
    </w:rPr>
  </w:style>
  <w:style w:type="paragraph" w:customStyle="1" w:styleId="Sch7Number">
    <w:name w:val="Sch 7 Number"/>
    <w:basedOn w:val="BodyText"/>
    <w:uiPriority w:val="79"/>
    <w:qFormat/>
    <w:rsid w:val="00DD1CF2"/>
    <w:pPr>
      <w:numPr>
        <w:ilvl w:val="7"/>
        <w:numId w:val="13"/>
      </w:numPr>
      <w:tabs>
        <w:tab w:val="clear" w:pos="4321"/>
        <w:tab w:val="num" w:pos="360"/>
      </w:tabs>
      <w:spacing w:after="240" w:line="288" w:lineRule="auto"/>
      <w:ind w:left="0" w:firstLine="0"/>
      <w:jc w:val="both"/>
    </w:pPr>
    <w:rPr>
      <w:rFonts w:ascii="Arial" w:eastAsia="Times New Roman" w:hAnsi="Arial"/>
      <w:szCs w:val="20"/>
      <w:lang w:eastAsia="en-GB"/>
    </w:rPr>
  </w:style>
  <w:style w:type="paragraph" w:customStyle="1" w:styleId="ScheduleSub">
    <w:name w:val="Schedule Sub"/>
    <w:basedOn w:val="BodyText"/>
    <w:next w:val="Sch1Heading"/>
    <w:uiPriority w:val="75"/>
    <w:qFormat/>
    <w:rsid w:val="00DD1CF2"/>
    <w:pPr>
      <w:keepNext/>
      <w:numPr>
        <w:numId w:val="13"/>
      </w:numPr>
      <w:tabs>
        <w:tab w:val="num" w:pos="360"/>
      </w:tabs>
      <w:spacing w:after="240" w:line="288" w:lineRule="auto"/>
      <w:jc w:val="center"/>
      <w:outlineLvl w:val="1"/>
    </w:pPr>
    <w:rPr>
      <w:rFonts w:ascii="Arial" w:eastAsia="Times New Roman" w:hAnsi="Arial"/>
      <w:b/>
      <w:szCs w:val="20"/>
      <w:lang w:eastAsia="en-GB"/>
    </w:rPr>
  </w:style>
  <w:style w:type="character" w:styleId="FootnoteReference">
    <w:name w:val="footnote reference"/>
    <w:uiPriority w:val="99"/>
    <w:rsid w:val="00DD1CF2"/>
    <w:rPr>
      <w:vertAlign w:val="superscript"/>
    </w:rPr>
  </w:style>
  <w:style w:type="paragraph" w:styleId="BodyText">
    <w:name w:val="Body Text"/>
    <w:basedOn w:val="Normal"/>
    <w:link w:val="BodyTextChar"/>
    <w:uiPriority w:val="99"/>
    <w:semiHidden/>
    <w:unhideWhenUsed/>
    <w:rsid w:val="00DD1CF2"/>
    <w:pPr>
      <w:spacing w:after="120"/>
    </w:pPr>
  </w:style>
  <w:style w:type="character" w:customStyle="1" w:styleId="BodyTextChar">
    <w:name w:val="Body Text Char"/>
    <w:basedOn w:val="DefaultParagraphFont"/>
    <w:link w:val="BodyText"/>
    <w:uiPriority w:val="99"/>
    <w:semiHidden/>
    <w:rsid w:val="00DD1CF2"/>
    <w:rPr>
      <w:rFonts w:ascii="Verdana" w:hAnsi="Verdana"/>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341688">
      <w:bodyDiv w:val="1"/>
      <w:marLeft w:val="0"/>
      <w:marRight w:val="0"/>
      <w:marTop w:val="0"/>
      <w:marBottom w:val="0"/>
      <w:divBdr>
        <w:top w:val="none" w:sz="0" w:space="0" w:color="auto"/>
        <w:left w:val="none" w:sz="0" w:space="0" w:color="auto"/>
        <w:bottom w:val="none" w:sz="0" w:space="0" w:color="auto"/>
        <w:right w:val="none" w:sz="0" w:space="0" w:color="auto"/>
      </w:divBdr>
    </w:div>
    <w:div w:id="155614884">
      <w:bodyDiv w:val="1"/>
      <w:marLeft w:val="0"/>
      <w:marRight w:val="0"/>
      <w:marTop w:val="0"/>
      <w:marBottom w:val="0"/>
      <w:divBdr>
        <w:top w:val="none" w:sz="0" w:space="0" w:color="auto"/>
        <w:left w:val="none" w:sz="0" w:space="0" w:color="auto"/>
        <w:bottom w:val="none" w:sz="0" w:space="0" w:color="auto"/>
        <w:right w:val="none" w:sz="0" w:space="0" w:color="auto"/>
      </w:divBdr>
    </w:div>
    <w:div w:id="190606174">
      <w:bodyDiv w:val="1"/>
      <w:marLeft w:val="0"/>
      <w:marRight w:val="0"/>
      <w:marTop w:val="0"/>
      <w:marBottom w:val="0"/>
      <w:divBdr>
        <w:top w:val="none" w:sz="0" w:space="0" w:color="auto"/>
        <w:left w:val="none" w:sz="0" w:space="0" w:color="auto"/>
        <w:bottom w:val="none" w:sz="0" w:space="0" w:color="auto"/>
        <w:right w:val="none" w:sz="0" w:space="0" w:color="auto"/>
      </w:divBdr>
    </w:div>
    <w:div w:id="194003141">
      <w:bodyDiv w:val="1"/>
      <w:marLeft w:val="0"/>
      <w:marRight w:val="0"/>
      <w:marTop w:val="0"/>
      <w:marBottom w:val="0"/>
      <w:divBdr>
        <w:top w:val="none" w:sz="0" w:space="0" w:color="auto"/>
        <w:left w:val="none" w:sz="0" w:space="0" w:color="auto"/>
        <w:bottom w:val="none" w:sz="0" w:space="0" w:color="auto"/>
        <w:right w:val="none" w:sz="0" w:space="0" w:color="auto"/>
      </w:divBdr>
    </w:div>
    <w:div w:id="440807867">
      <w:bodyDiv w:val="1"/>
      <w:marLeft w:val="0"/>
      <w:marRight w:val="0"/>
      <w:marTop w:val="0"/>
      <w:marBottom w:val="0"/>
      <w:divBdr>
        <w:top w:val="none" w:sz="0" w:space="0" w:color="auto"/>
        <w:left w:val="none" w:sz="0" w:space="0" w:color="auto"/>
        <w:bottom w:val="none" w:sz="0" w:space="0" w:color="auto"/>
        <w:right w:val="none" w:sz="0" w:space="0" w:color="auto"/>
      </w:divBdr>
    </w:div>
    <w:div w:id="621543829">
      <w:bodyDiv w:val="1"/>
      <w:marLeft w:val="0"/>
      <w:marRight w:val="0"/>
      <w:marTop w:val="0"/>
      <w:marBottom w:val="0"/>
      <w:divBdr>
        <w:top w:val="none" w:sz="0" w:space="0" w:color="auto"/>
        <w:left w:val="none" w:sz="0" w:space="0" w:color="auto"/>
        <w:bottom w:val="none" w:sz="0" w:space="0" w:color="auto"/>
        <w:right w:val="none" w:sz="0" w:space="0" w:color="auto"/>
      </w:divBdr>
    </w:div>
    <w:div w:id="669059613">
      <w:bodyDiv w:val="1"/>
      <w:marLeft w:val="0"/>
      <w:marRight w:val="0"/>
      <w:marTop w:val="0"/>
      <w:marBottom w:val="0"/>
      <w:divBdr>
        <w:top w:val="none" w:sz="0" w:space="0" w:color="auto"/>
        <w:left w:val="none" w:sz="0" w:space="0" w:color="auto"/>
        <w:bottom w:val="none" w:sz="0" w:space="0" w:color="auto"/>
        <w:right w:val="none" w:sz="0" w:space="0" w:color="auto"/>
      </w:divBdr>
    </w:div>
    <w:div w:id="678239581">
      <w:bodyDiv w:val="1"/>
      <w:marLeft w:val="0"/>
      <w:marRight w:val="0"/>
      <w:marTop w:val="0"/>
      <w:marBottom w:val="0"/>
      <w:divBdr>
        <w:top w:val="none" w:sz="0" w:space="0" w:color="auto"/>
        <w:left w:val="none" w:sz="0" w:space="0" w:color="auto"/>
        <w:bottom w:val="none" w:sz="0" w:space="0" w:color="auto"/>
        <w:right w:val="none" w:sz="0" w:space="0" w:color="auto"/>
      </w:divBdr>
    </w:div>
    <w:div w:id="954094745">
      <w:bodyDiv w:val="1"/>
      <w:marLeft w:val="0"/>
      <w:marRight w:val="0"/>
      <w:marTop w:val="0"/>
      <w:marBottom w:val="0"/>
      <w:divBdr>
        <w:top w:val="none" w:sz="0" w:space="0" w:color="auto"/>
        <w:left w:val="none" w:sz="0" w:space="0" w:color="auto"/>
        <w:bottom w:val="none" w:sz="0" w:space="0" w:color="auto"/>
        <w:right w:val="none" w:sz="0" w:space="0" w:color="auto"/>
      </w:divBdr>
    </w:div>
    <w:div w:id="986740353">
      <w:bodyDiv w:val="1"/>
      <w:marLeft w:val="0"/>
      <w:marRight w:val="0"/>
      <w:marTop w:val="0"/>
      <w:marBottom w:val="0"/>
      <w:divBdr>
        <w:top w:val="none" w:sz="0" w:space="0" w:color="auto"/>
        <w:left w:val="none" w:sz="0" w:space="0" w:color="auto"/>
        <w:bottom w:val="none" w:sz="0" w:space="0" w:color="auto"/>
        <w:right w:val="none" w:sz="0" w:space="0" w:color="auto"/>
      </w:divBdr>
    </w:div>
    <w:div w:id="992875410">
      <w:bodyDiv w:val="1"/>
      <w:marLeft w:val="0"/>
      <w:marRight w:val="0"/>
      <w:marTop w:val="0"/>
      <w:marBottom w:val="0"/>
      <w:divBdr>
        <w:top w:val="none" w:sz="0" w:space="0" w:color="auto"/>
        <w:left w:val="none" w:sz="0" w:space="0" w:color="auto"/>
        <w:bottom w:val="none" w:sz="0" w:space="0" w:color="auto"/>
        <w:right w:val="none" w:sz="0" w:space="0" w:color="auto"/>
      </w:divBdr>
    </w:div>
    <w:div w:id="1016421934">
      <w:bodyDiv w:val="1"/>
      <w:marLeft w:val="0"/>
      <w:marRight w:val="0"/>
      <w:marTop w:val="0"/>
      <w:marBottom w:val="0"/>
      <w:divBdr>
        <w:top w:val="none" w:sz="0" w:space="0" w:color="auto"/>
        <w:left w:val="none" w:sz="0" w:space="0" w:color="auto"/>
        <w:bottom w:val="none" w:sz="0" w:space="0" w:color="auto"/>
        <w:right w:val="none" w:sz="0" w:space="0" w:color="auto"/>
      </w:divBdr>
    </w:div>
    <w:div w:id="1063523890">
      <w:bodyDiv w:val="1"/>
      <w:marLeft w:val="0"/>
      <w:marRight w:val="0"/>
      <w:marTop w:val="0"/>
      <w:marBottom w:val="0"/>
      <w:divBdr>
        <w:top w:val="none" w:sz="0" w:space="0" w:color="auto"/>
        <w:left w:val="none" w:sz="0" w:space="0" w:color="auto"/>
        <w:bottom w:val="none" w:sz="0" w:space="0" w:color="auto"/>
        <w:right w:val="none" w:sz="0" w:space="0" w:color="auto"/>
      </w:divBdr>
    </w:div>
    <w:div w:id="1337878486">
      <w:bodyDiv w:val="1"/>
      <w:marLeft w:val="0"/>
      <w:marRight w:val="0"/>
      <w:marTop w:val="0"/>
      <w:marBottom w:val="0"/>
      <w:divBdr>
        <w:top w:val="none" w:sz="0" w:space="0" w:color="auto"/>
        <w:left w:val="none" w:sz="0" w:space="0" w:color="auto"/>
        <w:bottom w:val="none" w:sz="0" w:space="0" w:color="auto"/>
        <w:right w:val="none" w:sz="0" w:space="0" w:color="auto"/>
      </w:divBdr>
    </w:div>
    <w:div w:id="1431197062">
      <w:bodyDiv w:val="1"/>
      <w:marLeft w:val="0"/>
      <w:marRight w:val="0"/>
      <w:marTop w:val="0"/>
      <w:marBottom w:val="0"/>
      <w:divBdr>
        <w:top w:val="none" w:sz="0" w:space="0" w:color="auto"/>
        <w:left w:val="none" w:sz="0" w:space="0" w:color="auto"/>
        <w:bottom w:val="none" w:sz="0" w:space="0" w:color="auto"/>
        <w:right w:val="none" w:sz="0" w:space="0" w:color="auto"/>
      </w:divBdr>
    </w:div>
    <w:div w:id="1458256016">
      <w:bodyDiv w:val="1"/>
      <w:marLeft w:val="0"/>
      <w:marRight w:val="0"/>
      <w:marTop w:val="0"/>
      <w:marBottom w:val="0"/>
      <w:divBdr>
        <w:top w:val="none" w:sz="0" w:space="0" w:color="auto"/>
        <w:left w:val="none" w:sz="0" w:space="0" w:color="auto"/>
        <w:bottom w:val="none" w:sz="0" w:space="0" w:color="auto"/>
        <w:right w:val="none" w:sz="0" w:space="0" w:color="auto"/>
      </w:divBdr>
    </w:div>
    <w:div w:id="1568111105">
      <w:bodyDiv w:val="1"/>
      <w:marLeft w:val="0"/>
      <w:marRight w:val="0"/>
      <w:marTop w:val="0"/>
      <w:marBottom w:val="0"/>
      <w:divBdr>
        <w:top w:val="none" w:sz="0" w:space="0" w:color="auto"/>
        <w:left w:val="none" w:sz="0" w:space="0" w:color="auto"/>
        <w:bottom w:val="none" w:sz="0" w:space="0" w:color="auto"/>
        <w:right w:val="none" w:sz="0" w:space="0" w:color="auto"/>
      </w:divBdr>
    </w:div>
    <w:div w:id="1608728627">
      <w:bodyDiv w:val="1"/>
      <w:marLeft w:val="0"/>
      <w:marRight w:val="0"/>
      <w:marTop w:val="0"/>
      <w:marBottom w:val="0"/>
      <w:divBdr>
        <w:top w:val="none" w:sz="0" w:space="0" w:color="auto"/>
        <w:left w:val="none" w:sz="0" w:space="0" w:color="auto"/>
        <w:bottom w:val="none" w:sz="0" w:space="0" w:color="auto"/>
        <w:right w:val="none" w:sz="0" w:space="0" w:color="auto"/>
      </w:divBdr>
    </w:div>
    <w:div w:id="1612972455">
      <w:bodyDiv w:val="1"/>
      <w:marLeft w:val="0"/>
      <w:marRight w:val="0"/>
      <w:marTop w:val="0"/>
      <w:marBottom w:val="0"/>
      <w:divBdr>
        <w:top w:val="none" w:sz="0" w:space="0" w:color="auto"/>
        <w:left w:val="none" w:sz="0" w:space="0" w:color="auto"/>
        <w:bottom w:val="none" w:sz="0" w:space="0" w:color="auto"/>
        <w:right w:val="none" w:sz="0" w:space="0" w:color="auto"/>
      </w:divBdr>
    </w:div>
    <w:div w:id="1640114552">
      <w:bodyDiv w:val="1"/>
      <w:marLeft w:val="0"/>
      <w:marRight w:val="0"/>
      <w:marTop w:val="0"/>
      <w:marBottom w:val="0"/>
      <w:divBdr>
        <w:top w:val="none" w:sz="0" w:space="0" w:color="auto"/>
        <w:left w:val="none" w:sz="0" w:space="0" w:color="auto"/>
        <w:bottom w:val="none" w:sz="0" w:space="0" w:color="auto"/>
        <w:right w:val="none" w:sz="0" w:space="0" w:color="auto"/>
      </w:divBdr>
    </w:div>
    <w:div w:id="1646620591">
      <w:bodyDiv w:val="1"/>
      <w:marLeft w:val="0"/>
      <w:marRight w:val="0"/>
      <w:marTop w:val="0"/>
      <w:marBottom w:val="0"/>
      <w:divBdr>
        <w:top w:val="none" w:sz="0" w:space="0" w:color="auto"/>
        <w:left w:val="none" w:sz="0" w:space="0" w:color="auto"/>
        <w:bottom w:val="none" w:sz="0" w:space="0" w:color="auto"/>
        <w:right w:val="none" w:sz="0" w:space="0" w:color="auto"/>
      </w:divBdr>
    </w:div>
    <w:div w:id="1705793040">
      <w:bodyDiv w:val="1"/>
      <w:marLeft w:val="0"/>
      <w:marRight w:val="0"/>
      <w:marTop w:val="0"/>
      <w:marBottom w:val="0"/>
      <w:divBdr>
        <w:top w:val="none" w:sz="0" w:space="0" w:color="auto"/>
        <w:left w:val="none" w:sz="0" w:space="0" w:color="auto"/>
        <w:bottom w:val="none" w:sz="0" w:space="0" w:color="auto"/>
        <w:right w:val="none" w:sz="0" w:space="0" w:color="auto"/>
      </w:divBdr>
    </w:div>
    <w:div w:id="1739861149">
      <w:bodyDiv w:val="1"/>
      <w:marLeft w:val="0"/>
      <w:marRight w:val="0"/>
      <w:marTop w:val="0"/>
      <w:marBottom w:val="0"/>
      <w:divBdr>
        <w:top w:val="none" w:sz="0" w:space="0" w:color="auto"/>
        <w:left w:val="none" w:sz="0" w:space="0" w:color="auto"/>
        <w:bottom w:val="none" w:sz="0" w:space="0" w:color="auto"/>
        <w:right w:val="none" w:sz="0" w:space="0" w:color="auto"/>
      </w:divBdr>
    </w:div>
    <w:div w:id="1808275742">
      <w:bodyDiv w:val="1"/>
      <w:marLeft w:val="0"/>
      <w:marRight w:val="0"/>
      <w:marTop w:val="0"/>
      <w:marBottom w:val="0"/>
      <w:divBdr>
        <w:top w:val="none" w:sz="0" w:space="0" w:color="auto"/>
        <w:left w:val="none" w:sz="0" w:space="0" w:color="auto"/>
        <w:bottom w:val="none" w:sz="0" w:space="0" w:color="auto"/>
        <w:right w:val="none" w:sz="0" w:space="0" w:color="auto"/>
      </w:divBdr>
    </w:div>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1886865345">
      <w:bodyDiv w:val="1"/>
      <w:marLeft w:val="0"/>
      <w:marRight w:val="0"/>
      <w:marTop w:val="0"/>
      <w:marBottom w:val="0"/>
      <w:divBdr>
        <w:top w:val="none" w:sz="0" w:space="0" w:color="auto"/>
        <w:left w:val="none" w:sz="0" w:space="0" w:color="auto"/>
        <w:bottom w:val="none" w:sz="0" w:space="0" w:color="auto"/>
        <w:right w:val="none" w:sz="0" w:space="0" w:color="auto"/>
      </w:divBdr>
    </w:div>
    <w:div w:id="1980377900">
      <w:bodyDiv w:val="1"/>
      <w:marLeft w:val="0"/>
      <w:marRight w:val="0"/>
      <w:marTop w:val="0"/>
      <w:marBottom w:val="0"/>
      <w:divBdr>
        <w:top w:val="none" w:sz="0" w:space="0" w:color="auto"/>
        <w:left w:val="none" w:sz="0" w:space="0" w:color="auto"/>
        <w:bottom w:val="none" w:sz="0" w:space="0" w:color="auto"/>
        <w:right w:val="none" w:sz="0" w:space="0" w:color="auto"/>
      </w:divBdr>
    </w:div>
    <w:div w:id="2027635654">
      <w:bodyDiv w:val="1"/>
      <w:marLeft w:val="0"/>
      <w:marRight w:val="0"/>
      <w:marTop w:val="0"/>
      <w:marBottom w:val="0"/>
      <w:divBdr>
        <w:top w:val="none" w:sz="0" w:space="0" w:color="auto"/>
        <w:left w:val="none" w:sz="0" w:space="0" w:color="auto"/>
        <w:bottom w:val="none" w:sz="0" w:space="0" w:color="auto"/>
        <w:right w:val="none" w:sz="0" w:space="0" w:color="auto"/>
      </w:divBdr>
    </w:div>
    <w:div w:id="2067486108">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 w:id="2141070774">
      <w:bodyDiv w:val="1"/>
      <w:marLeft w:val="0"/>
      <w:marRight w:val="0"/>
      <w:marTop w:val="0"/>
      <w:marBottom w:val="0"/>
      <w:divBdr>
        <w:top w:val="none" w:sz="0" w:space="0" w:color="auto"/>
        <w:left w:val="none" w:sz="0" w:space="0" w:color="auto"/>
        <w:bottom w:val="none" w:sz="0" w:space="0" w:color="auto"/>
        <w:right w:val="none" w:sz="0" w:space="0" w:color="auto"/>
      </w:divBdr>
    </w:div>
    <w:div w:id="214441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ct:contentTypeSchema xmlns:ct="http://schemas.microsoft.com/office/2006/metadata/contentType" xmlns:ma="http://schemas.microsoft.com/office/2006/metadata/properties/metaAttributes" ct:_="" ma:_="" ma:contentTypeName="Document" ma:contentTypeID="0x0101004955144FF4F11D48B2F3657A2566D9DD" ma:contentTypeVersion="6" ma:contentTypeDescription="Create a new document." ma:contentTypeScope="" ma:versionID="b9be395ed93236d9ab294cb6fd4e00bf">
  <xsd:schema xmlns:xsd="http://www.w3.org/2001/XMLSchema" xmlns:xs="http://www.w3.org/2001/XMLSchema" xmlns:p="http://schemas.microsoft.com/office/2006/metadata/properties" xmlns:ns2="ba4c1627-414a-414a-b605-c0f228a4e6b4" xmlns:ns3="cdc4c19c-049b-4496-b023-9deca447e204" targetNamespace="http://schemas.microsoft.com/office/2006/metadata/properties" ma:root="true" ma:fieldsID="0b23c011685054e1234d3cd53f798512" ns2:_="" ns3:_="">
    <xsd:import namespace="ba4c1627-414a-414a-b605-c0f228a4e6b4"/>
    <xsd:import namespace="cdc4c19c-049b-4496-b023-9deca447e2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4c1627-414a-414a-b605-c0f228a4e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c4c19c-049b-4496-b023-9deca447e2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2.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1EB0CAC5-5282-4183-90D7-BE2074A8F1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4c1627-414a-414a-b605-c0f228a4e6b4"/>
    <ds:schemaRef ds:uri="cdc4c19c-049b-4496-b023-9deca447e2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B6FF5B-3AEB-4958-8F9A-3BECEC9B70F1}">
  <ds:schemaRefs>
    <ds:schemaRef ds:uri="http://schemas.microsoft.com/office/infopath/2007/PartnerControl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cdc4c19c-049b-4496-b023-9deca447e204"/>
    <ds:schemaRef ds:uri="ba4c1627-414a-414a-b605-c0f228a4e6b4"/>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5AFA1BBF-7343-449C-A644-C5711832D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6</Pages>
  <Words>1759</Words>
  <Characters>10032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11768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Lorna Archer</cp:lastModifiedBy>
  <cp:revision>36</cp:revision>
  <dcterms:created xsi:type="dcterms:W3CDTF">2020-09-10T18:16:00Z</dcterms:created>
  <dcterms:modified xsi:type="dcterms:W3CDTF">2020-09-14T15:16:00Z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0x0101004955144FF4F11D48B2F3657A2566D9DD</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11" name="MSIP_Label_2b73dd0b-afe1-4a46-943f-1bdb914b8a49_Enabled">
    <vt:lpwstr>true</vt:lpwstr>
  </property>
  <property fmtid="{D5CDD505-2E9C-101B-9397-08002B2CF9AE}" pid="12" name="MSIP_Label_2b73dd0b-afe1-4a46-943f-1bdb914b8a49_SetDate">
    <vt:lpwstr>2020-09-10T16:56:47Z</vt:lpwstr>
  </property>
  <property fmtid="{D5CDD505-2E9C-101B-9397-08002B2CF9AE}" pid="13" name="MSIP_Label_2b73dd0b-afe1-4a46-943f-1bdb914b8a49_Method">
    <vt:lpwstr>Standard</vt:lpwstr>
  </property>
  <property fmtid="{D5CDD505-2E9C-101B-9397-08002B2CF9AE}" pid="14" name="MSIP_Label_2b73dd0b-afe1-4a46-943f-1bdb914b8a49_Name">
    <vt:lpwstr>Internal</vt:lpwstr>
  </property>
  <property fmtid="{D5CDD505-2E9C-101B-9397-08002B2CF9AE}" pid="15" name="MSIP_Label_2b73dd0b-afe1-4a46-943f-1bdb914b8a49_SiteId">
    <vt:lpwstr>b9563cbc-9874-41ab-b448-7e0f61aff3eb</vt:lpwstr>
  </property>
  <property fmtid="{D5CDD505-2E9C-101B-9397-08002B2CF9AE}" pid="16" name="MSIP_Label_2b73dd0b-afe1-4a46-943f-1bdb914b8a49_ActionId">
    <vt:lpwstr>8949d4a2-d57b-4012-82c8-00005ffe40d2</vt:lpwstr>
  </property>
  <property fmtid="{D5CDD505-2E9C-101B-9397-08002B2CF9AE}" pid="17" name="MSIP_Label_2b73dd0b-afe1-4a46-943f-1bdb914b8a49_ContentBits">
    <vt:lpwstr>2</vt:lpwstr>
  </property>
</Properties>
</file>