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itle of document"/>
        <w:tblDescription w:val="title of document placed here"/>
      </w:tblPr>
      <w:tblGrid>
        <w:gridCol w:w="3595"/>
        <w:gridCol w:w="2721"/>
        <w:gridCol w:w="3280"/>
      </w:tblGrid>
      <w:tr w:rsidR="00F92DE6" w14:paraId="247D903F" w14:textId="77777777" w:rsidTr="00B51F6B">
        <w:trPr>
          <w:cantSplit/>
          <w:trHeight w:hRule="exact" w:val="72"/>
          <w:tblHeader/>
        </w:trPr>
        <w:tc>
          <w:tcPr>
            <w:tcW w:w="3595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3C4BA80A" w14:textId="77777777" w:rsidR="00F92DE6" w:rsidRPr="002A27A4" w:rsidRDefault="00F92DE6" w:rsidP="001F6E93">
            <w:pPr>
              <w:rPr>
                <w:noProof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144" w:type="dxa"/>
              <w:right w:w="144" w:type="dxa"/>
            </w:tcMar>
            <w:vAlign w:val="center"/>
          </w:tcPr>
          <w:p w14:paraId="3D7A6C30" w14:textId="77777777" w:rsidR="00F92DE6" w:rsidRDefault="00F92DE6" w:rsidP="001F6E93">
            <w:pPr>
              <w:rPr>
                <w:noProof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58220"/>
            <w:tcMar>
              <w:left w:w="216" w:type="dxa"/>
              <w:right w:w="216" w:type="dxa"/>
            </w:tcMar>
            <w:vAlign w:val="center"/>
          </w:tcPr>
          <w:p w14:paraId="1C953E23" w14:textId="77777777" w:rsidR="00F92DE6" w:rsidRPr="00E21BF6" w:rsidRDefault="00F92DE6" w:rsidP="001F6E93">
            <w:pPr>
              <w:rPr>
                <w:noProof/>
              </w:rPr>
            </w:pPr>
          </w:p>
        </w:tc>
      </w:tr>
      <w:tr w:rsidR="00C570BB" w14:paraId="05EDDF41" w14:textId="77777777" w:rsidTr="00B51F6B">
        <w:trPr>
          <w:cantSplit/>
          <w:trHeight w:hRule="exact" w:val="648"/>
          <w:tblHeader/>
        </w:trPr>
        <w:tc>
          <w:tcPr>
            <w:tcW w:w="9596" w:type="dxa"/>
            <w:gridSpan w:val="3"/>
            <w:tcBorders>
              <w:top w:val="nil"/>
              <w:left w:val="nil"/>
              <w:bottom w:val="dotted" w:sz="4" w:space="0" w:color="7F7F7F" w:themeColor="text1" w:themeTint="80"/>
              <w:right w:val="nil"/>
            </w:tcBorders>
            <w:shd w:val="clear" w:color="auto" w:fill="EEF0F2"/>
            <w:tcMar>
              <w:left w:w="216" w:type="dxa"/>
              <w:right w:w="216" w:type="dxa"/>
            </w:tcMar>
            <w:vAlign w:val="center"/>
          </w:tcPr>
          <w:p w14:paraId="001377F7" w14:textId="149A63E3" w:rsidR="002F2C55" w:rsidRPr="002F2C55" w:rsidRDefault="002F2C55" w:rsidP="002F2C55">
            <w:pPr>
              <w:pStyle w:val="Title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Network Innovation Competition 2020 Supplementary Answer form</w:t>
            </w:r>
          </w:p>
        </w:tc>
      </w:tr>
    </w:tbl>
    <w:p w14:paraId="119A6DA6" w14:textId="77777777" w:rsidR="00FD689B" w:rsidRDefault="00FD689B" w:rsidP="001F6E93"/>
    <w:tbl>
      <w:tblPr>
        <w:tblStyle w:val="TableGrid"/>
        <w:tblW w:w="0" w:type="auto"/>
        <w:tblLook w:val="04A0" w:firstRow="1" w:lastRow="0" w:firstColumn="1" w:lastColumn="0" w:noHBand="0" w:noVBand="1"/>
        <w:tblCaption w:val="Supplementary Question details"/>
        <w:tblDescription w:val="Supplementary Question details"/>
      </w:tblPr>
      <w:tblGrid>
        <w:gridCol w:w="2967"/>
        <w:gridCol w:w="1990"/>
        <w:gridCol w:w="2268"/>
        <w:gridCol w:w="2361"/>
      </w:tblGrid>
      <w:tr w:rsidR="002F2C55" w:rsidRPr="006605C4" w14:paraId="01F3E3F6" w14:textId="13D89652" w:rsidTr="006605C4">
        <w:trPr>
          <w:trHeight w:val="879"/>
        </w:trPr>
        <w:tc>
          <w:tcPr>
            <w:tcW w:w="2967" w:type="dxa"/>
            <w:shd w:val="clear" w:color="auto" w:fill="E7E6E6" w:themeFill="background2"/>
          </w:tcPr>
          <w:p w14:paraId="27724EA1" w14:textId="4066CFDA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Project Name</w:t>
            </w:r>
          </w:p>
        </w:tc>
        <w:tc>
          <w:tcPr>
            <w:tcW w:w="6619" w:type="dxa"/>
            <w:gridSpan w:val="3"/>
            <w:shd w:val="clear" w:color="auto" w:fill="auto"/>
          </w:tcPr>
          <w:p w14:paraId="770B8514" w14:textId="35673C66" w:rsidR="002F2C55" w:rsidRPr="006605C4" w:rsidRDefault="00F22606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H100 Fife</w:t>
            </w:r>
          </w:p>
        </w:tc>
      </w:tr>
      <w:tr w:rsidR="002F2C55" w:rsidRPr="006605C4" w14:paraId="1DAA37B2" w14:textId="1ACFAE5D" w:rsidTr="002F2C55">
        <w:tc>
          <w:tcPr>
            <w:tcW w:w="2967" w:type="dxa"/>
            <w:shd w:val="clear" w:color="auto" w:fill="E7E6E6" w:themeFill="background2"/>
          </w:tcPr>
          <w:p w14:paraId="047CFEC8" w14:textId="4BECEB9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number</w:t>
            </w:r>
          </w:p>
        </w:tc>
        <w:tc>
          <w:tcPr>
            <w:tcW w:w="1990" w:type="dxa"/>
          </w:tcPr>
          <w:p w14:paraId="4A46EACB" w14:textId="5484DE55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#</w:t>
            </w:r>
            <w:r w:rsidR="00F22606">
              <w:rPr>
                <w:rFonts w:eastAsia="Times New Roman"/>
                <w:sz w:val="24"/>
              </w:rPr>
              <w:t>1</w:t>
            </w:r>
          </w:p>
        </w:tc>
        <w:tc>
          <w:tcPr>
            <w:tcW w:w="2268" w:type="dxa"/>
            <w:shd w:val="clear" w:color="auto" w:fill="E7E6E6" w:themeFill="background2"/>
          </w:tcPr>
          <w:p w14:paraId="308867DD" w14:textId="5E8CA9C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Pro forma section</w:t>
            </w:r>
          </w:p>
        </w:tc>
        <w:tc>
          <w:tcPr>
            <w:tcW w:w="2361" w:type="dxa"/>
          </w:tcPr>
          <w:p w14:paraId="2C60EC72" w14:textId="08525573" w:rsidR="002F2C55" w:rsidRPr="006605C4" w:rsidRDefault="00F22606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2F2C55" w:rsidRPr="006605C4" w14:paraId="461974CF" w14:textId="7F8F8408" w:rsidTr="002F2C55">
        <w:tc>
          <w:tcPr>
            <w:tcW w:w="2967" w:type="dxa"/>
            <w:shd w:val="clear" w:color="auto" w:fill="E7E6E6" w:themeFill="background2"/>
          </w:tcPr>
          <w:p w14:paraId="26275692" w14:textId="2DE6901F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date</w:t>
            </w:r>
          </w:p>
        </w:tc>
        <w:tc>
          <w:tcPr>
            <w:tcW w:w="1990" w:type="dxa"/>
          </w:tcPr>
          <w:p w14:paraId="4E30EDA3" w14:textId="6F0D84BB" w:rsidR="002F2C55" w:rsidRPr="006605C4" w:rsidRDefault="00F22606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20/08/20</w:t>
            </w:r>
          </w:p>
        </w:tc>
        <w:tc>
          <w:tcPr>
            <w:tcW w:w="2268" w:type="dxa"/>
            <w:shd w:val="clear" w:color="auto" w:fill="E7E6E6" w:themeFill="background2"/>
          </w:tcPr>
          <w:p w14:paraId="35576D1B" w14:textId="51B6B3B6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Answer date</w:t>
            </w:r>
          </w:p>
        </w:tc>
        <w:tc>
          <w:tcPr>
            <w:tcW w:w="2361" w:type="dxa"/>
          </w:tcPr>
          <w:p w14:paraId="3FC918F3" w14:textId="07A746D9" w:rsidR="002F2C55" w:rsidRPr="006605C4" w:rsidRDefault="00F22606" w:rsidP="001F6E93">
            <w:pPr>
              <w:pStyle w:val="Heading1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24/08/20</w:t>
            </w:r>
          </w:p>
        </w:tc>
      </w:tr>
      <w:tr w:rsidR="002F2C55" w:rsidRPr="006605C4" w14:paraId="16BD7EAA" w14:textId="3E18DCB2" w:rsidTr="002F2C55">
        <w:tc>
          <w:tcPr>
            <w:tcW w:w="2967" w:type="dxa"/>
            <w:shd w:val="clear" w:color="auto" w:fill="E7E6E6" w:themeFill="background2"/>
          </w:tcPr>
          <w:p w14:paraId="749441EA" w14:textId="1AC8C603" w:rsidR="002F2C55" w:rsidRPr="006605C4" w:rsidRDefault="002F2C55" w:rsidP="001F6E93">
            <w:pPr>
              <w:pStyle w:val="Heading1"/>
              <w:rPr>
                <w:rFonts w:eastAsia="Times New Roman"/>
                <w:sz w:val="24"/>
              </w:rPr>
            </w:pPr>
            <w:r w:rsidRPr="006605C4">
              <w:rPr>
                <w:rFonts w:eastAsia="Times New Roman"/>
                <w:sz w:val="24"/>
              </w:rPr>
              <w:t>Question summary</w:t>
            </w:r>
          </w:p>
        </w:tc>
        <w:tc>
          <w:tcPr>
            <w:tcW w:w="6619" w:type="dxa"/>
            <w:gridSpan w:val="3"/>
          </w:tcPr>
          <w:p w14:paraId="5AD76ED5" w14:textId="0DC7F90D" w:rsidR="002F2C55" w:rsidRPr="006605C4" w:rsidRDefault="00864A6B" w:rsidP="001F6E93">
            <w:pPr>
              <w:pStyle w:val="Heading1"/>
              <w:rPr>
                <w:rFonts w:eastAsia="Times New Roman"/>
                <w:sz w:val="24"/>
              </w:rPr>
            </w:pPr>
            <w:r w:rsidRPr="00864A6B">
              <w:rPr>
                <w:rFonts w:eastAsia="Times New Roman"/>
                <w:sz w:val="24"/>
              </w:rPr>
              <w:t>Please explain why H100 is "the first time 100% safety case will be demonstrated", if H21 was funded under the same justification.</w:t>
            </w:r>
          </w:p>
        </w:tc>
      </w:tr>
    </w:tbl>
    <w:p w14:paraId="768E604A" w14:textId="77777777" w:rsidR="002F2C55" w:rsidRDefault="002F2C55" w:rsidP="001F6E93">
      <w:pPr>
        <w:pStyle w:val="Heading2"/>
        <w:rPr>
          <w:rFonts w:eastAsia="Times New Roman"/>
        </w:rPr>
      </w:pPr>
      <w:bookmarkStart w:id="0" w:name="_Toc513709470"/>
    </w:p>
    <w:bookmarkEnd w:id="0"/>
    <w:p w14:paraId="2E96E0EB" w14:textId="462708D3" w:rsidR="00121BAA" w:rsidRPr="006C3515" w:rsidRDefault="002F2C55" w:rsidP="006C3515">
      <w:pPr>
        <w:pStyle w:val="Heading2"/>
        <w:rPr>
          <w:rFonts w:eastAsia="Times New Roman"/>
        </w:rPr>
      </w:pPr>
      <w:r>
        <w:rPr>
          <w:rFonts w:eastAsia="Times New Roman"/>
        </w:rPr>
        <w:t>Answer (please retain document formatting and do not exceed 2 pages unless otherwise agreed with Ofgem)</w:t>
      </w:r>
    </w:p>
    <w:p w14:paraId="6D92E742" w14:textId="0C4775AD" w:rsidR="005B7167" w:rsidRDefault="00035F11" w:rsidP="001F6E93">
      <w:r>
        <w:t xml:space="preserve">A </w:t>
      </w:r>
      <w:r w:rsidR="00D9651B">
        <w:t xml:space="preserve">project specific </w:t>
      </w:r>
      <w:r w:rsidR="003018D0">
        <w:t xml:space="preserve">safety management framework </w:t>
      </w:r>
      <w:r w:rsidR="00D9651B">
        <w:t xml:space="preserve">(SMF) </w:t>
      </w:r>
      <w:r w:rsidR="003018D0">
        <w:t xml:space="preserve">is being developed for H100 Fife that </w:t>
      </w:r>
      <w:r>
        <w:t>supports the construction of a</w:t>
      </w:r>
      <w:r w:rsidR="003A7E34">
        <w:t xml:space="preserve"> new</w:t>
      </w:r>
      <w:r>
        <w:t xml:space="preserve"> 100%</w:t>
      </w:r>
      <w:r w:rsidR="003A7E34">
        <w:t xml:space="preserve"> hydrogen network</w:t>
      </w:r>
      <w:r>
        <w:t>. This is a ‘first of a kind’ construction and operation</w:t>
      </w:r>
      <w:r w:rsidR="003A7E34">
        <w:t xml:space="preserve">, </w:t>
      </w:r>
      <w:r>
        <w:t>that will provide critical</w:t>
      </w:r>
      <w:r w:rsidR="004538F1">
        <w:t xml:space="preserve"> </w:t>
      </w:r>
      <w:r w:rsidR="00D64ADA">
        <w:t xml:space="preserve">network </w:t>
      </w:r>
      <w:r w:rsidR="00513645">
        <w:t>operational</w:t>
      </w:r>
      <w:r w:rsidR="005415DE">
        <w:t xml:space="preserve"> history and experience</w:t>
      </w:r>
      <w:r>
        <w:t>, which will support future construction of new hydrogen networks and future conversion of existing natural gas networks.</w:t>
      </w:r>
      <w:r w:rsidR="00D9651B">
        <w:t xml:space="preserve"> </w:t>
      </w:r>
      <w:r>
        <w:t>C</w:t>
      </w:r>
      <w:r w:rsidR="0059383F">
        <w:t xml:space="preserve">ritical knowledge </w:t>
      </w:r>
      <w:r>
        <w:t xml:space="preserve">will be developed </w:t>
      </w:r>
      <w:r w:rsidR="0059383F">
        <w:t>on</w:t>
      </w:r>
      <w:r w:rsidR="00B378D9">
        <w:t xml:space="preserve"> </w:t>
      </w:r>
      <w:r w:rsidR="00C52865">
        <w:t xml:space="preserve">many </w:t>
      </w:r>
      <w:r w:rsidR="00B378D9">
        <w:t>aspects, such as</w:t>
      </w:r>
      <w:r w:rsidR="0059383F">
        <w:t xml:space="preserve"> </w:t>
      </w:r>
      <w:r w:rsidR="00B378D9">
        <w:t>the behaviour and characteristics of 100% hydrogen in a network, the dosing requirements of odorant</w:t>
      </w:r>
      <w:r w:rsidR="00CA3691">
        <w:t>,</w:t>
      </w:r>
      <w:r w:rsidR="006B58BE">
        <w:t xml:space="preserve"> the regulatory and commercial models for future operation of hydrogen networks</w:t>
      </w:r>
      <w:r w:rsidR="009854EC">
        <w:t>,</w:t>
      </w:r>
      <w:r w:rsidR="0047267E">
        <w:t xml:space="preserve"> and </w:t>
      </w:r>
      <w:r>
        <w:t>a validation of the myriad of safety and technical components researched to date</w:t>
      </w:r>
      <w:r w:rsidR="00954EED">
        <w:t xml:space="preserve">, contributed to by H100 NIA, H21 and Hy4Heat. </w:t>
      </w:r>
      <w:r w:rsidR="00BF3EE8">
        <w:t>Product development</w:t>
      </w:r>
      <w:r w:rsidR="00EB5CC3">
        <w:t xml:space="preserve"> </w:t>
      </w:r>
      <w:r w:rsidR="00BF3EE8">
        <w:t xml:space="preserve">such as the hydrogen gas detection instrument and </w:t>
      </w:r>
      <w:r>
        <w:t xml:space="preserve">additional mitigations, such as </w:t>
      </w:r>
      <w:r w:rsidR="00BF3EE8">
        <w:t>the excess flow valve on the service</w:t>
      </w:r>
      <w:r w:rsidR="006209DD">
        <w:t>, which are integrated into the H100 Fife demonstration,</w:t>
      </w:r>
      <w:r w:rsidR="00BF3EE8">
        <w:t xml:space="preserve"> </w:t>
      </w:r>
      <w:r>
        <w:t>will</w:t>
      </w:r>
      <w:r w:rsidR="006209DD">
        <w:t xml:space="preserve"> be</w:t>
      </w:r>
      <w:r w:rsidR="00BF3EE8">
        <w:t xml:space="preserve"> require</w:t>
      </w:r>
      <w:r w:rsidR="006209DD">
        <w:t>ments</w:t>
      </w:r>
      <w:r w:rsidR="00BF3EE8">
        <w:t xml:space="preserve"> for </w:t>
      </w:r>
      <w:r w:rsidR="006317D3">
        <w:t xml:space="preserve">network conversion </w:t>
      </w:r>
      <w:r w:rsidR="00F67C51">
        <w:t xml:space="preserve">and feature as key considerations under the </w:t>
      </w:r>
      <w:r w:rsidR="006209DD">
        <w:t xml:space="preserve">H100 Fife </w:t>
      </w:r>
      <w:r w:rsidR="00F67C51">
        <w:lastRenderedPageBreak/>
        <w:t>SMF</w:t>
      </w:r>
      <w:r w:rsidR="00BF3EE8">
        <w:t xml:space="preserve">. </w:t>
      </w:r>
      <w:r w:rsidR="009A6B23">
        <w:t xml:space="preserve">In addition, knowledge can be shared </w:t>
      </w:r>
      <w:r w:rsidR="00C52865">
        <w:t>from</w:t>
      </w:r>
      <w:r w:rsidR="00744CA6">
        <w:t xml:space="preserve"> </w:t>
      </w:r>
      <w:r w:rsidR="009A6B23">
        <w:t>local operating procedures</w:t>
      </w:r>
      <w:r w:rsidR="00744CA6">
        <w:t xml:space="preserve"> for the project</w:t>
      </w:r>
      <w:r w:rsidR="009A6B23">
        <w:t xml:space="preserve"> that can further inform </w:t>
      </w:r>
      <w:r w:rsidR="007B2211">
        <w:t>the hydrogen knowledge base such as the</w:t>
      </w:r>
      <w:r w:rsidR="009A6B23">
        <w:t xml:space="preserve"> H21 Phase 2 conversion operational procedures. </w:t>
      </w:r>
      <w:r w:rsidR="005B7167">
        <w:t xml:space="preserve">The H100 Fife project </w:t>
      </w:r>
      <w:r w:rsidR="00145A48">
        <w:t xml:space="preserve">aims to </w:t>
      </w:r>
      <w:r w:rsidR="005B7167">
        <w:t xml:space="preserve">deliver a safe trial </w:t>
      </w:r>
      <w:r w:rsidR="00B87A89">
        <w:t>that</w:t>
      </w:r>
      <w:r w:rsidR="005B7167">
        <w:t xml:space="preserve"> </w:t>
      </w:r>
      <w:r w:rsidR="00F92D5D">
        <w:t>validate</w:t>
      </w:r>
      <w:r w:rsidR="00B87A89">
        <w:t>s</w:t>
      </w:r>
      <w:r w:rsidR="00F92D5D">
        <w:t xml:space="preserve"> the 100% hydrogen evidence base</w:t>
      </w:r>
      <w:r w:rsidR="00B87A89">
        <w:t xml:space="preserve"> and set</w:t>
      </w:r>
      <w:r w:rsidR="005B7167">
        <w:t xml:space="preserve"> the operational </w:t>
      </w:r>
      <w:r w:rsidR="005415DE">
        <w:t>precedent</w:t>
      </w:r>
      <w:r w:rsidR="005B7167">
        <w:t xml:space="preserve"> for </w:t>
      </w:r>
      <w:r w:rsidR="005415DE">
        <w:t>hydrogen networks</w:t>
      </w:r>
      <w:r w:rsidR="00F92D5D">
        <w:t xml:space="preserve"> ahead of heat policy decisions</w:t>
      </w:r>
      <w:r w:rsidR="0014039F">
        <w:t xml:space="preserve">, </w:t>
      </w:r>
      <w:r w:rsidR="00F92D5D">
        <w:t xml:space="preserve">and </w:t>
      </w:r>
      <w:r w:rsidR="0014039F">
        <w:t>act as a stepping-stone to mobilise conversion trials, pilots and full roll out</w:t>
      </w:r>
      <w:r>
        <w:t xml:space="preserve"> in accordance with the scientific method</w:t>
      </w:r>
      <w:r w:rsidR="005415DE">
        <w:t>.</w:t>
      </w:r>
      <w:r w:rsidR="00F92D5D">
        <w:t xml:space="preserve"> </w:t>
      </w:r>
    </w:p>
    <w:p w14:paraId="2CC3192F" w14:textId="77777777" w:rsidR="005B7167" w:rsidRDefault="005B7167" w:rsidP="001F6E93"/>
    <w:p w14:paraId="3EAB7816" w14:textId="3CE0A605" w:rsidR="003C07A6" w:rsidRDefault="00035F11" w:rsidP="001F6E93">
      <w:pPr>
        <w:rPr>
          <w:rFonts w:cs="Verdana"/>
          <w:szCs w:val="20"/>
        </w:rPr>
      </w:pPr>
      <w:r>
        <w:t>T</w:t>
      </w:r>
      <w:r w:rsidR="006F30D9">
        <w:t xml:space="preserve">he safety case </w:t>
      </w:r>
      <w:r>
        <w:t xml:space="preserve">being </w:t>
      </w:r>
      <w:r w:rsidR="006F30D9">
        <w:t xml:space="preserve">developed </w:t>
      </w:r>
      <w:r w:rsidR="00C52865">
        <w:t xml:space="preserve">under </w:t>
      </w:r>
      <w:r w:rsidR="006F30D9">
        <w:t>H21’</w:t>
      </w:r>
      <w:r w:rsidR="006E1FE3">
        <w:t>s</w:t>
      </w:r>
      <w:r w:rsidR="006F30D9">
        <w:t xml:space="preserve"> </w:t>
      </w:r>
      <w:r w:rsidR="006233ED">
        <w:t>previously funded submission</w:t>
      </w:r>
      <w:r>
        <w:t xml:space="preserve"> focuses on conversion of the existing network and identification of interventions</w:t>
      </w:r>
      <w:r w:rsidR="00BD123B">
        <w:t>.</w:t>
      </w:r>
      <w:r w:rsidR="00BD123B">
        <w:rPr>
          <w:rFonts w:cs="Verdana"/>
          <w:szCs w:val="20"/>
        </w:rPr>
        <w:t xml:space="preserve"> </w:t>
      </w:r>
      <w:r w:rsidR="003C07A6">
        <w:rPr>
          <w:rFonts w:cs="Verdana"/>
          <w:szCs w:val="20"/>
        </w:rPr>
        <w:t>Combined, the H100 Fife and H21 learning</w:t>
      </w:r>
      <w:r w:rsidR="00874765">
        <w:rPr>
          <w:rFonts w:cs="Verdana"/>
          <w:szCs w:val="20"/>
        </w:rPr>
        <w:t xml:space="preserve"> </w:t>
      </w:r>
      <w:r w:rsidR="00C52865">
        <w:rPr>
          <w:rFonts w:cs="Verdana"/>
          <w:szCs w:val="20"/>
        </w:rPr>
        <w:t>informs</w:t>
      </w:r>
      <w:r w:rsidR="00874765">
        <w:rPr>
          <w:rFonts w:cs="Verdana"/>
          <w:szCs w:val="20"/>
        </w:rPr>
        <w:t xml:space="preserve"> the overall</w:t>
      </w:r>
      <w:r w:rsidR="00F7663B">
        <w:rPr>
          <w:rFonts w:cs="Verdana"/>
          <w:szCs w:val="20"/>
        </w:rPr>
        <w:t xml:space="preserve"> collective understanding of risk</w:t>
      </w:r>
      <w:r w:rsidR="00AA4DD8">
        <w:rPr>
          <w:rFonts w:cs="Verdana"/>
          <w:szCs w:val="20"/>
        </w:rPr>
        <w:t xml:space="preserve"> and</w:t>
      </w:r>
      <w:r w:rsidR="00874765">
        <w:rPr>
          <w:rFonts w:cs="Verdana"/>
          <w:szCs w:val="20"/>
        </w:rPr>
        <w:t xml:space="preserve"> safety case for 100% hydrogen, which in turn could help </w:t>
      </w:r>
      <w:r w:rsidR="00991814">
        <w:rPr>
          <w:rFonts w:cs="Verdana"/>
          <w:szCs w:val="20"/>
        </w:rPr>
        <w:t>to define a process</w:t>
      </w:r>
      <w:r w:rsidR="00874765">
        <w:rPr>
          <w:rFonts w:cs="Verdana"/>
          <w:szCs w:val="20"/>
        </w:rPr>
        <w:t xml:space="preserve"> for the HSE to </w:t>
      </w:r>
      <w:r w:rsidR="00991814">
        <w:rPr>
          <w:rFonts w:cs="Verdana"/>
          <w:szCs w:val="20"/>
        </w:rPr>
        <w:t>assess SMFs</w:t>
      </w:r>
      <w:r w:rsidR="005D3E6B">
        <w:rPr>
          <w:rFonts w:cs="Verdana"/>
          <w:szCs w:val="20"/>
        </w:rPr>
        <w:t>. Paving a way for this process</w:t>
      </w:r>
      <w:r w:rsidR="001968F2">
        <w:rPr>
          <w:rFonts w:cs="Verdana"/>
          <w:szCs w:val="20"/>
        </w:rPr>
        <w:t xml:space="preserve"> from a </w:t>
      </w:r>
      <w:r w:rsidR="00155532">
        <w:rPr>
          <w:rFonts w:cs="Verdana"/>
          <w:szCs w:val="20"/>
        </w:rPr>
        <w:t xml:space="preserve">GB </w:t>
      </w:r>
      <w:r w:rsidR="001968F2">
        <w:rPr>
          <w:rFonts w:cs="Verdana"/>
          <w:szCs w:val="20"/>
        </w:rPr>
        <w:t>wide approach</w:t>
      </w:r>
      <w:r w:rsidR="005D3E6B">
        <w:rPr>
          <w:rFonts w:cs="Verdana"/>
          <w:szCs w:val="20"/>
        </w:rPr>
        <w:t xml:space="preserve"> is</w:t>
      </w:r>
      <w:r w:rsidR="00991814">
        <w:rPr>
          <w:rFonts w:cs="Verdana"/>
          <w:szCs w:val="20"/>
        </w:rPr>
        <w:t xml:space="preserve"> </w:t>
      </w:r>
      <w:r w:rsidR="00405DC6">
        <w:rPr>
          <w:rFonts w:cs="Verdana"/>
          <w:szCs w:val="20"/>
        </w:rPr>
        <w:t>currently in development</w:t>
      </w:r>
      <w:r w:rsidR="0023606C">
        <w:rPr>
          <w:rFonts w:cs="Verdana"/>
          <w:szCs w:val="20"/>
        </w:rPr>
        <w:t>.</w:t>
      </w:r>
    </w:p>
    <w:p w14:paraId="4F4D5507" w14:textId="64C3BF23" w:rsidR="003C3110" w:rsidRDefault="003C3110" w:rsidP="001F6E93">
      <w:pPr>
        <w:rPr>
          <w:rFonts w:cs="Verdana"/>
          <w:szCs w:val="20"/>
        </w:rPr>
      </w:pPr>
    </w:p>
    <w:p w14:paraId="44889A80" w14:textId="70FD4F12" w:rsidR="003C3110" w:rsidRDefault="00DF334C" w:rsidP="001F6E93">
      <w:pPr>
        <w:rPr>
          <w:rFonts w:cs="Verdana"/>
          <w:szCs w:val="20"/>
        </w:rPr>
      </w:pPr>
      <w:r>
        <w:rPr>
          <w:rFonts w:cs="Verdana"/>
          <w:szCs w:val="20"/>
        </w:rPr>
        <w:t>We are</w:t>
      </w:r>
      <w:r w:rsidR="003C3110">
        <w:rPr>
          <w:rFonts w:cs="Verdana"/>
          <w:szCs w:val="20"/>
        </w:rPr>
        <w:t xml:space="preserve"> working collaboratively with the other networks through the BEIS Hydrogen </w:t>
      </w:r>
      <w:r w:rsidR="006055A7">
        <w:rPr>
          <w:rFonts w:cs="Verdana"/>
          <w:szCs w:val="20"/>
        </w:rPr>
        <w:t xml:space="preserve">Programme Development Group (HPDG) to </w:t>
      </w:r>
      <w:r w:rsidR="00B75BD4">
        <w:rPr>
          <w:rFonts w:cs="Verdana"/>
          <w:szCs w:val="20"/>
        </w:rPr>
        <w:t>deliver</w:t>
      </w:r>
      <w:r w:rsidR="006055A7">
        <w:rPr>
          <w:rFonts w:cs="Verdana"/>
          <w:szCs w:val="20"/>
        </w:rPr>
        <w:t xml:space="preserve"> a coordinated approach to hydrogen </w:t>
      </w:r>
      <w:r w:rsidR="00587D1E">
        <w:rPr>
          <w:rFonts w:cs="Verdana"/>
          <w:szCs w:val="20"/>
        </w:rPr>
        <w:t>demonstrations</w:t>
      </w:r>
      <w:r w:rsidR="006055A7">
        <w:rPr>
          <w:rFonts w:cs="Verdana"/>
          <w:szCs w:val="20"/>
        </w:rPr>
        <w:t xml:space="preserve">. </w:t>
      </w:r>
      <w:r w:rsidR="00E529C0">
        <w:rPr>
          <w:rFonts w:cs="Verdana"/>
          <w:szCs w:val="20"/>
        </w:rPr>
        <w:t>Under this programme, we are</w:t>
      </w:r>
      <w:r w:rsidR="006055A7">
        <w:rPr>
          <w:rFonts w:cs="Verdana"/>
          <w:szCs w:val="20"/>
        </w:rPr>
        <w:t xml:space="preserve"> involve</w:t>
      </w:r>
      <w:r w:rsidR="00E529C0">
        <w:rPr>
          <w:rFonts w:cs="Verdana"/>
          <w:szCs w:val="20"/>
        </w:rPr>
        <w:t>d</w:t>
      </w:r>
      <w:r w:rsidR="006055A7">
        <w:rPr>
          <w:rFonts w:cs="Verdana"/>
          <w:szCs w:val="20"/>
        </w:rPr>
        <w:t xml:space="preserve"> in the</w:t>
      </w:r>
      <w:r w:rsidR="00785377">
        <w:rPr>
          <w:rFonts w:cs="Verdana"/>
          <w:szCs w:val="20"/>
        </w:rPr>
        <w:t xml:space="preserve"> development</w:t>
      </w:r>
      <w:r w:rsidR="00DA40B8">
        <w:rPr>
          <w:rFonts w:cs="Verdana"/>
          <w:szCs w:val="20"/>
        </w:rPr>
        <w:t xml:space="preserve"> of the</w:t>
      </w:r>
      <w:r w:rsidR="006055A7">
        <w:rPr>
          <w:rFonts w:cs="Verdana"/>
          <w:szCs w:val="20"/>
        </w:rPr>
        <w:t xml:space="preserve"> Integrated Hydrogen Trials (IHT)</w:t>
      </w:r>
      <w:r w:rsidR="00E529C0">
        <w:rPr>
          <w:rFonts w:cs="Verdana"/>
          <w:szCs w:val="20"/>
        </w:rPr>
        <w:t xml:space="preserve"> </w:t>
      </w:r>
      <w:r w:rsidR="00DA40B8">
        <w:rPr>
          <w:rFonts w:cs="Verdana"/>
          <w:szCs w:val="20"/>
        </w:rPr>
        <w:t xml:space="preserve">programme which brings all </w:t>
      </w:r>
      <w:r w:rsidR="00E36C48">
        <w:rPr>
          <w:rFonts w:cs="Verdana"/>
          <w:szCs w:val="20"/>
        </w:rPr>
        <w:t>network demonstrations/trials into one programme to ensure that</w:t>
      </w:r>
      <w:r w:rsidR="00E36C48" w:rsidRPr="00E36C48">
        <w:rPr>
          <w:rFonts w:cs="Verdana"/>
          <w:szCs w:val="20"/>
        </w:rPr>
        <w:t xml:space="preserve"> </w:t>
      </w:r>
      <w:r w:rsidR="00E36C48">
        <w:rPr>
          <w:rFonts w:cs="Verdana"/>
          <w:szCs w:val="20"/>
        </w:rPr>
        <w:t xml:space="preserve">duplication of work is avoided, and areas of necessary validation as well as remaining gaps are identifying and addressed. </w:t>
      </w:r>
      <w:r w:rsidR="00C85DE0">
        <w:rPr>
          <w:rFonts w:cs="Verdana"/>
          <w:szCs w:val="20"/>
        </w:rPr>
        <w:t xml:space="preserve">The IHT programme </w:t>
      </w:r>
      <w:r w:rsidR="00C52865">
        <w:rPr>
          <w:rFonts w:cs="Verdana"/>
          <w:szCs w:val="20"/>
        </w:rPr>
        <w:t>details the next stages of hydrogen conversion for</w:t>
      </w:r>
      <w:r w:rsidR="00E529C0">
        <w:rPr>
          <w:rFonts w:cs="Verdana"/>
          <w:szCs w:val="20"/>
        </w:rPr>
        <w:t xml:space="preserve"> H100 Fife </w:t>
      </w:r>
      <w:r w:rsidR="00C52865">
        <w:rPr>
          <w:rFonts w:cs="Verdana"/>
          <w:szCs w:val="20"/>
        </w:rPr>
        <w:t xml:space="preserve">(Ph2) </w:t>
      </w:r>
      <w:r w:rsidR="00E529C0">
        <w:rPr>
          <w:rFonts w:cs="Verdana"/>
          <w:szCs w:val="20"/>
        </w:rPr>
        <w:t>and H21</w:t>
      </w:r>
      <w:r w:rsidR="00C52865">
        <w:rPr>
          <w:rFonts w:cs="Verdana"/>
          <w:szCs w:val="20"/>
        </w:rPr>
        <w:t xml:space="preserve"> Phase 3, both of which will follow on from H100 Fife</w:t>
      </w:r>
      <w:r w:rsidR="003040E2">
        <w:rPr>
          <w:rFonts w:cs="Verdana"/>
          <w:szCs w:val="20"/>
        </w:rPr>
        <w:t>.</w:t>
      </w:r>
    </w:p>
    <w:p w14:paraId="4F705243" w14:textId="77777777" w:rsidR="00985B15" w:rsidRDefault="00985B15" w:rsidP="001F6E93">
      <w:pPr>
        <w:rPr>
          <w:rFonts w:cs="Verdana"/>
          <w:szCs w:val="20"/>
        </w:rPr>
      </w:pPr>
    </w:p>
    <w:p w14:paraId="41489583" w14:textId="07046A57" w:rsidR="00EF1072" w:rsidRPr="00982AFE" w:rsidRDefault="00BD3077" w:rsidP="001F6E93">
      <w:pPr>
        <w:rPr>
          <w:rFonts w:cs="Verdana"/>
          <w:szCs w:val="20"/>
        </w:rPr>
      </w:pPr>
      <w:r>
        <w:rPr>
          <w:rFonts w:cs="Verdana"/>
          <w:szCs w:val="20"/>
        </w:rPr>
        <w:t xml:space="preserve">In the submission, </w:t>
      </w:r>
      <w:r w:rsidR="0090569D">
        <w:rPr>
          <w:rFonts w:cs="Verdana"/>
          <w:szCs w:val="20"/>
        </w:rPr>
        <w:t>Figure 11 and Append</w:t>
      </w:r>
      <w:r w:rsidR="00D9651B">
        <w:rPr>
          <w:rFonts w:cs="Verdana"/>
          <w:szCs w:val="20"/>
        </w:rPr>
        <w:t xml:space="preserve">ix H provides the detail on the H100 Fife SMF roadmap and </w:t>
      </w:r>
      <w:r>
        <w:rPr>
          <w:rFonts w:cs="Verdana"/>
          <w:szCs w:val="20"/>
        </w:rPr>
        <w:t xml:space="preserve">associated </w:t>
      </w:r>
      <w:r w:rsidR="00D9651B">
        <w:rPr>
          <w:rFonts w:cs="Verdana"/>
          <w:szCs w:val="20"/>
        </w:rPr>
        <w:t>milestone descriptions.</w:t>
      </w:r>
      <w:r w:rsidR="00982AFE">
        <w:rPr>
          <w:rFonts w:cs="Verdana"/>
          <w:szCs w:val="20"/>
        </w:rPr>
        <w:t xml:space="preserve"> </w:t>
      </w:r>
    </w:p>
    <w:sectPr w:rsidR="00EF1072" w:rsidRPr="00982AFE" w:rsidSect="00265B9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592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C9A9F" w14:textId="77777777" w:rsidR="00E608C0" w:rsidRDefault="00E608C0" w:rsidP="001F6E93">
      <w:r>
        <w:separator/>
      </w:r>
    </w:p>
  </w:endnote>
  <w:endnote w:type="continuationSeparator" w:id="0">
    <w:p w14:paraId="4C8CABED" w14:textId="77777777" w:rsidR="00E608C0" w:rsidRDefault="00E608C0" w:rsidP="001F6E93">
      <w:r>
        <w:continuationSeparator/>
      </w:r>
    </w:p>
  </w:endnote>
  <w:endnote w:type="continuationNotice" w:id="1">
    <w:p w14:paraId="35895A9B" w14:textId="77777777" w:rsidR="00E608C0" w:rsidRDefault="00E608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820031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65D8EE" w14:textId="77777777" w:rsidR="00000C82" w:rsidRDefault="00000C82" w:rsidP="001F6E93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3FEB71" w14:textId="77777777" w:rsidR="00000C82" w:rsidRDefault="00000C82" w:rsidP="001F6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GoBack"/>
  <w:bookmarkEnd w:id="1"/>
  <w:p w14:paraId="6CE66CEE" w14:textId="540730C6" w:rsidR="00000C82" w:rsidRDefault="002E73EC" w:rsidP="001F6E93">
    <w:pPr>
      <w:pStyle w:val="Footer"/>
      <w:rPr>
        <w:rStyle w:val="PageNumber"/>
      </w:rPr>
    </w:pPr>
    <w:sdt>
      <w:sdtPr>
        <w:rPr>
          <w:rStyle w:val="PageNumber"/>
        </w:rPr>
        <w:id w:val="1612088975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000C82">
          <w:rPr>
            <w:rStyle w:val="PageNumber"/>
          </w:rPr>
          <w:fldChar w:fldCharType="begin"/>
        </w:r>
        <w:r w:rsidR="00000C82">
          <w:rPr>
            <w:rStyle w:val="PageNumber"/>
          </w:rPr>
          <w:instrText xml:space="preserve"> PAGE </w:instrText>
        </w:r>
        <w:r w:rsidR="00000C82">
          <w:rPr>
            <w:rStyle w:val="PageNumber"/>
          </w:rPr>
          <w:fldChar w:fldCharType="separate"/>
        </w:r>
        <w:r w:rsidR="006605C4">
          <w:rPr>
            <w:rStyle w:val="PageNumber"/>
            <w:noProof/>
          </w:rPr>
          <w:t>1</w:t>
        </w:r>
        <w:r w:rsidR="00000C82">
          <w:rPr>
            <w:rStyle w:val="PageNumber"/>
          </w:rPr>
          <w:fldChar w:fldCharType="end"/>
        </w:r>
      </w:sdtContent>
    </w:sdt>
  </w:p>
  <w:p w14:paraId="5EEDD37B" w14:textId="7E59ED1C" w:rsidR="00000C82" w:rsidRPr="00000C82" w:rsidRDefault="009905C7" w:rsidP="001F6E9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1" behindDoc="0" locked="0" layoutInCell="1" allowOverlap="1" wp14:anchorId="0184E612" wp14:editId="274B6707">
          <wp:simplePos x="0" y="0"/>
          <wp:positionH relativeFrom="column">
            <wp:posOffset>-338455</wp:posOffset>
          </wp:positionH>
          <wp:positionV relativeFrom="paragraph">
            <wp:posOffset>49960</wp:posOffset>
          </wp:positionV>
          <wp:extent cx="597600" cy="176400"/>
          <wp:effectExtent l="0" t="0" r="0" b="0"/>
          <wp:wrapNone/>
          <wp:docPr id="2" name="Picture 2" descr="Job number" title="OFG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G116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600" cy="1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DF5A3" w14:textId="77777777" w:rsidR="00BD123B" w:rsidRDefault="00BD12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7CBFD" w14:textId="77777777" w:rsidR="00E608C0" w:rsidRDefault="00E608C0" w:rsidP="001F6E93">
      <w:r>
        <w:separator/>
      </w:r>
    </w:p>
  </w:footnote>
  <w:footnote w:type="continuationSeparator" w:id="0">
    <w:p w14:paraId="46AED8DF" w14:textId="77777777" w:rsidR="00E608C0" w:rsidRDefault="00E608C0" w:rsidP="001F6E93">
      <w:r>
        <w:continuationSeparator/>
      </w:r>
    </w:p>
  </w:footnote>
  <w:footnote w:type="continuationNotice" w:id="1">
    <w:p w14:paraId="14DF73DD" w14:textId="77777777" w:rsidR="00E608C0" w:rsidRDefault="00E608C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B96F8" w14:textId="77777777" w:rsidR="00BD123B" w:rsidRDefault="00BD12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A6A" w14:textId="77777777" w:rsidR="00000C82" w:rsidRDefault="00000C82" w:rsidP="001F6E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080A6332" wp14:editId="167397A6">
          <wp:simplePos x="0" y="0"/>
          <wp:positionH relativeFrom="column">
            <wp:posOffset>4660900</wp:posOffset>
          </wp:positionH>
          <wp:positionV relativeFrom="paragraph">
            <wp:posOffset>0</wp:posOffset>
          </wp:positionV>
          <wp:extent cx="1554480" cy="905256"/>
          <wp:effectExtent l="0" t="0" r="0" b="0"/>
          <wp:wrapNone/>
          <wp:docPr id="1" name="Picture 1" descr="Ofgem logo" title="Ofgem - making a positive difference for energy consum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GEM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4480" cy="9052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AD04" w14:textId="77777777" w:rsidR="00BD123B" w:rsidRDefault="00BD12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63EC"/>
    <w:multiLevelType w:val="hybridMultilevel"/>
    <w:tmpl w:val="135C18BC"/>
    <w:lvl w:ilvl="0" w:tplc="CA5E26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C82"/>
    <w:rsid w:val="00000C82"/>
    <w:rsid w:val="00035F11"/>
    <w:rsid w:val="00072C74"/>
    <w:rsid w:val="00080C35"/>
    <w:rsid w:val="00087FA2"/>
    <w:rsid w:val="000C3927"/>
    <w:rsid w:val="000D2E06"/>
    <w:rsid w:val="000F4635"/>
    <w:rsid w:val="00121BAA"/>
    <w:rsid w:val="001351F3"/>
    <w:rsid w:val="0013676F"/>
    <w:rsid w:val="0014039F"/>
    <w:rsid w:val="001431F3"/>
    <w:rsid w:val="00145A48"/>
    <w:rsid w:val="00155532"/>
    <w:rsid w:val="00177460"/>
    <w:rsid w:val="001968F2"/>
    <w:rsid w:val="001A68F2"/>
    <w:rsid w:val="001B7D31"/>
    <w:rsid w:val="001C06F4"/>
    <w:rsid w:val="001D784D"/>
    <w:rsid w:val="001E402D"/>
    <w:rsid w:val="001F6E93"/>
    <w:rsid w:val="00202748"/>
    <w:rsid w:val="00204ABA"/>
    <w:rsid w:val="0023606C"/>
    <w:rsid w:val="00245199"/>
    <w:rsid w:val="00261BAE"/>
    <w:rsid w:val="00265B97"/>
    <w:rsid w:val="00277923"/>
    <w:rsid w:val="0029268C"/>
    <w:rsid w:val="002A27A4"/>
    <w:rsid w:val="002A5DCB"/>
    <w:rsid w:val="002E73EC"/>
    <w:rsid w:val="002F2C55"/>
    <w:rsid w:val="002F48C3"/>
    <w:rsid w:val="003018D0"/>
    <w:rsid w:val="003040E2"/>
    <w:rsid w:val="003167D6"/>
    <w:rsid w:val="00331426"/>
    <w:rsid w:val="00391AB9"/>
    <w:rsid w:val="003A7E34"/>
    <w:rsid w:val="003C07A6"/>
    <w:rsid w:val="003C3110"/>
    <w:rsid w:val="003D0181"/>
    <w:rsid w:val="003E0EED"/>
    <w:rsid w:val="00400443"/>
    <w:rsid w:val="00405DC6"/>
    <w:rsid w:val="004177AC"/>
    <w:rsid w:val="00450984"/>
    <w:rsid w:val="004538F1"/>
    <w:rsid w:val="0046431A"/>
    <w:rsid w:val="0047267E"/>
    <w:rsid w:val="004824AC"/>
    <w:rsid w:val="004D0406"/>
    <w:rsid w:val="004D5FA0"/>
    <w:rsid w:val="004D679B"/>
    <w:rsid w:val="00513645"/>
    <w:rsid w:val="00520EFA"/>
    <w:rsid w:val="005308F8"/>
    <w:rsid w:val="005331D0"/>
    <w:rsid w:val="00533701"/>
    <w:rsid w:val="00534C46"/>
    <w:rsid w:val="00536E5B"/>
    <w:rsid w:val="005415DE"/>
    <w:rsid w:val="00550F2C"/>
    <w:rsid w:val="00555D66"/>
    <w:rsid w:val="005642B9"/>
    <w:rsid w:val="005741B8"/>
    <w:rsid w:val="0058492B"/>
    <w:rsid w:val="00587D1E"/>
    <w:rsid w:val="0059383F"/>
    <w:rsid w:val="005A5E1D"/>
    <w:rsid w:val="005B7167"/>
    <w:rsid w:val="005D3E6B"/>
    <w:rsid w:val="005D4DAC"/>
    <w:rsid w:val="005F0460"/>
    <w:rsid w:val="005F6CC3"/>
    <w:rsid w:val="006055A7"/>
    <w:rsid w:val="006209DD"/>
    <w:rsid w:val="006233ED"/>
    <w:rsid w:val="006317D3"/>
    <w:rsid w:val="006605C4"/>
    <w:rsid w:val="006B58BE"/>
    <w:rsid w:val="006C3515"/>
    <w:rsid w:val="006D0FA6"/>
    <w:rsid w:val="006D211B"/>
    <w:rsid w:val="006E1FE3"/>
    <w:rsid w:val="006F2677"/>
    <w:rsid w:val="006F30D9"/>
    <w:rsid w:val="006F699C"/>
    <w:rsid w:val="00703FAE"/>
    <w:rsid w:val="0070436B"/>
    <w:rsid w:val="007076AA"/>
    <w:rsid w:val="00744CA6"/>
    <w:rsid w:val="00785377"/>
    <w:rsid w:val="007A4F15"/>
    <w:rsid w:val="007B2211"/>
    <w:rsid w:val="007C0D12"/>
    <w:rsid w:val="007C2852"/>
    <w:rsid w:val="007C7E9B"/>
    <w:rsid w:val="007D6A38"/>
    <w:rsid w:val="007F1638"/>
    <w:rsid w:val="0082523C"/>
    <w:rsid w:val="008307C5"/>
    <w:rsid w:val="008517F4"/>
    <w:rsid w:val="00852B14"/>
    <w:rsid w:val="0086475A"/>
    <w:rsid w:val="00864A6B"/>
    <w:rsid w:val="00867509"/>
    <w:rsid w:val="00874765"/>
    <w:rsid w:val="008873DC"/>
    <w:rsid w:val="0089032C"/>
    <w:rsid w:val="008B1BBB"/>
    <w:rsid w:val="008B6012"/>
    <w:rsid w:val="008D2FEF"/>
    <w:rsid w:val="0090569D"/>
    <w:rsid w:val="00954EED"/>
    <w:rsid w:val="00967DAE"/>
    <w:rsid w:val="00982AFE"/>
    <w:rsid w:val="009854EC"/>
    <w:rsid w:val="00985B15"/>
    <w:rsid w:val="009905C7"/>
    <w:rsid w:val="00991814"/>
    <w:rsid w:val="009944E4"/>
    <w:rsid w:val="009A6B23"/>
    <w:rsid w:val="009B7453"/>
    <w:rsid w:val="009D4C56"/>
    <w:rsid w:val="009F2E03"/>
    <w:rsid w:val="00A0630C"/>
    <w:rsid w:val="00A17F94"/>
    <w:rsid w:val="00A37270"/>
    <w:rsid w:val="00A93562"/>
    <w:rsid w:val="00A96D2D"/>
    <w:rsid w:val="00AA4841"/>
    <w:rsid w:val="00AA4DD8"/>
    <w:rsid w:val="00AB1B4E"/>
    <w:rsid w:val="00AD6FFD"/>
    <w:rsid w:val="00AE1757"/>
    <w:rsid w:val="00AF54F8"/>
    <w:rsid w:val="00B216AE"/>
    <w:rsid w:val="00B2711B"/>
    <w:rsid w:val="00B378D9"/>
    <w:rsid w:val="00B51F6B"/>
    <w:rsid w:val="00B75BD4"/>
    <w:rsid w:val="00B87A89"/>
    <w:rsid w:val="00B9043B"/>
    <w:rsid w:val="00B9124D"/>
    <w:rsid w:val="00BD123B"/>
    <w:rsid w:val="00BD3077"/>
    <w:rsid w:val="00BF3EE8"/>
    <w:rsid w:val="00C33524"/>
    <w:rsid w:val="00C3636A"/>
    <w:rsid w:val="00C5030B"/>
    <w:rsid w:val="00C52865"/>
    <w:rsid w:val="00C570BB"/>
    <w:rsid w:val="00C778CB"/>
    <w:rsid w:val="00C85BFC"/>
    <w:rsid w:val="00C85DE0"/>
    <w:rsid w:val="00CA3691"/>
    <w:rsid w:val="00CB04CB"/>
    <w:rsid w:val="00CC0E0F"/>
    <w:rsid w:val="00CC2ACE"/>
    <w:rsid w:val="00CE1ED2"/>
    <w:rsid w:val="00CF7491"/>
    <w:rsid w:val="00D217DF"/>
    <w:rsid w:val="00D4151A"/>
    <w:rsid w:val="00D51C2B"/>
    <w:rsid w:val="00D61087"/>
    <w:rsid w:val="00D64ADA"/>
    <w:rsid w:val="00D77A2F"/>
    <w:rsid w:val="00D82FB9"/>
    <w:rsid w:val="00D948CF"/>
    <w:rsid w:val="00D94E5E"/>
    <w:rsid w:val="00D9651B"/>
    <w:rsid w:val="00DA40B8"/>
    <w:rsid w:val="00DC00BF"/>
    <w:rsid w:val="00DE0F69"/>
    <w:rsid w:val="00DF334C"/>
    <w:rsid w:val="00E108AC"/>
    <w:rsid w:val="00E12E03"/>
    <w:rsid w:val="00E21BF6"/>
    <w:rsid w:val="00E25D2E"/>
    <w:rsid w:val="00E36C48"/>
    <w:rsid w:val="00E42259"/>
    <w:rsid w:val="00E4555B"/>
    <w:rsid w:val="00E529C0"/>
    <w:rsid w:val="00E608C0"/>
    <w:rsid w:val="00E60B51"/>
    <w:rsid w:val="00E652E5"/>
    <w:rsid w:val="00E73F40"/>
    <w:rsid w:val="00EA0684"/>
    <w:rsid w:val="00EB5CC3"/>
    <w:rsid w:val="00EF1072"/>
    <w:rsid w:val="00EF5077"/>
    <w:rsid w:val="00F22606"/>
    <w:rsid w:val="00F3368E"/>
    <w:rsid w:val="00F53EB9"/>
    <w:rsid w:val="00F64250"/>
    <w:rsid w:val="00F67C51"/>
    <w:rsid w:val="00F7663B"/>
    <w:rsid w:val="00F9017C"/>
    <w:rsid w:val="00F90EF8"/>
    <w:rsid w:val="00F92D5D"/>
    <w:rsid w:val="00F92DE6"/>
    <w:rsid w:val="00FD689B"/>
    <w:rsid w:val="00FE2D2F"/>
    <w:rsid w:val="01CDC75B"/>
    <w:rsid w:val="112B5A20"/>
    <w:rsid w:val="23738635"/>
    <w:rsid w:val="3B442235"/>
    <w:rsid w:val="4192EA2F"/>
    <w:rsid w:val="5B9D7455"/>
    <w:rsid w:val="7F66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CB48A4"/>
  <w15:chartTrackingRefBased/>
  <w15:docId w15:val="{FFBC9B04-E0F7-AD47-B73C-9CB6B0FE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F6E93"/>
    <w:pPr>
      <w:spacing w:line="360" w:lineRule="auto"/>
    </w:pPr>
    <w:rPr>
      <w:rFonts w:ascii="Verdana" w:hAnsi="Verdana"/>
      <w:sz w:val="20"/>
      <w:lang w:val="en-GB"/>
    </w:rPr>
  </w:style>
  <w:style w:type="paragraph" w:styleId="Heading1">
    <w:name w:val="heading 1"/>
    <w:aliases w:val="Main heading"/>
    <w:basedOn w:val="Normal"/>
    <w:next w:val="Normal"/>
    <w:link w:val="Heading1Char"/>
    <w:uiPriority w:val="9"/>
    <w:qFormat/>
    <w:rsid w:val="004824AC"/>
    <w:pPr>
      <w:keepNext/>
      <w:keepLines/>
      <w:spacing w:before="240" w:after="36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aliases w:val="Subheading"/>
    <w:basedOn w:val="Normal"/>
    <w:next w:val="Normal"/>
    <w:link w:val="Heading2Char"/>
    <w:uiPriority w:val="9"/>
    <w:unhideWhenUsed/>
    <w:qFormat/>
    <w:rsid w:val="004824AC"/>
    <w:pPr>
      <w:keepNext/>
      <w:keepLines/>
      <w:spacing w:before="40" w:after="18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2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C82"/>
  </w:style>
  <w:style w:type="paragraph" w:styleId="Footer">
    <w:name w:val="footer"/>
    <w:basedOn w:val="Normal"/>
    <w:link w:val="FooterChar"/>
    <w:uiPriority w:val="99"/>
    <w:unhideWhenUsed/>
    <w:rsid w:val="00000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0C82"/>
  </w:style>
  <w:style w:type="character" w:styleId="PageNumber">
    <w:name w:val="page number"/>
    <w:basedOn w:val="DefaultParagraphFont"/>
    <w:uiPriority w:val="99"/>
    <w:semiHidden/>
    <w:unhideWhenUsed/>
    <w:rsid w:val="00000C82"/>
  </w:style>
  <w:style w:type="table" w:styleId="TableGrid">
    <w:name w:val="Table Grid"/>
    <w:basedOn w:val="TableNormal"/>
    <w:uiPriority w:val="39"/>
    <w:rsid w:val="00C5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5FA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7DF"/>
    <w:pPr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7DF"/>
    <w:rPr>
      <w:rFonts w:ascii="Verdana" w:eastAsiaTheme="majorEastAsia" w:hAnsi="Verdana" w:cstheme="majorBidi"/>
      <w:b/>
      <w:spacing w:val="-10"/>
      <w:kern w:val="28"/>
      <w:sz w:val="20"/>
      <w:szCs w:val="56"/>
    </w:rPr>
  </w:style>
  <w:style w:type="character" w:customStyle="1" w:styleId="Heading1Char">
    <w:name w:val="Heading 1 Char"/>
    <w:aliases w:val="Main heading Char"/>
    <w:basedOn w:val="DefaultParagraphFont"/>
    <w:link w:val="Heading1"/>
    <w:uiPriority w:val="9"/>
    <w:rsid w:val="004824AC"/>
    <w:rPr>
      <w:rFonts w:ascii="Verdana" w:eastAsiaTheme="majorEastAsia" w:hAnsi="Verdana" w:cstheme="majorBidi"/>
      <w:b/>
      <w:sz w:val="28"/>
      <w:szCs w:val="32"/>
    </w:rPr>
  </w:style>
  <w:style w:type="character" w:customStyle="1" w:styleId="Heading2Char">
    <w:name w:val="Heading 2 Char"/>
    <w:aliases w:val="Subheading Char"/>
    <w:basedOn w:val="DefaultParagraphFont"/>
    <w:link w:val="Heading2"/>
    <w:uiPriority w:val="9"/>
    <w:rsid w:val="004824AC"/>
    <w:rPr>
      <w:rFonts w:ascii="Verdana" w:eastAsiaTheme="majorEastAsia" w:hAnsi="Verdana" w:cstheme="majorBidi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1F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431F3"/>
    <w:rPr>
      <w:rFonts w:ascii="Verdana" w:eastAsiaTheme="minorEastAsia" w:hAnsi="Verdana"/>
      <w:color w:val="5A5A5A" w:themeColor="text1" w:themeTint="A5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1431F3"/>
    <w:rPr>
      <w:rFonts w:ascii="Verdana" w:hAnsi="Verdana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qFormat/>
    <w:rsid w:val="001431F3"/>
    <w:rPr>
      <w:rFonts w:ascii="Verdana" w:hAnsi="Verdana"/>
      <w:i/>
      <w:iCs/>
      <w:sz w:val="20"/>
    </w:rPr>
  </w:style>
  <w:style w:type="character" w:styleId="Hyperlink">
    <w:name w:val="Hyperlink"/>
    <w:aliases w:val="TOC - Hyperlink"/>
    <w:basedOn w:val="DefaultParagraphFont"/>
    <w:uiPriority w:val="99"/>
    <w:rsid w:val="005D4DAC"/>
    <w:rPr>
      <w:rFonts w:ascii="Verdana" w:hAnsi="Verdana"/>
      <w:color w:val="191C9D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27A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0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02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8333B1E75C544B88CCF639C2648D70" ma:contentTypeVersion="11" ma:contentTypeDescription="Create a new document." ma:contentTypeScope="" ma:versionID="7d2a54875d58eec865c5e2a2336a94ea">
  <xsd:schema xmlns:xsd="http://www.w3.org/2001/XMLSchema" xmlns:xs="http://www.w3.org/2001/XMLSchema" xmlns:p="http://schemas.microsoft.com/office/2006/metadata/properties" xmlns:ns2="b10b3f1d-fc1c-4a0c-9c2b-22bffa7e9f72" xmlns:ns3="5af9c322-5143-4c42-80bd-ad140079d0a5" targetNamespace="http://schemas.microsoft.com/office/2006/metadata/properties" ma:root="true" ma:fieldsID="25588b7afe669498c771d8837f04546c" ns2:_="" ns3:_="">
    <xsd:import namespace="b10b3f1d-fc1c-4a0c-9c2b-22bffa7e9f72"/>
    <xsd:import namespace="5af9c322-5143-4c42-80bd-ad140079d0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b3f1d-fc1c-4a0c-9c2b-22bffa7e9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9c322-5143-4c42-80bd-ad140079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2F1BD-5831-46A4-A87D-26A659E85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b3f1d-fc1c-4a0c-9c2b-22bffa7e9f72"/>
    <ds:schemaRef ds:uri="5af9c322-5143-4c42-80bd-ad140079d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55783D-6ADA-4A21-A049-7D1E54396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6FF5B-3AEB-4958-8F9A-3BECEC9B70F1}">
  <ds:schemaRefs>
    <ds:schemaRef ds:uri="http://www.w3.org/XML/1998/namespace"/>
    <ds:schemaRef ds:uri="http://purl.org/dc/terms/"/>
    <ds:schemaRef ds:uri="http://schemas.microsoft.com/office/2006/documentManagement/types"/>
    <ds:schemaRef ds:uri="5af9c322-5143-4c42-80bd-ad140079d0a5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b10b3f1d-fc1c-4a0c-9c2b-22bffa7e9f72"/>
  </ds:schemaRefs>
</ds:datastoreItem>
</file>

<file path=customXml/itemProps4.xml><?xml version="1.0" encoding="utf-8"?>
<ds:datastoreItem xmlns:ds="http://schemas.openxmlformats.org/officeDocument/2006/customXml" ds:itemID="{ADEF10DF-7EFE-435A-89A1-FE9F3B7ECE6A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1D21355A-D1F7-4BF4-8474-5B833F04D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Supplementary Answer form 2020</vt:lpstr>
    </vt:vector>
  </TitlesOfParts>
  <Company>Ofgem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Answer form 2020</dc:title>
  <dc:subject/>
  <dc:creator>Ofgem</dc:creator>
  <cp:keywords/>
  <dc:description/>
  <cp:lastModifiedBy>Tomlinson, Stephen</cp:lastModifiedBy>
  <cp:revision>3</cp:revision>
  <dcterms:created xsi:type="dcterms:W3CDTF">2020-08-24T15:21:00Z</dcterms:created>
  <dcterms:modified xsi:type="dcterms:W3CDTF">2020-08-24T15:51:00Z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0x010100E98333B1E75C544B88CCF639C2648D70</vt:lpwstr>
  </property>
  <property fmtid="{D5CDD505-2E9C-101B-9397-08002B2CF9AE}" pid="3" name="docIndexRef">
    <vt:lpwstr>a58c36e5-9455-4796-b569-1033afbe054a</vt:lpwstr>
  </property>
  <property fmtid="{D5CDD505-2E9C-101B-9397-08002B2CF9AE}" pid="4" name="bjSaver">
    <vt:lpwstr>WXoYCeGbFqQc8FZh5Mhj3Bj0oqW2Gt1E</vt:lpwstr>
  </property>
  <property fmtid="{D5CDD505-2E9C-101B-9397-08002B2CF9AE}" pid="5" name="OIAssociatedTeam">
    <vt:lpwstr/>
  </property>
  <property fmtid="{D5CDD505-2E9C-101B-9397-08002B2CF9AE}" pid="6" name="bjDocumentSecurityLabel">
    <vt:lpwstr>This item has no classification</vt:lpwstr>
  </property>
  <property fmtid="{D5CDD505-2E9C-101B-9397-08002B2CF9AE}" pid="7" name="BJSCc5a055b0-1bed-4579_x">
    <vt:lpwstr/>
  </property>
  <property fmtid="{D5CDD505-2E9C-101B-9397-08002B2CF9AE}" pid="8" name="BJSCdd9eba61-d6b9-469b_x">
    <vt:lpwstr/>
  </property>
  <property fmtid="{D5CDD505-2E9C-101B-9397-08002B2CF9AE}" pid="9" name="BJSCSummaryMarking">
    <vt:lpwstr>This item has no classification</vt:lpwstr>
  </property>
  <property fmtid="{D5CDD505-2E9C-101B-9397-08002B2CF9AE}" pid="10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</vt:lpwstr>
  </property>
  <property fmtid="{D5CDD505-2E9C-101B-9397-08002B2CF9AE}" pid="11" name="MSIP_Label_2b73dd0b-afe1-4a46-943f-1bdb914b8a49_Enabled">
    <vt:lpwstr>true</vt:lpwstr>
  </property>
  <property fmtid="{D5CDD505-2E9C-101B-9397-08002B2CF9AE}" pid="12" name="MSIP_Label_2b73dd0b-afe1-4a46-943f-1bdb914b8a49_SetDate">
    <vt:lpwstr>2020-08-21T07:09:02Z</vt:lpwstr>
  </property>
  <property fmtid="{D5CDD505-2E9C-101B-9397-08002B2CF9AE}" pid="13" name="MSIP_Label_2b73dd0b-afe1-4a46-943f-1bdb914b8a49_Method">
    <vt:lpwstr>Standard</vt:lpwstr>
  </property>
  <property fmtid="{D5CDD505-2E9C-101B-9397-08002B2CF9AE}" pid="14" name="MSIP_Label_2b73dd0b-afe1-4a46-943f-1bdb914b8a49_Name">
    <vt:lpwstr>Internal</vt:lpwstr>
  </property>
  <property fmtid="{D5CDD505-2E9C-101B-9397-08002B2CF9AE}" pid="15" name="MSIP_Label_2b73dd0b-afe1-4a46-943f-1bdb914b8a49_SiteId">
    <vt:lpwstr>b9563cbc-9874-41ab-b448-7e0f61aff3eb</vt:lpwstr>
  </property>
  <property fmtid="{D5CDD505-2E9C-101B-9397-08002B2CF9AE}" pid="16" name="MSIP_Label_2b73dd0b-afe1-4a46-943f-1bdb914b8a49_ActionId">
    <vt:lpwstr>91316762-f523-4a90-888d-0000e5c4617a</vt:lpwstr>
  </property>
  <property fmtid="{D5CDD505-2E9C-101B-9397-08002B2CF9AE}" pid="17" name="MSIP_Label_2b73dd0b-afe1-4a46-943f-1bdb914b8a49_ContentBits">
    <vt:lpwstr>2</vt:lpwstr>
  </property>
</Properties>
</file>