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2967"/>
        <w:gridCol w:w="628"/>
        <w:gridCol w:w="1362"/>
        <w:gridCol w:w="1359"/>
        <w:gridCol w:w="909"/>
        <w:gridCol w:w="2371"/>
      </w:tblGrid>
      <w:tr w:rsidR="00F92DE6" w14:paraId="247D903F" w14:textId="77777777" w:rsidTr="00B51F6B">
        <w:trPr>
          <w:cantSplit/>
          <w:trHeight w:hRule="exact" w:val="72"/>
          <w:tblHeader/>
        </w:trPr>
        <w:tc>
          <w:tcPr>
            <w:tcW w:w="3595" w:type="dxa"/>
            <w:gridSpan w:val="2"/>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gridSpan w:val="2"/>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gridSpan w:val="2"/>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6"/>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r w:rsidR="00572BE3" w:rsidRPr="006605C4" w14:paraId="0F0A9ECA" w14:textId="77777777" w:rsidTr="0012358F">
        <w:tblPrEx>
          <w:tblBorders>
            <w:left w:val="single" w:sz="4" w:space="0" w:color="auto"/>
            <w:bottom w:val="single" w:sz="4" w:space="0" w:color="auto"/>
            <w:right w:val="single" w:sz="4" w:space="0" w:color="auto"/>
            <w:insideH w:val="single" w:sz="4" w:space="0" w:color="auto"/>
            <w:insideV w:val="single" w:sz="4" w:space="0" w:color="auto"/>
          </w:tblBorders>
        </w:tblPrEx>
        <w:trPr>
          <w:trHeight w:val="879"/>
        </w:trPr>
        <w:tc>
          <w:tcPr>
            <w:tcW w:w="2967" w:type="dxa"/>
            <w:shd w:val="clear" w:color="auto" w:fill="E7E6E6" w:themeFill="background2"/>
          </w:tcPr>
          <w:p w14:paraId="673ACECA" w14:textId="77777777" w:rsidR="00572BE3" w:rsidRPr="006605C4" w:rsidRDefault="00572BE3" w:rsidP="00E43921">
            <w:pPr>
              <w:pStyle w:val="Heading1"/>
              <w:rPr>
                <w:rFonts w:eastAsia="Times New Roman"/>
                <w:sz w:val="24"/>
              </w:rPr>
            </w:pPr>
            <w:r w:rsidRPr="006605C4">
              <w:rPr>
                <w:rFonts w:eastAsia="Times New Roman"/>
                <w:sz w:val="24"/>
              </w:rPr>
              <w:t>Project Name</w:t>
            </w:r>
          </w:p>
        </w:tc>
        <w:tc>
          <w:tcPr>
            <w:tcW w:w="6619" w:type="dxa"/>
            <w:gridSpan w:val="5"/>
            <w:shd w:val="clear" w:color="auto" w:fill="auto"/>
          </w:tcPr>
          <w:p w14:paraId="561C197C" w14:textId="77777777" w:rsidR="00572BE3" w:rsidRPr="006605C4" w:rsidRDefault="00572BE3" w:rsidP="00E43921">
            <w:pPr>
              <w:pStyle w:val="Heading1"/>
              <w:rPr>
                <w:rFonts w:eastAsia="Times New Roman"/>
                <w:sz w:val="24"/>
              </w:rPr>
            </w:pPr>
            <w:r>
              <w:rPr>
                <w:rFonts w:eastAsia="Times New Roman"/>
                <w:sz w:val="24"/>
              </w:rPr>
              <w:t>H100 Fife</w:t>
            </w:r>
          </w:p>
        </w:tc>
      </w:tr>
      <w:tr w:rsidR="00572BE3" w:rsidRPr="006605C4" w14:paraId="51A49592" w14:textId="77777777" w:rsidTr="0012358F">
        <w:tblPrEx>
          <w:tblBorders>
            <w:left w:val="single" w:sz="4" w:space="0" w:color="auto"/>
            <w:bottom w:val="single" w:sz="4" w:space="0" w:color="auto"/>
            <w:right w:val="single" w:sz="4" w:space="0" w:color="auto"/>
            <w:insideH w:val="single" w:sz="4" w:space="0" w:color="auto"/>
            <w:insideV w:val="single" w:sz="4" w:space="0" w:color="auto"/>
          </w:tblBorders>
        </w:tblPrEx>
        <w:tc>
          <w:tcPr>
            <w:tcW w:w="2967" w:type="dxa"/>
            <w:shd w:val="clear" w:color="auto" w:fill="E7E6E6" w:themeFill="background2"/>
          </w:tcPr>
          <w:p w14:paraId="257A5EB6" w14:textId="77777777" w:rsidR="00572BE3" w:rsidRPr="006605C4" w:rsidRDefault="00572BE3" w:rsidP="00E43921">
            <w:pPr>
              <w:pStyle w:val="Heading1"/>
              <w:rPr>
                <w:rFonts w:eastAsia="Times New Roman"/>
                <w:sz w:val="24"/>
              </w:rPr>
            </w:pPr>
            <w:r w:rsidRPr="006605C4">
              <w:rPr>
                <w:rFonts w:eastAsia="Times New Roman"/>
                <w:sz w:val="24"/>
              </w:rPr>
              <w:t>Question number</w:t>
            </w:r>
          </w:p>
        </w:tc>
        <w:tc>
          <w:tcPr>
            <w:tcW w:w="1990" w:type="dxa"/>
            <w:gridSpan w:val="2"/>
          </w:tcPr>
          <w:p w14:paraId="62902FDA" w14:textId="77777777" w:rsidR="00572BE3" w:rsidRPr="006605C4" w:rsidRDefault="00572BE3" w:rsidP="00E43921">
            <w:pPr>
              <w:pStyle w:val="Heading1"/>
              <w:rPr>
                <w:rFonts w:eastAsia="Times New Roman"/>
                <w:sz w:val="24"/>
              </w:rPr>
            </w:pPr>
            <w:r w:rsidRPr="006605C4">
              <w:rPr>
                <w:rFonts w:eastAsia="Times New Roman"/>
                <w:sz w:val="24"/>
              </w:rPr>
              <w:t>#</w:t>
            </w:r>
            <w:r>
              <w:rPr>
                <w:rFonts w:eastAsia="Times New Roman"/>
                <w:sz w:val="24"/>
              </w:rPr>
              <w:t>28</w:t>
            </w:r>
          </w:p>
        </w:tc>
        <w:tc>
          <w:tcPr>
            <w:tcW w:w="2268" w:type="dxa"/>
            <w:gridSpan w:val="2"/>
            <w:shd w:val="clear" w:color="auto" w:fill="E7E6E6" w:themeFill="background2"/>
          </w:tcPr>
          <w:p w14:paraId="50889FD4" w14:textId="77777777" w:rsidR="00572BE3" w:rsidRPr="006605C4" w:rsidRDefault="00572BE3" w:rsidP="00E43921">
            <w:pPr>
              <w:pStyle w:val="Heading1"/>
              <w:rPr>
                <w:rFonts w:eastAsia="Times New Roman"/>
                <w:sz w:val="24"/>
              </w:rPr>
            </w:pPr>
            <w:r w:rsidRPr="006605C4">
              <w:rPr>
                <w:rFonts w:eastAsia="Times New Roman"/>
                <w:sz w:val="24"/>
              </w:rPr>
              <w:t>Pro forma section</w:t>
            </w:r>
          </w:p>
        </w:tc>
        <w:tc>
          <w:tcPr>
            <w:tcW w:w="2361" w:type="dxa"/>
          </w:tcPr>
          <w:p w14:paraId="2468557E" w14:textId="77777777" w:rsidR="00572BE3" w:rsidRPr="006605C4" w:rsidRDefault="00572BE3" w:rsidP="00E43921">
            <w:pPr>
              <w:pStyle w:val="Heading1"/>
              <w:rPr>
                <w:rFonts w:eastAsia="Times New Roman"/>
                <w:sz w:val="24"/>
              </w:rPr>
            </w:pPr>
            <w:r>
              <w:rPr>
                <w:rFonts w:eastAsia="Times New Roman"/>
                <w:sz w:val="24"/>
              </w:rPr>
              <w:t>7</w:t>
            </w:r>
          </w:p>
        </w:tc>
      </w:tr>
      <w:tr w:rsidR="00572BE3" w:rsidRPr="006605C4" w14:paraId="0FEDAD26" w14:textId="77777777" w:rsidTr="0012358F">
        <w:tblPrEx>
          <w:tblBorders>
            <w:left w:val="single" w:sz="4" w:space="0" w:color="auto"/>
            <w:bottom w:val="single" w:sz="4" w:space="0" w:color="auto"/>
            <w:right w:val="single" w:sz="4" w:space="0" w:color="auto"/>
            <w:insideH w:val="single" w:sz="4" w:space="0" w:color="auto"/>
            <w:insideV w:val="single" w:sz="4" w:space="0" w:color="auto"/>
          </w:tblBorders>
        </w:tblPrEx>
        <w:tc>
          <w:tcPr>
            <w:tcW w:w="2967" w:type="dxa"/>
            <w:shd w:val="clear" w:color="auto" w:fill="E7E6E6" w:themeFill="background2"/>
          </w:tcPr>
          <w:p w14:paraId="320AD0DD" w14:textId="77777777" w:rsidR="00572BE3" w:rsidRPr="006605C4" w:rsidRDefault="00572BE3" w:rsidP="00E43921">
            <w:pPr>
              <w:pStyle w:val="Heading1"/>
              <w:rPr>
                <w:rFonts w:eastAsia="Times New Roman"/>
                <w:sz w:val="24"/>
              </w:rPr>
            </w:pPr>
            <w:r w:rsidRPr="006605C4">
              <w:rPr>
                <w:rFonts w:eastAsia="Times New Roman"/>
                <w:sz w:val="24"/>
              </w:rPr>
              <w:t>Question date</w:t>
            </w:r>
          </w:p>
        </w:tc>
        <w:tc>
          <w:tcPr>
            <w:tcW w:w="1990" w:type="dxa"/>
            <w:gridSpan w:val="2"/>
          </w:tcPr>
          <w:p w14:paraId="63FB8B6B" w14:textId="77777777" w:rsidR="00572BE3" w:rsidRPr="006605C4" w:rsidRDefault="00572BE3" w:rsidP="00E43921">
            <w:pPr>
              <w:pStyle w:val="Heading1"/>
              <w:rPr>
                <w:rFonts w:eastAsia="Times New Roman"/>
                <w:sz w:val="24"/>
              </w:rPr>
            </w:pPr>
            <w:r>
              <w:rPr>
                <w:rFonts w:eastAsia="Times New Roman"/>
                <w:sz w:val="24"/>
              </w:rPr>
              <w:t>10/09/20</w:t>
            </w:r>
          </w:p>
        </w:tc>
        <w:tc>
          <w:tcPr>
            <w:tcW w:w="2268" w:type="dxa"/>
            <w:gridSpan w:val="2"/>
            <w:shd w:val="clear" w:color="auto" w:fill="E7E6E6" w:themeFill="background2"/>
          </w:tcPr>
          <w:p w14:paraId="44207F9B" w14:textId="77777777" w:rsidR="00572BE3" w:rsidRPr="006605C4" w:rsidRDefault="00572BE3" w:rsidP="00E43921">
            <w:pPr>
              <w:pStyle w:val="Heading1"/>
              <w:rPr>
                <w:rFonts w:eastAsia="Times New Roman"/>
                <w:sz w:val="24"/>
              </w:rPr>
            </w:pPr>
            <w:r w:rsidRPr="006605C4">
              <w:rPr>
                <w:rFonts w:eastAsia="Times New Roman"/>
                <w:sz w:val="24"/>
              </w:rPr>
              <w:t>Answer date</w:t>
            </w:r>
          </w:p>
        </w:tc>
        <w:tc>
          <w:tcPr>
            <w:tcW w:w="2361" w:type="dxa"/>
          </w:tcPr>
          <w:p w14:paraId="2DCC4130" w14:textId="77777777" w:rsidR="00572BE3" w:rsidRPr="006605C4" w:rsidRDefault="00572BE3" w:rsidP="00E43921">
            <w:pPr>
              <w:pStyle w:val="Heading1"/>
              <w:rPr>
                <w:rFonts w:eastAsia="Times New Roman"/>
                <w:sz w:val="24"/>
              </w:rPr>
            </w:pPr>
            <w:r>
              <w:rPr>
                <w:rFonts w:eastAsia="Times New Roman"/>
                <w:sz w:val="24"/>
              </w:rPr>
              <w:t>14/09/20</w:t>
            </w:r>
          </w:p>
        </w:tc>
      </w:tr>
      <w:tr w:rsidR="00572BE3" w:rsidRPr="006605C4" w14:paraId="13E9F139" w14:textId="77777777" w:rsidTr="0012358F">
        <w:tblPrEx>
          <w:tblBorders>
            <w:left w:val="single" w:sz="4" w:space="0" w:color="auto"/>
            <w:bottom w:val="single" w:sz="4" w:space="0" w:color="auto"/>
            <w:right w:val="single" w:sz="4" w:space="0" w:color="auto"/>
            <w:insideH w:val="single" w:sz="4" w:space="0" w:color="auto"/>
            <w:insideV w:val="single" w:sz="4" w:space="0" w:color="auto"/>
          </w:tblBorders>
        </w:tblPrEx>
        <w:tc>
          <w:tcPr>
            <w:tcW w:w="2967" w:type="dxa"/>
            <w:shd w:val="clear" w:color="auto" w:fill="E7E6E6" w:themeFill="background2"/>
          </w:tcPr>
          <w:p w14:paraId="2C18550F" w14:textId="77777777" w:rsidR="00572BE3" w:rsidRPr="006605C4" w:rsidRDefault="00572BE3" w:rsidP="00E43921">
            <w:pPr>
              <w:pStyle w:val="Heading1"/>
              <w:rPr>
                <w:rFonts w:eastAsia="Times New Roman"/>
                <w:sz w:val="24"/>
              </w:rPr>
            </w:pPr>
            <w:r w:rsidRPr="006605C4">
              <w:rPr>
                <w:rFonts w:eastAsia="Times New Roman"/>
                <w:sz w:val="24"/>
              </w:rPr>
              <w:t>Question summary</w:t>
            </w:r>
          </w:p>
        </w:tc>
        <w:tc>
          <w:tcPr>
            <w:tcW w:w="6619" w:type="dxa"/>
            <w:gridSpan w:val="5"/>
          </w:tcPr>
          <w:p w14:paraId="3C83FA83" w14:textId="77777777" w:rsidR="00572BE3" w:rsidRPr="004B537A" w:rsidRDefault="00572BE3" w:rsidP="00E43921">
            <w:pPr>
              <w:pStyle w:val="Heading1"/>
              <w:rPr>
                <w:rFonts w:eastAsia="Times New Roman"/>
                <w:sz w:val="24"/>
              </w:rPr>
            </w:pPr>
            <w:r>
              <w:rPr>
                <w:rFonts w:eastAsia="Times New Roman"/>
                <w:sz w:val="24"/>
              </w:rPr>
              <w:t>P</w:t>
            </w:r>
            <w:r w:rsidRPr="004B537A">
              <w:rPr>
                <w:rFonts w:eastAsia="Times New Roman"/>
                <w:sz w:val="24"/>
              </w:rPr>
              <w:t>lease provide us with</w:t>
            </w:r>
          </w:p>
          <w:p w14:paraId="2E2E5A2B" w14:textId="77777777" w:rsidR="00572BE3" w:rsidRPr="004B537A" w:rsidRDefault="00572BE3" w:rsidP="00E43921">
            <w:pPr>
              <w:pStyle w:val="Heading1"/>
              <w:rPr>
                <w:rFonts w:eastAsia="Times New Roman"/>
                <w:sz w:val="24"/>
              </w:rPr>
            </w:pPr>
            <w:r w:rsidRPr="004B537A">
              <w:rPr>
                <w:rFonts w:eastAsia="Times New Roman"/>
                <w:sz w:val="24"/>
              </w:rPr>
              <w:t>a) the draft letter of comfort offered in response to SQ24</w:t>
            </w:r>
          </w:p>
          <w:p w14:paraId="4345F0A6" w14:textId="77777777" w:rsidR="00572BE3" w:rsidRPr="004B537A" w:rsidRDefault="00572BE3" w:rsidP="00E43921">
            <w:pPr>
              <w:pStyle w:val="Heading1"/>
              <w:rPr>
                <w:rFonts w:eastAsia="Times New Roman"/>
                <w:sz w:val="24"/>
              </w:rPr>
            </w:pPr>
            <w:r w:rsidRPr="004B537A">
              <w:rPr>
                <w:rFonts w:eastAsia="Times New Roman"/>
                <w:sz w:val="24"/>
              </w:rPr>
              <w:t xml:space="preserve">b) extensive details of evidence that would accompany an option 2 and option 3 derogation request, including how and when </w:t>
            </w:r>
            <w:proofErr w:type="spellStart"/>
            <w:r w:rsidRPr="004B537A">
              <w:rPr>
                <w:rFonts w:eastAsia="Times New Roman"/>
                <w:sz w:val="24"/>
              </w:rPr>
              <w:t>ScGN</w:t>
            </w:r>
            <w:proofErr w:type="spellEnd"/>
            <w:r w:rsidRPr="004B537A">
              <w:rPr>
                <w:rFonts w:eastAsia="Times New Roman"/>
                <w:sz w:val="24"/>
              </w:rPr>
              <w:t xml:space="preserve"> would apply for such a derogation</w:t>
            </w:r>
          </w:p>
          <w:p w14:paraId="6D2DDFA7" w14:textId="77777777" w:rsidR="00572BE3" w:rsidRPr="006605C4" w:rsidRDefault="00572BE3" w:rsidP="00E43921">
            <w:pPr>
              <w:pStyle w:val="Heading1"/>
              <w:rPr>
                <w:rFonts w:eastAsia="Times New Roman"/>
                <w:sz w:val="24"/>
              </w:rPr>
            </w:pPr>
            <w:r w:rsidRPr="004B537A">
              <w:rPr>
                <w:rFonts w:eastAsia="Times New Roman"/>
                <w:sz w:val="24"/>
              </w:rPr>
              <w:t>(There is no page limit associated with this question)</w:t>
            </w:r>
          </w:p>
        </w:tc>
      </w:tr>
    </w:tbl>
    <w:p w14:paraId="18E4CB4D" w14:textId="08599662" w:rsidR="005A6589" w:rsidRDefault="00572BE3" w:rsidP="36A4AEFF">
      <w:pPr>
        <w:pStyle w:val="Heading2"/>
        <w:rPr>
          <w:rFonts w:eastAsia="Times New Roman"/>
          <w:b w:val="0"/>
          <w:bCs/>
          <w:sz w:val="20"/>
          <w:szCs w:val="22"/>
        </w:rPr>
      </w:pPr>
      <w:r>
        <w:rPr>
          <w:rFonts w:eastAsia="Times New Roman"/>
        </w:rPr>
        <w:br/>
      </w:r>
      <w:r w:rsidR="002F2C55" w:rsidRPr="36A4AEFF">
        <w:rPr>
          <w:rFonts w:eastAsia="Times New Roman"/>
        </w:rPr>
        <w:t>Answer (please retain document formatting and do not exceed 2 pages unless otherwise agreed with Ofgem)</w:t>
      </w:r>
      <w:r>
        <w:rPr>
          <w:rFonts w:eastAsia="Times New Roman"/>
        </w:rPr>
        <w:br/>
      </w:r>
      <w:r w:rsidR="00324B92" w:rsidRPr="006C4C78">
        <w:rPr>
          <w:rFonts w:eastAsia="Times New Roman"/>
          <w:b w:val="0"/>
          <w:bCs/>
          <w:sz w:val="20"/>
          <w:szCs w:val="22"/>
        </w:rPr>
        <w:t xml:space="preserve">a) </w:t>
      </w:r>
      <w:r w:rsidR="0B8FB523" w:rsidRPr="36A4AEFF">
        <w:rPr>
          <w:rFonts w:eastAsia="Times New Roman"/>
          <w:b w:val="0"/>
          <w:sz w:val="20"/>
          <w:szCs w:val="20"/>
        </w:rPr>
        <w:t>Find attached</w:t>
      </w:r>
      <w:r w:rsidR="006E6CD1">
        <w:rPr>
          <w:rFonts w:eastAsia="Times New Roman"/>
          <w:b w:val="0"/>
          <w:bCs/>
          <w:sz w:val="20"/>
          <w:szCs w:val="22"/>
        </w:rPr>
        <w:t xml:space="preserve"> d</w:t>
      </w:r>
      <w:r w:rsidR="00324B92" w:rsidRPr="006C4C78">
        <w:rPr>
          <w:rFonts w:eastAsia="Times New Roman"/>
          <w:b w:val="0"/>
          <w:bCs/>
          <w:sz w:val="20"/>
          <w:szCs w:val="22"/>
        </w:rPr>
        <w:t>raft letter of comfort</w:t>
      </w:r>
      <w:r w:rsidR="00C7432B">
        <w:rPr>
          <w:rFonts w:eastAsia="Times New Roman"/>
          <w:b w:val="0"/>
          <w:bCs/>
          <w:sz w:val="20"/>
          <w:szCs w:val="22"/>
        </w:rPr>
        <w:t xml:space="preserve"> </w:t>
      </w:r>
      <w:r w:rsidR="43273EC5" w:rsidRPr="36A4AEFF">
        <w:rPr>
          <w:b w:val="0"/>
          <w:sz w:val="20"/>
          <w:szCs w:val="20"/>
        </w:rPr>
        <w:t>‘</w:t>
      </w:r>
      <w:r w:rsidR="2AC6574B" w:rsidRPr="36A4AEFF">
        <w:rPr>
          <w:rFonts w:eastAsia="Times New Roman"/>
          <w:b w:val="0"/>
          <w:sz w:val="20"/>
          <w:szCs w:val="20"/>
        </w:rPr>
        <w:t>200914</w:t>
      </w:r>
      <w:r w:rsidR="006C4C78" w:rsidRPr="006C4C78">
        <w:rPr>
          <w:rFonts w:eastAsia="Times New Roman"/>
          <w:b w:val="0"/>
          <w:bCs/>
          <w:sz w:val="20"/>
          <w:szCs w:val="22"/>
        </w:rPr>
        <w:t xml:space="preserve"> </w:t>
      </w:r>
      <w:r w:rsidR="232C6882" w:rsidRPr="36A4AEFF">
        <w:rPr>
          <w:b w:val="0"/>
          <w:sz w:val="20"/>
          <w:szCs w:val="20"/>
        </w:rPr>
        <w:t xml:space="preserve">- H100 LoC Gas (Calculation of Thermal Energy) Regulations 1996. </w:t>
      </w:r>
      <w:r w:rsidR="1AC44EA7" w:rsidRPr="36A4AEFF">
        <w:rPr>
          <w:b w:val="0"/>
          <w:sz w:val="20"/>
          <w:szCs w:val="20"/>
        </w:rPr>
        <w:t>D</w:t>
      </w:r>
      <w:r w:rsidR="232C6882" w:rsidRPr="36A4AEFF">
        <w:rPr>
          <w:b w:val="0"/>
          <w:sz w:val="20"/>
          <w:szCs w:val="20"/>
        </w:rPr>
        <w:t>ocx</w:t>
      </w:r>
      <w:r w:rsidR="1AC44EA7" w:rsidRPr="36A4AEFF">
        <w:rPr>
          <w:b w:val="0"/>
          <w:sz w:val="20"/>
          <w:szCs w:val="20"/>
        </w:rPr>
        <w:t>'</w:t>
      </w:r>
      <w:r w:rsidR="006C4C78" w:rsidRPr="36A4AEFF">
        <w:rPr>
          <w:rFonts w:eastAsia="Times New Roman"/>
          <w:b w:val="0"/>
          <w:sz w:val="20"/>
          <w:szCs w:val="20"/>
        </w:rPr>
        <w:t>.</w:t>
      </w:r>
      <w:r w:rsidR="006E6CD1">
        <w:rPr>
          <w:rFonts w:eastAsia="Times New Roman"/>
          <w:b w:val="0"/>
          <w:bCs/>
          <w:sz w:val="20"/>
          <w:szCs w:val="22"/>
        </w:rPr>
        <w:t xml:space="preserve"> This is indicative and is subject to </w:t>
      </w:r>
      <w:r w:rsidR="000E32C5">
        <w:rPr>
          <w:rFonts w:eastAsia="Times New Roman"/>
          <w:b w:val="0"/>
          <w:bCs/>
          <w:sz w:val="20"/>
          <w:szCs w:val="22"/>
        </w:rPr>
        <w:t>revisions</w:t>
      </w:r>
      <w:r w:rsidR="00AB3849">
        <w:rPr>
          <w:rFonts w:eastAsia="Times New Roman"/>
          <w:b w:val="0"/>
          <w:bCs/>
          <w:sz w:val="20"/>
          <w:szCs w:val="22"/>
        </w:rPr>
        <w:t>.</w:t>
      </w:r>
    </w:p>
    <w:p w14:paraId="4CB4D5B7" w14:textId="0F5EB47F" w:rsidR="00480AE7" w:rsidRPr="003C2B00" w:rsidRDefault="00324B92" w:rsidP="00E41441">
      <w:pPr>
        <w:pStyle w:val="Heading2"/>
        <w:rPr>
          <w:rFonts w:eastAsia="Times New Roman"/>
          <w:b w:val="0"/>
          <w:bCs/>
          <w:sz w:val="20"/>
          <w:szCs w:val="22"/>
        </w:rPr>
      </w:pPr>
      <w:r w:rsidRPr="006C4C78">
        <w:rPr>
          <w:rFonts w:eastAsia="Times New Roman"/>
          <w:b w:val="0"/>
          <w:bCs/>
          <w:sz w:val="20"/>
          <w:szCs w:val="22"/>
        </w:rPr>
        <w:lastRenderedPageBreak/>
        <w:t>b)</w:t>
      </w:r>
      <w:r w:rsidRPr="006C4C78">
        <w:rPr>
          <w:rFonts w:eastAsia="Times New Roman"/>
          <w:sz w:val="20"/>
          <w:szCs w:val="22"/>
        </w:rPr>
        <w:t xml:space="preserve"> </w:t>
      </w:r>
      <w:r w:rsidR="00F366B1" w:rsidRPr="004C3B8A">
        <w:rPr>
          <w:rFonts w:eastAsia="Times New Roman"/>
          <w:b w:val="0"/>
          <w:bCs/>
          <w:sz w:val="20"/>
          <w:szCs w:val="22"/>
        </w:rPr>
        <w:t>While there is a spectrum of regulatory options for delivery of the project</w:t>
      </w:r>
      <w:r w:rsidR="004C3B8A" w:rsidRPr="004C3B8A">
        <w:rPr>
          <w:rFonts w:eastAsia="Times New Roman"/>
          <w:b w:val="0"/>
          <w:bCs/>
          <w:sz w:val="20"/>
          <w:szCs w:val="22"/>
        </w:rPr>
        <w:t>, w</w:t>
      </w:r>
      <w:r w:rsidR="00FE6F3A" w:rsidRPr="004C3B8A">
        <w:rPr>
          <w:rFonts w:eastAsia="Times New Roman"/>
          <w:b w:val="0"/>
          <w:bCs/>
          <w:sz w:val="20"/>
          <w:szCs w:val="22"/>
        </w:rPr>
        <w:t>e</w:t>
      </w:r>
      <w:r w:rsidR="00FE6F3A">
        <w:rPr>
          <w:rFonts w:eastAsia="Times New Roman"/>
          <w:b w:val="0"/>
          <w:bCs/>
          <w:sz w:val="20"/>
          <w:szCs w:val="22"/>
        </w:rPr>
        <w:t xml:space="preserve"> have presented to Ofgem</w:t>
      </w:r>
      <w:r w:rsidR="002E39FF">
        <w:rPr>
          <w:rFonts w:eastAsia="Times New Roman"/>
          <w:b w:val="0"/>
          <w:bCs/>
          <w:sz w:val="20"/>
          <w:szCs w:val="22"/>
        </w:rPr>
        <w:t xml:space="preserve"> what we believe to be</w:t>
      </w:r>
      <w:r w:rsidR="00FE6F3A">
        <w:rPr>
          <w:rFonts w:eastAsia="Times New Roman"/>
          <w:b w:val="0"/>
          <w:bCs/>
          <w:sz w:val="20"/>
          <w:szCs w:val="22"/>
        </w:rPr>
        <w:t xml:space="preserve"> the </w:t>
      </w:r>
      <w:r w:rsidR="004C3B8A">
        <w:rPr>
          <w:rFonts w:eastAsia="Times New Roman"/>
          <w:b w:val="0"/>
          <w:bCs/>
          <w:sz w:val="20"/>
          <w:szCs w:val="22"/>
        </w:rPr>
        <w:t>best solution for customers, and simplest</w:t>
      </w:r>
      <w:r w:rsidR="00195A5F">
        <w:rPr>
          <w:rFonts w:eastAsia="Times New Roman"/>
          <w:b w:val="0"/>
          <w:bCs/>
          <w:sz w:val="20"/>
          <w:szCs w:val="22"/>
        </w:rPr>
        <w:t xml:space="preserve"> regulatory route </w:t>
      </w:r>
      <w:r w:rsidR="00D23B8B">
        <w:rPr>
          <w:rFonts w:eastAsia="Times New Roman"/>
          <w:b w:val="0"/>
          <w:bCs/>
          <w:sz w:val="20"/>
          <w:szCs w:val="22"/>
        </w:rPr>
        <w:t xml:space="preserve">(Option 1) </w:t>
      </w:r>
      <w:r w:rsidR="00195A5F">
        <w:rPr>
          <w:rFonts w:eastAsia="Times New Roman"/>
          <w:b w:val="0"/>
          <w:bCs/>
          <w:sz w:val="20"/>
          <w:szCs w:val="22"/>
        </w:rPr>
        <w:t>for</w:t>
      </w:r>
      <w:r w:rsidR="00FE6F3A">
        <w:rPr>
          <w:rFonts w:eastAsia="Times New Roman"/>
          <w:b w:val="0"/>
          <w:bCs/>
          <w:sz w:val="20"/>
          <w:szCs w:val="22"/>
        </w:rPr>
        <w:t xml:space="preserve"> deliver</w:t>
      </w:r>
      <w:r w:rsidR="00195A5F">
        <w:rPr>
          <w:rFonts w:eastAsia="Times New Roman"/>
          <w:b w:val="0"/>
          <w:bCs/>
          <w:sz w:val="20"/>
          <w:szCs w:val="22"/>
        </w:rPr>
        <w:t>ing</w:t>
      </w:r>
      <w:r w:rsidR="00FE6F3A">
        <w:rPr>
          <w:rFonts w:eastAsia="Times New Roman"/>
          <w:b w:val="0"/>
          <w:bCs/>
          <w:sz w:val="20"/>
          <w:szCs w:val="22"/>
        </w:rPr>
        <w:t xml:space="preserve"> the project </w:t>
      </w:r>
      <w:r w:rsidR="00E41441" w:rsidRPr="00E41441">
        <w:rPr>
          <w:rFonts w:eastAsia="Times New Roman"/>
          <w:b w:val="0"/>
          <w:bCs/>
          <w:sz w:val="20"/>
          <w:szCs w:val="22"/>
        </w:rPr>
        <w:t>that requires no</w:t>
      </w:r>
      <w:r w:rsidR="004D560B">
        <w:rPr>
          <w:rFonts w:eastAsia="Times New Roman"/>
          <w:b w:val="0"/>
          <w:bCs/>
          <w:sz w:val="20"/>
          <w:szCs w:val="22"/>
        </w:rPr>
        <w:t xml:space="preserve"> </w:t>
      </w:r>
      <w:r w:rsidR="00E41441" w:rsidRPr="00E41441">
        <w:rPr>
          <w:rFonts w:eastAsia="Times New Roman"/>
          <w:b w:val="0"/>
          <w:bCs/>
          <w:sz w:val="20"/>
          <w:szCs w:val="22"/>
        </w:rPr>
        <w:t>derogation, licence consent, licence exemption or changes to regulatory</w:t>
      </w:r>
      <w:r w:rsidR="004D560B">
        <w:rPr>
          <w:rFonts w:eastAsia="Times New Roman"/>
          <w:b w:val="0"/>
          <w:bCs/>
          <w:sz w:val="20"/>
          <w:szCs w:val="22"/>
        </w:rPr>
        <w:t xml:space="preserve"> </w:t>
      </w:r>
      <w:r w:rsidR="00E41441" w:rsidRPr="00E41441">
        <w:rPr>
          <w:rFonts w:eastAsia="Times New Roman"/>
          <w:b w:val="0"/>
          <w:bCs/>
          <w:sz w:val="20"/>
          <w:szCs w:val="22"/>
        </w:rPr>
        <w:t xml:space="preserve">arrangements. </w:t>
      </w:r>
      <w:r w:rsidR="00A40DC2">
        <w:rPr>
          <w:rFonts w:eastAsia="Times New Roman"/>
          <w:b w:val="0"/>
          <w:bCs/>
          <w:sz w:val="20"/>
          <w:szCs w:val="22"/>
        </w:rPr>
        <w:t>As set out in the submission, t</w:t>
      </w:r>
      <w:r w:rsidR="00E41441" w:rsidRPr="00E41441">
        <w:rPr>
          <w:rFonts w:eastAsia="Times New Roman"/>
          <w:b w:val="0"/>
          <w:bCs/>
          <w:sz w:val="20"/>
          <w:szCs w:val="22"/>
        </w:rPr>
        <w:t xml:space="preserve">he only </w:t>
      </w:r>
      <w:r w:rsidR="004C3B8A">
        <w:rPr>
          <w:rFonts w:eastAsia="Times New Roman"/>
          <w:b w:val="0"/>
          <w:bCs/>
          <w:sz w:val="20"/>
          <w:szCs w:val="22"/>
        </w:rPr>
        <w:t>identified</w:t>
      </w:r>
      <w:r w:rsidR="00E41441" w:rsidRPr="00E41441">
        <w:rPr>
          <w:rFonts w:eastAsia="Times New Roman"/>
          <w:b w:val="0"/>
          <w:bCs/>
          <w:sz w:val="20"/>
          <w:szCs w:val="22"/>
        </w:rPr>
        <w:t xml:space="preserve"> requirement </w:t>
      </w:r>
      <w:r w:rsidR="004C3B8A">
        <w:rPr>
          <w:rFonts w:eastAsia="Times New Roman"/>
          <w:b w:val="0"/>
          <w:bCs/>
          <w:sz w:val="20"/>
          <w:szCs w:val="22"/>
        </w:rPr>
        <w:t>is</w:t>
      </w:r>
      <w:r w:rsidR="00E41441" w:rsidRPr="00E41441">
        <w:rPr>
          <w:rFonts w:eastAsia="Times New Roman"/>
          <w:b w:val="0"/>
          <w:bCs/>
          <w:sz w:val="20"/>
          <w:szCs w:val="22"/>
        </w:rPr>
        <w:t xml:space="preserve"> a letter of comfort from Ofgem</w:t>
      </w:r>
      <w:r w:rsidR="004D560B">
        <w:rPr>
          <w:rFonts w:eastAsia="Times New Roman"/>
          <w:b w:val="0"/>
          <w:bCs/>
          <w:sz w:val="20"/>
          <w:szCs w:val="22"/>
        </w:rPr>
        <w:t xml:space="preserve"> </w:t>
      </w:r>
      <w:r w:rsidR="00E41441" w:rsidRPr="00E41441">
        <w:rPr>
          <w:rFonts w:eastAsia="Times New Roman"/>
          <w:b w:val="0"/>
          <w:bCs/>
          <w:sz w:val="20"/>
          <w:szCs w:val="22"/>
        </w:rPr>
        <w:t>addressing the fit of the project into The Gas (Calculation of Thermal Energy)</w:t>
      </w:r>
      <w:r w:rsidR="004D560B">
        <w:rPr>
          <w:rFonts w:eastAsia="Times New Roman"/>
          <w:b w:val="0"/>
          <w:bCs/>
          <w:sz w:val="20"/>
          <w:szCs w:val="22"/>
        </w:rPr>
        <w:t xml:space="preserve"> </w:t>
      </w:r>
      <w:r w:rsidR="00E41441" w:rsidRPr="00E41441">
        <w:rPr>
          <w:rFonts w:eastAsia="Times New Roman"/>
          <w:b w:val="0"/>
          <w:bCs/>
          <w:sz w:val="20"/>
          <w:szCs w:val="22"/>
        </w:rPr>
        <w:t>Regulations 1996 (as amended)</w:t>
      </w:r>
      <w:r w:rsidR="00A40DC2">
        <w:rPr>
          <w:rFonts w:eastAsia="Times New Roman"/>
          <w:b w:val="0"/>
          <w:bCs/>
          <w:sz w:val="20"/>
          <w:szCs w:val="22"/>
        </w:rPr>
        <w:t xml:space="preserve">. A draft of this letter has been provided to Ofgem to satisfy </w:t>
      </w:r>
      <w:r w:rsidR="00981C9F">
        <w:rPr>
          <w:rFonts w:eastAsia="Times New Roman"/>
          <w:b w:val="0"/>
          <w:bCs/>
          <w:sz w:val="20"/>
          <w:szCs w:val="22"/>
        </w:rPr>
        <w:t>Q28a) of this Supplementary Question</w:t>
      </w:r>
      <w:r w:rsidR="00D312AF">
        <w:rPr>
          <w:rFonts w:eastAsia="Times New Roman"/>
          <w:b w:val="0"/>
          <w:bCs/>
          <w:sz w:val="20"/>
          <w:szCs w:val="22"/>
        </w:rPr>
        <w:t>, with further justification and context presented in our response to SQ24</w:t>
      </w:r>
      <w:r w:rsidR="00981C9F">
        <w:rPr>
          <w:rFonts w:eastAsia="Times New Roman"/>
          <w:b w:val="0"/>
          <w:bCs/>
          <w:sz w:val="20"/>
          <w:szCs w:val="22"/>
        </w:rPr>
        <w:t>.</w:t>
      </w:r>
      <w:r w:rsidR="00542A40">
        <w:rPr>
          <w:rFonts w:eastAsia="Times New Roman"/>
          <w:b w:val="0"/>
          <w:bCs/>
          <w:sz w:val="20"/>
          <w:szCs w:val="22"/>
        </w:rPr>
        <w:t xml:space="preserve"> </w:t>
      </w:r>
      <w:r w:rsidR="00542A40">
        <w:rPr>
          <w:rFonts w:eastAsia="Times New Roman"/>
          <w:b w:val="0"/>
          <w:bCs/>
          <w:sz w:val="20"/>
          <w:szCs w:val="22"/>
        </w:rPr>
        <w:br/>
        <w:t>W</w:t>
      </w:r>
      <w:r w:rsidR="00E41441" w:rsidRPr="00E41441">
        <w:rPr>
          <w:rFonts w:eastAsia="Times New Roman"/>
          <w:b w:val="0"/>
          <w:bCs/>
          <w:sz w:val="20"/>
          <w:szCs w:val="22"/>
        </w:rPr>
        <w:t>e have previously engaged with Ofgem to set out a spectrum of regulatory options at a</w:t>
      </w:r>
      <w:r w:rsidR="00D312AF">
        <w:rPr>
          <w:rFonts w:eastAsia="Times New Roman"/>
          <w:b w:val="0"/>
          <w:bCs/>
          <w:sz w:val="20"/>
          <w:szCs w:val="22"/>
        </w:rPr>
        <w:t xml:space="preserve"> </w:t>
      </w:r>
      <w:r w:rsidR="00E41441" w:rsidRPr="00E41441">
        <w:rPr>
          <w:rFonts w:eastAsia="Times New Roman"/>
          <w:b w:val="0"/>
          <w:bCs/>
          <w:sz w:val="20"/>
          <w:szCs w:val="22"/>
        </w:rPr>
        <w:t>meeting on 10</w:t>
      </w:r>
      <w:r w:rsidR="00E26CA1">
        <w:rPr>
          <w:rFonts w:eastAsia="Times New Roman"/>
          <w:b w:val="0"/>
          <w:bCs/>
          <w:sz w:val="20"/>
          <w:szCs w:val="22"/>
        </w:rPr>
        <w:t xml:space="preserve"> </w:t>
      </w:r>
      <w:r w:rsidR="00E41441" w:rsidRPr="00E41441">
        <w:rPr>
          <w:rFonts w:eastAsia="Times New Roman"/>
          <w:b w:val="0"/>
          <w:bCs/>
          <w:sz w:val="20"/>
          <w:szCs w:val="22"/>
        </w:rPr>
        <w:t>March 2020, following an introductory call on 16</w:t>
      </w:r>
      <w:r w:rsidR="00E26CA1">
        <w:rPr>
          <w:rFonts w:eastAsia="Times New Roman"/>
          <w:b w:val="0"/>
          <w:bCs/>
          <w:sz w:val="20"/>
          <w:szCs w:val="22"/>
        </w:rPr>
        <w:t xml:space="preserve"> </w:t>
      </w:r>
      <w:r w:rsidR="00E41441" w:rsidRPr="00E41441">
        <w:rPr>
          <w:rFonts w:eastAsia="Times New Roman"/>
          <w:b w:val="0"/>
          <w:bCs/>
          <w:sz w:val="20"/>
          <w:szCs w:val="22"/>
        </w:rPr>
        <w:t>September 2019.</w:t>
      </w:r>
      <w:r w:rsidR="00D312AF">
        <w:rPr>
          <w:rFonts w:eastAsia="Times New Roman"/>
          <w:b w:val="0"/>
          <w:bCs/>
          <w:sz w:val="20"/>
          <w:szCs w:val="22"/>
        </w:rPr>
        <w:t xml:space="preserve"> </w:t>
      </w:r>
      <w:r w:rsidR="00E26CA1">
        <w:rPr>
          <w:rFonts w:eastAsia="Times New Roman"/>
          <w:b w:val="0"/>
          <w:bCs/>
          <w:sz w:val="20"/>
          <w:szCs w:val="22"/>
        </w:rPr>
        <w:t xml:space="preserve">This optioneering exercise </w:t>
      </w:r>
      <w:r w:rsidR="009B4BBB">
        <w:rPr>
          <w:rFonts w:eastAsia="Times New Roman"/>
          <w:b w:val="0"/>
          <w:bCs/>
          <w:sz w:val="20"/>
          <w:szCs w:val="22"/>
        </w:rPr>
        <w:t>has been shared with individual</w:t>
      </w:r>
      <w:r w:rsidR="00A57CCD">
        <w:rPr>
          <w:rFonts w:eastAsia="Times New Roman"/>
          <w:b w:val="0"/>
          <w:bCs/>
          <w:sz w:val="20"/>
          <w:szCs w:val="22"/>
        </w:rPr>
        <w:t>s</w:t>
      </w:r>
      <w:r w:rsidR="009B4BBB">
        <w:rPr>
          <w:rFonts w:eastAsia="Times New Roman"/>
          <w:b w:val="0"/>
          <w:bCs/>
          <w:sz w:val="20"/>
          <w:szCs w:val="22"/>
        </w:rPr>
        <w:t xml:space="preserve"> at Ofgem to ensure our rationale and emerging </w:t>
      </w:r>
      <w:r w:rsidR="00A57CCD">
        <w:rPr>
          <w:rFonts w:eastAsia="Times New Roman"/>
          <w:b w:val="0"/>
          <w:bCs/>
          <w:sz w:val="20"/>
          <w:szCs w:val="22"/>
        </w:rPr>
        <w:t>conclusions have been transparent as they ha</w:t>
      </w:r>
      <w:r w:rsidR="00480AE7">
        <w:rPr>
          <w:rFonts w:eastAsia="Times New Roman"/>
          <w:b w:val="0"/>
          <w:bCs/>
          <w:sz w:val="20"/>
          <w:szCs w:val="22"/>
        </w:rPr>
        <w:t>ve developed</w:t>
      </w:r>
      <w:r w:rsidR="00A57CCD">
        <w:rPr>
          <w:rFonts w:eastAsia="Times New Roman"/>
          <w:b w:val="0"/>
          <w:bCs/>
          <w:sz w:val="20"/>
          <w:szCs w:val="22"/>
        </w:rPr>
        <w:t xml:space="preserve">. </w:t>
      </w:r>
      <w:r w:rsidR="00D312AF">
        <w:rPr>
          <w:rFonts w:eastAsia="Times New Roman"/>
          <w:b w:val="0"/>
          <w:bCs/>
          <w:sz w:val="20"/>
          <w:szCs w:val="22"/>
        </w:rPr>
        <w:t xml:space="preserve">There have been several inputs that have allowed us to </w:t>
      </w:r>
      <w:r w:rsidR="000C7E02">
        <w:rPr>
          <w:rFonts w:eastAsia="Times New Roman"/>
          <w:b w:val="0"/>
          <w:bCs/>
          <w:sz w:val="20"/>
          <w:szCs w:val="22"/>
        </w:rPr>
        <w:t>gain confidence that the presented regulatory Option 1 for the project is the best approach based on its simplicity</w:t>
      </w:r>
      <w:r w:rsidR="00C43655">
        <w:rPr>
          <w:rFonts w:eastAsia="Times New Roman"/>
          <w:b w:val="0"/>
          <w:bCs/>
          <w:sz w:val="20"/>
          <w:szCs w:val="22"/>
        </w:rPr>
        <w:t xml:space="preserve"> for the customer</w:t>
      </w:r>
      <w:r w:rsidR="0023623A">
        <w:rPr>
          <w:rFonts w:eastAsia="Times New Roman"/>
          <w:b w:val="0"/>
          <w:bCs/>
          <w:sz w:val="20"/>
          <w:szCs w:val="22"/>
        </w:rPr>
        <w:t>, timeliness</w:t>
      </w:r>
      <w:r w:rsidR="004D7301">
        <w:rPr>
          <w:rFonts w:eastAsia="Times New Roman"/>
          <w:b w:val="0"/>
          <w:bCs/>
          <w:sz w:val="20"/>
          <w:szCs w:val="22"/>
        </w:rPr>
        <w:t>, value for money</w:t>
      </w:r>
      <w:r w:rsidR="000C7E02">
        <w:rPr>
          <w:rFonts w:eastAsia="Times New Roman"/>
          <w:b w:val="0"/>
          <w:bCs/>
          <w:sz w:val="20"/>
          <w:szCs w:val="22"/>
        </w:rPr>
        <w:t xml:space="preserve"> and its ability to </w:t>
      </w:r>
      <w:r w:rsidR="00155720">
        <w:rPr>
          <w:rFonts w:eastAsia="Times New Roman"/>
          <w:b w:val="0"/>
          <w:bCs/>
          <w:sz w:val="20"/>
          <w:szCs w:val="22"/>
        </w:rPr>
        <w:t>ensure project compliance with licence conditions</w:t>
      </w:r>
      <w:r w:rsidR="00BD16FE">
        <w:rPr>
          <w:rFonts w:eastAsia="Times New Roman"/>
          <w:b w:val="0"/>
          <w:bCs/>
          <w:sz w:val="20"/>
          <w:szCs w:val="22"/>
        </w:rPr>
        <w:t xml:space="preserve"> and key legislation. </w:t>
      </w:r>
      <w:r w:rsidR="00530655">
        <w:rPr>
          <w:rFonts w:eastAsia="Times New Roman"/>
          <w:b w:val="0"/>
          <w:bCs/>
          <w:sz w:val="20"/>
          <w:szCs w:val="22"/>
        </w:rPr>
        <w:t xml:space="preserve">In 2019, we engaged with the University of Edinburgh </w:t>
      </w:r>
      <w:r w:rsidR="001475F6">
        <w:rPr>
          <w:rFonts w:eastAsia="Times New Roman"/>
          <w:b w:val="0"/>
          <w:bCs/>
          <w:sz w:val="20"/>
          <w:szCs w:val="22"/>
        </w:rPr>
        <w:t>to provide an academic review of the technical outputs under H100 NIA</w:t>
      </w:r>
      <w:r w:rsidR="004A74CC">
        <w:rPr>
          <w:rFonts w:eastAsia="Times New Roman"/>
          <w:b w:val="0"/>
          <w:bCs/>
          <w:sz w:val="20"/>
          <w:szCs w:val="22"/>
        </w:rPr>
        <w:t xml:space="preserve">. </w:t>
      </w:r>
      <w:r w:rsidR="009F47E5">
        <w:rPr>
          <w:rFonts w:eastAsia="Times New Roman"/>
          <w:b w:val="0"/>
          <w:bCs/>
          <w:sz w:val="20"/>
          <w:szCs w:val="22"/>
        </w:rPr>
        <w:t xml:space="preserve">Supplementary to this, </w:t>
      </w:r>
      <w:r w:rsidR="00F43799">
        <w:rPr>
          <w:rFonts w:eastAsia="Times New Roman"/>
          <w:b w:val="0"/>
          <w:bCs/>
          <w:sz w:val="20"/>
          <w:szCs w:val="22"/>
        </w:rPr>
        <w:t xml:space="preserve">University of Edinburgh were awarded the </w:t>
      </w:r>
      <w:r w:rsidR="0012206F">
        <w:rPr>
          <w:rFonts w:eastAsia="Times New Roman"/>
          <w:b w:val="0"/>
          <w:bCs/>
          <w:sz w:val="20"/>
          <w:szCs w:val="22"/>
        </w:rPr>
        <w:t>Hydrogen Commercial and Regulatory Alignment</w:t>
      </w:r>
      <w:r w:rsidR="00F43799">
        <w:rPr>
          <w:rFonts w:eastAsia="Times New Roman"/>
          <w:b w:val="0"/>
          <w:bCs/>
          <w:sz w:val="20"/>
          <w:szCs w:val="22"/>
        </w:rPr>
        <w:t xml:space="preserve"> element (</w:t>
      </w:r>
      <w:proofErr w:type="spellStart"/>
      <w:r w:rsidR="00F43799">
        <w:rPr>
          <w:rFonts w:eastAsia="Times New Roman"/>
          <w:b w:val="0"/>
          <w:bCs/>
          <w:sz w:val="20"/>
          <w:szCs w:val="22"/>
        </w:rPr>
        <w:t>HyCORAL</w:t>
      </w:r>
      <w:proofErr w:type="spellEnd"/>
      <w:r w:rsidR="00E74057">
        <w:rPr>
          <w:rFonts w:eastAsia="Times New Roman"/>
          <w:b w:val="0"/>
          <w:bCs/>
          <w:sz w:val="20"/>
          <w:szCs w:val="22"/>
        </w:rPr>
        <w:t>)</w:t>
      </w:r>
      <w:r w:rsidR="00B4075F">
        <w:rPr>
          <w:rFonts w:eastAsia="Times New Roman"/>
          <w:b w:val="0"/>
          <w:bCs/>
          <w:sz w:val="20"/>
          <w:szCs w:val="22"/>
        </w:rPr>
        <w:t xml:space="preserve"> </w:t>
      </w:r>
      <w:r w:rsidR="004D75DD">
        <w:rPr>
          <w:rFonts w:eastAsia="Times New Roman"/>
          <w:b w:val="0"/>
          <w:bCs/>
          <w:sz w:val="20"/>
          <w:szCs w:val="22"/>
        </w:rPr>
        <w:t>under H100 NIA, which delivered an</w:t>
      </w:r>
      <w:r w:rsidR="00B66369">
        <w:rPr>
          <w:rFonts w:eastAsia="Times New Roman"/>
          <w:b w:val="0"/>
          <w:bCs/>
          <w:sz w:val="20"/>
          <w:szCs w:val="22"/>
        </w:rPr>
        <w:t xml:space="preserve"> initial</w:t>
      </w:r>
      <w:r w:rsidR="00025903">
        <w:rPr>
          <w:rFonts w:eastAsia="Times New Roman"/>
          <w:b w:val="0"/>
          <w:bCs/>
          <w:sz w:val="20"/>
          <w:szCs w:val="22"/>
        </w:rPr>
        <w:t xml:space="preserve"> analysis of the commercial and regulatory options </w:t>
      </w:r>
      <w:r w:rsidR="009550AE">
        <w:rPr>
          <w:rFonts w:eastAsia="Times New Roman"/>
          <w:b w:val="0"/>
          <w:bCs/>
          <w:sz w:val="20"/>
          <w:szCs w:val="22"/>
        </w:rPr>
        <w:t>to consider</w:t>
      </w:r>
      <w:r w:rsidR="00025903">
        <w:rPr>
          <w:rFonts w:eastAsia="Times New Roman"/>
          <w:b w:val="0"/>
          <w:bCs/>
          <w:sz w:val="20"/>
          <w:szCs w:val="22"/>
        </w:rPr>
        <w:t xml:space="preserve"> for </w:t>
      </w:r>
      <w:r w:rsidR="009550AE">
        <w:rPr>
          <w:rFonts w:eastAsia="Times New Roman"/>
          <w:b w:val="0"/>
          <w:bCs/>
          <w:sz w:val="20"/>
          <w:szCs w:val="22"/>
        </w:rPr>
        <w:t xml:space="preserve">delivering </w:t>
      </w:r>
      <w:r w:rsidR="00025903">
        <w:rPr>
          <w:rFonts w:eastAsia="Times New Roman"/>
          <w:b w:val="0"/>
          <w:bCs/>
          <w:sz w:val="20"/>
          <w:szCs w:val="22"/>
        </w:rPr>
        <w:t>the project</w:t>
      </w:r>
      <w:r w:rsidR="00F22870">
        <w:rPr>
          <w:rFonts w:eastAsia="Times New Roman"/>
          <w:b w:val="0"/>
          <w:bCs/>
          <w:sz w:val="20"/>
          <w:szCs w:val="22"/>
        </w:rPr>
        <w:t xml:space="preserve">. This </w:t>
      </w:r>
      <w:r w:rsidR="00A63932">
        <w:rPr>
          <w:rFonts w:eastAsia="Times New Roman"/>
          <w:b w:val="0"/>
          <w:bCs/>
          <w:sz w:val="20"/>
          <w:szCs w:val="22"/>
        </w:rPr>
        <w:t xml:space="preserve">engaged the input from several key stakeholders through </w:t>
      </w:r>
      <w:r w:rsidR="002038C8">
        <w:rPr>
          <w:rFonts w:eastAsia="Times New Roman"/>
          <w:b w:val="0"/>
          <w:bCs/>
          <w:sz w:val="20"/>
          <w:szCs w:val="22"/>
        </w:rPr>
        <w:t xml:space="preserve">surveys </w:t>
      </w:r>
      <w:r w:rsidR="009550AE">
        <w:rPr>
          <w:rFonts w:eastAsia="Times New Roman"/>
          <w:b w:val="0"/>
          <w:bCs/>
          <w:sz w:val="20"/>
          <w:szCs w:val="22"/>
        </w:rPr>
        <w:t xml:space="preserve">and interviews, </w:t>
      </w:r>
      <w:r w:rsidR="002038C8">
        <w:rPr>
          <w:rFonts w:eastAsia="Times New Roman"/>
          <w:b w:val="0"/>
          <w:bCs/>
          <w:sz w:val="20"/>
          <w:szCs w:val="22"/>
        </w:rPr>
        <w:t xml:space="preserve">and </w:t>
      </w:r>
      <w:r w:rsidR="009550AE">
        <w:rPr>
          <w:rFonts w:eastAsia="Times New Roman"/>
          <w:b w:val="0"/>
          <w:bCs/>
          <w:sz w:val="20"/>
          <w:szCs w:val="22"/>
        </w:rPr>
        <w:t xml:space="preserve">subsequently </w:t>
      </w:r>
      <w:r w:rsidR="00626882">
        <w:rPr>
          <w:rFonts w:eastAsia="Times New Roman"/>
          <w:b w:val="0"/>
          <w:bCs/>
          <w:sz w:val="20"/>
          <w:szCs w:val="22"/>
        </w:rPr>
        <w:t xml:space="preserve">helped to shape the request for legal analysis of the regulatory options for the project. </w:t>
      </w:r>
      <w:r w:rsidR="00AA6BE5">
        <w:rPr>
          <w:rFonts w:eastAsia="Times New Roman"/>
          <w:b w:val="0"/>
          <w:bCs/>
          <w:sz w:val="20"/>
          <w:szCs w:val="22"/>
        </w:rPr>
        <w:t>As presented in the submission, t</w:t>
      </w:r>
      <w:r w:rsidR="00626882">
        <w:rPr>
          <w:rFonts w:eastAsia="Times New Roman"/>
          <w:b w:val="0"/>
          <w:bCs/>
          <w:sz w:val="20"/>
          <w:szCs w:val="22"/>
        </w:rPr>
        <w:t>he legal a</w:t>
      </w:r>
      <w:r w:rsidR="000C7C16">
        <w:rPr>
          <w:rFonts w:eastAsia="Times New Roman"/>
          <w:b w:val="0"/>
          <w:bCs/>
          <w:sz w:val="20"/>
          <w:szCs w:val="22"/>
        </w:rPr>
        <w:t xml:space="preserve">nalysis </w:t>
      </w:r>
      <w:r w:rsidR="00AA6BE5">
        <w:rPr>
          <w:rFonts w:eastAsia="Times New Roman"/>
          <w:b w:val="0"/>
          <w:bCs/>
          <w:sz w:val="20"/>
          <w:szCs w:val="22"/>
        </w:rPr>
        <w:t xml:space="preserve">was </w:t>
      </w:r>
      <w:r w:rsidR="000C7C16">
        <w:rPr>
          <w:rFonts w:eastAsia="Times New Roman"/>
          <w:b w:val="0"/>
          <w:bCs/>
          <w:sz w:val="20"/>
          <w:szCs w:val="22"/>
        </w:rPr>
        <w:t xml:space="preserve">undertaken by </w:t>
      </w:r>
      <w:r w:rsidR="00FF1E64">
        <w:rPr>
          <w:rFonts w:eastAsia="Times New Roman"/>
          <w:b w:val="0"/>
          <w:bCs/>
          <w:sz w:val="20"/>
          <w:szCs w:val="22"/>
        </w:rPr>
        <w:t>us</w:t>
      </w:r>
      <w:r w:rsidR="000C7C16">
        <w:rPr>
          <w:rFonts w:eastAsia="Times New Roman"/>
          <w:b w:val="0"/>
          <w:bCs/>
          <w:sz w:val="20"/>
          <w:szCs w:val="22"/>
        </w:rPr>
        <w:t xml:space="preserve"> with input from </w:t>
      </w:r>
      <w:proofErr w:type="spellStart"/>
      <w:r w:rsidR="000C7C16">
        <w:rPr>
          <w:rFonts w:eastAsia="Times New Roman"/>
          <w:b w:val="0"/>
          <w:bCs/>
          <w:sz w:val="20"/>
          <w:szCs w:val="22"/>
        </w:rPr>
        <w:t>Addleshaw</w:t>
      </w:r>
      <w:proofErr w:type="spellEnd"/>
      <w:r w:rsidR="000C7C16">
        <w:rPr>
          <w:rFonts w:eastAsia="Times New Roman"/>
          <w:b w:val="0"/>
          <w:bCs/>
          <w:sz w:val="20"/>
          <w:szCs w:val="22"/>
        </w:rPr>
        <w:t xml:space="preserve"> Goddard</w:t>
      </w:r>
      <w:r w:rsidR="003C2B00">
        <w:rPr>
          <w:rFonts w:eastAsia="Times New Roman"/>
          <w:b w:val="0"/>
          <w:bCs/>
          <w:sz w:val="20"/>
          <w:szCs w:val="22"/>
        </w:rPr>
        <w:t xml:space="preserve"> </w:t>
      </w:r>
      <w:r w:rsidR="00DC33D2">
        <w:rPr>
          <w:rFonts w:eastAsia="Times New Roman"/>
          <w:b w:val="0"/>
          <w:bCs/>
          <w:sz w:val="20"/>
          <w:szCs w:val="22"/>
        </w:rPr>
        <w:t>LLP</w:t>
      </w:r>
      <w:r w:rsidR="00D772C0">
        <w:rPr>
          <w:rFonts w:eastAsia="Times New Roman"/>
          <w:b w:val="0"/>
          <w:bCs/>
          <w:sz w:val="20"/>
          <w:szCs w:val="22"/>
        </w:rPr>
        <w:t xml:space="preserve">. Following this analysis, we have agreed with University of Edinburgh that the </w:t>
      </w:r>
      <w:proofErr w:type="spellStart"/>
      <w:r w:rsidR="00F56D96">
        <w:rPr>
          <w:rFonts w:eastAsia="Times New Roman"/>
          <w:b w:val="0"/>
          <w:bCs/>
          <w:sz w:val="20"/>
          <w:szCs w:val="22"/>
        </w:rPr>
        <w:t>HyCORAL</w:t>
      </w:r>
      <w:proofErr w:type="spellEnd"/>
      <w:r w:rsidR="00F56D96">
        <w:rPr>
          <w:rFonts w:eastAsia="Times New Roman"/>
          <w:b w:val="0"/>
          <w:bCs/>
          <w:sz w:val="20"/>
          <w:szCs w:val="22"/>
        </w:rPr>
        <w:t xml:space="preserve"> </w:t>
      </w:r>
      <w:r w:rsidR="00134C13">
        <w:rPr>
          <w:rFonts w:eastAsia="Times New Roman"/>
          <w:b w:val="0"/>
          <w:bCs/>
          <w:sz w:val="20"/>
          <w:szCs w:val="22"/>
        </w:rPr>
        <w:t xml:space="preserve">work </w:t>
      </w:r>
      <w:r w:rsidR="00236A61">
        <w:rPr>
          <w:rFonts w:eastAsia="Times New Roman"/>
          <w:b w:val="0"/>
          <w:bCs/>
          <w:sz w:val="20"/>
          <w:szCs w:val="22"/>
        </w:rPr>
        <w:t xml:space="preserve">will be updated to reflect the </w:t>
      </w:r>
      <w:r w:rsidR="0081760F">
        <w:rPr>
          <w:rFonts w:eastAsia="Times New Roman"/>
          <w:b w:val="0"/>
          <w:bCs/>
          <w:sz w:val="20"/>
          <w:szCs w:val="22"/>
        </w:rPr>
        <w:t xml:space="preserve">legal review </w:t>
      </w:r>
      <w:r w:rsidR="00C206D6">
        <w:rPr>
          <w:rFonts w:eastAsia="Times New Roman"/>
          <w:b w:val="0"/>
          <w:bCs/>
          <w:sz w:val="20"/>
          <w:szCs w:val="22"/>
        </w:rPr>
        <w:t>of the regulatory options for the project</w:t>
      </w:r>
      <w:r w:rsidR="009A2EF6">
        <w:rPr>
          <w:rFonts w:eastAsia="Times New Roman"/>
          <w:b w:val="0"/>
          <w:bCs/>
          <w:sz w:val="20"/>
          <w:szCs w:val="22"/>
        </w:rPr>
        <w:t xml:space="preserve"> and submitted for academic peer review in line with other technical aspects of the project, such as odorant</w:t>
      </w:r>
      <w:r w:rsidR="00DA3DAF">
        <w:rPr>
          <w:rFonts w:eastAsia="Times New Roman"/>
          <w:b w:val="0"/>
          <w:bCs/>
          <w:sz w:val="20"/>
          <w:szCs w:val="22"/>
        </w:rPr>
        <w:t>.</w:t>
      </w:r>
      <w:r w:rsidR="00F458E2">
        <w:rPr>
          <w:rFonts w:eastAsia="Times New Roman"/>
          <w:b w:val="0"/>
          <w:bCs/>
          <w:sz w:val="20"/>
          <w:szCs w:val="22"/>
        </w:rPr>
        <w:t xml:space="preserve"> </w:t>
      </w:r>
      <w:r w:rsidR="00DA3DAF">
        <w:rPr>
          <w:rFonts w:eastAsia="Times New Roman"/>
          <w:b w:val="0"/>
          <w:bCs/>
          <w:sz w:val="20"/>
          <w:szCs w:val="22"/>
        </w:rPr>
        <w:t xml:space="preserve">We feel that this approach to the commercial and regulatory complexities of the project </w:t>
      </w:r>
      <w:r w:rsidR="00F458E2">
        <w:rPr>
          <w:rFonts w:eastAsia="Times New Roman"/>
          <w:b w:val="0"/>
          <w:bCs/>
          <w:sz w:val="20"/>
          <w:szCs w:val="22"/>
        </w:rPr>
        <w:t>deliver</w:t>
      </w:r>
      <w:r w:rsidR="005E1CF8">
        <w:rPr>
          <w:rFonts w:eastAsia="Times New Roman"/>
          <w:b w:val="0"/>
          <w:bCs/>
          <w:sz w:val="20"/>
          <w:szCs w:val="22"/>
        </w:rPr>
        <w:t>s</w:t>
      </w:r>
      <w:r w:rsidR="00F458E2">
        <w:rPr>
          <w:rFonts w:eastAsia="Times New Roman"/>
          <w:b w:val="0"/>
          <w:bCs/>
          <w:sz w:val="20"/>
          <w:szCs w:val="22"/>
        </w:rPr>
        <w:t xml:space="preserve"> a</w:t>
      </w:r>
      <w:r w:rsidR="00B901E3">
        <w:rPr>
          <w:rFonts w:eastAsia="Times New Roman"/>
          <w:b w:val="0"/>
          <w:bCs/>
          <w:sz w:val="20"/>
          <w:szCs w:val="22"/>
        </w:rPr>
        <w:t xml:space="preserve"> </w:t>
      </w:r>
      <w:r w:rsidR="00956205">
        <w:rPr>
          <w:rFonts w:eastAsia="Times New Roman"/>
          <w:b w:val="0"/>
          <w:bCs/>
          <w:sz w:val="20"/>
          <w:szCs w:val="22"/>
        </w:rPr>
        <w:t>credible</w:t>
      </w:r>
      <w:r w:rsidR="00B901E3">
        <w:rPr>
          <w:rFonts w:eastAsia="Times New Roman"/>
          <w:b w:val="0"/>
          <w:bCs/>
          <w:sz w:val="20"/>
          <w:szCs w:val="22"/>
        </w:rPr>
        <w:t xml:space="preserve"> </w:t>
      </w:r>
      <w:r w:rsidR="005E1CF8">
        <w:rPr>
          <w:rFonts w:eastAsia="Times New Roman"/>
          <w:b w:val="0"/>
          <w:bCs/>
          <w:sz w:val="20"/>
          <w:szCs w:val="22"/>
        </w:rPr>
        <w:t>methodology</w:t>
      </w:r>
      <w:r w:rsidR="00DA3DAF">
        <w:rPr>
          <w:rFonts w:eastAsia="Times New Roman"/>
          <w:b w:val="0"/>
          <w:bCs/>
          <w:sz w:val="20"/>
          <w:szCs w:val="22"/>
        </w:rPr>
        <w:t xml:space="preserve"> that has both been legally and academical</w:t>
      </w:r>
      <w:r w:rsidR="005E1CF8">
        <w:rPr>
          <w:rFonts w:eastAsia="Times New Roman"/>
          <w:b w:val="0"/>
          <w:bCs/>
          <w:sz w:val="20"/>
          <w:szCs w:val="22"/>
        </w:rPr>
        <w:t>ly</w:t>
      </w:r>
      <w:r w:rsidR="00DA3DAF">
        <w:rPr>
          <w:rFonts w:eastAsia="Times New Roman"/>
          <w:b w:val="0"/>
          <w:bCs/>
          <w:sz w:val="20"/>
          <w:szCs w:val="22"/>
        </w:rPr>
        <w:t xml:space="preserve"> assessed</w:t>
      </w:r>
      <w:r w:rsidR="00C206D6">
        <w:rPr>
          <w:rFonts w:eastAsia="Times New Roman"/>
          <w:b w:val="0"/>
          <w:bCs/>
          <w:sz w:val="20"/>
          <w:szCs w:val="22"/>
        </w:rPr>
        <w:t>.</w:t>
      </w:r>
      <w:r w:rsidR="00DC33D2">
        <w:rPr>
          <w:rFonts w:eastAsia="Times New Roman"/>
          <w:b w:val="0"/>
          <w:bCs/>
          <w:sz w:val="20"/>
          <w:szCs w:val="22"/>
        </w:rPr>
        <w:t xml:space="preserve"> </w:t>
      </w:r>
      <w:r w:rsidR="00C206D6">
        <w:rPr>
          <w:rFonts w:eastAsia="Times New Roman"/>
          <w:b w:val="0"/>
          <w:bCs/>
          <w:sz w:val="20"/>
          <w:szCs w:val="22"/>
        </w:rPr>
        <w:t>A</w:t>
      </w:r>
      <w:r w:rsidR="001D01E5">
        <w:rPr>
          <w:rFonts w:eastAsia="Times New Roman"/>
          <w:b w:val="0"/>
          <w:bCs/>
          <w:sz w:val="20"/>
          <w:szCs w:val="22"/>
        </w:rPr>
        <w:t xml:space="preserve">nother </w:t>
      </w:r>
      <w:r w:rsidR="005E1CF8">
        <w:rPr>
          <w:rFonts w:eastAsia="Times New Roman"/>
          <w:b w:val="0"/>
          <w:bCs/>
          <w:sz w:val="20"/>
          <w:szCs w:val="22"/>
        </w:rPr>
        <w:t>key</w:t>
      </w:r>
      <w:r w:rsidR="003C2B00">
        <w:rPr>
          <w:rFonts w:eastAsia="Times New Roman"/>
          <w:b w:val="0"/>
          <w:bCs/>
          <w:sz w:val="20"/>
          <w:szCs w:val="22"/>
        </w:rPr>
        <w:t xml:space="preserve"> input has been our engagement with the shipp</w:t>
      </w:r>
      <w:r w:rsidR="00883525">
        <w:rPr>
          <w:rFonts w:eastAsia="Times New Roman"/>
          <w:b w:val="0"/>
          <w:bCs/>
          <w:sz w:val="20"/>
          <w:szCs w:val="22"/>
        </w:rPr>
        <w:t>ing</w:t>
      </w:r>
      <w:r w:rsidR="003C2B00">
        <w:rPr>
          <w:rFonts w:eastAsia="Times New Roman"/>
          <w:b w:val="0"/>
          <w:bCs/>
          <w:sz w:val="20"/>
          <w:szCs w:val="22"/>
        </w:rPr>
        <w:t xml:space="preserve"> community </w:t>
      </w:r>
      <w:r w:rsidR="00B41884">
        <w:rPr>
          <w:rFonts w:eastAsia="Times New Roman"/>
          <w:b w:val="0"/>
          <w:bCs/>
          <w:sz w:val="20"/>
          <w:szCs w:val="22"/>
        </w:rPr>
        <w:t xml:space="preserve">in order </w:t>
      </w:r>
      <w:r w:rsidR="003C2B00">
        <w:rPr>
          <w:rFonts w:eastAsia="Times New Roman"/>
          <w:b w:val="0"/>
          <w:bCs/>
          <w:sz w:val="20"/>
          <w:szCs w:val="22"/>
        </w:rPr>
        <w:t xml:space="preserve">to </w:t>
      </w:r>
      <w:r w:rsidR="007B47AF">
        <w:rPr>
          <w:rFonts w:eastAsia="Times New Roman"/>
          <w:b w:val="0"/>
          <w:bCs/>
          <w:sz w:val="20"/>
          <w:szCs w:val="22"/>
        </w:rPr>
        <w:t xml:space="preserve">test the appetite of </w:t>
      </w:r>
      <w:r w:rsidR="001C7FE8">
        <w:rPr>
          <w:rFonts w:eastAsia="Times New Roman"/>
          <w:b w:val="0"/>
          <w:bCs/>
          <w:sz w:val="20"/>
          <w:szCs w:val="22"/>
        </w:rPr>
        <w:t>involving a shipper in a hydrogen end to end demonstration</w:t>
      </w:r>
      <w:r w:rsidR="00420929">
        <w:rPr>
          <w:rFonts w:eastAsia="Times New Roman"/>
          <w:b w:val="0"/>
          <w:bCs/>
          <w:sz w:val="20"/>
          <w:szCs w:val="22"/>
        </w:rPr>
        <w:t xml:space="preserve"> </w:t>
      </w:r>
      <w:r w:rsidR="00B84E6D">
        <w:rPr>
          <w:rFonts w:eastAsia="Times New Roman"/>
          <w:b w:val="0"/>
          <w:bCs/>
          <w:sz w:val="20"/>
          <w:szCs w:val="22"/>
        </w:rPr>
        <w:t>and whether our emerging thinking around Option 1 would be a viable proposal for a third-party shipper to participate in</w:t>
      </w:r>
      <w:r w:rsidR="001C7FE8">
        <w:rPr>
          <w:rFonts w:eastAsia="Times New Roman"/>
          <w:b w:val="0"/>
          <w:bCs/>
          <w:sz w:val="20"/>
          <w:szCs w:val="22"/>
        </w:rPr>
        <w:t>.</w:t>
      </w:r>
      <w:r w:rsidR="00B84E6D">
        <w:rPr>
          <w:rFonts w:eastAsia="Times New Roman"/>
          <w:b w:val="0"/>
          <w:bCs/>
          <w:sz w:val="20"/>
          <w:szCs w:val="22"/>
        </w:rPr>
        <w:t xml:space="preserve"> </w:t>
      </w:r>
      <w:r w:rsidR="001C7FE8">
        <w:rPr>
          <w:rFonts w:eastAsia="Times New Roman"/>
          <w:b w:val="0"/>
          <w:bCs/>
          <w:sz w:val="20"/>
          <w:szCs w:val="22"/>
        </w:rPr>
        <w:t xml:space="preserve">The response to this </w:t>
      </w:r>
      <w:r w:rsidR="00697AEF">
        <w:rPr>
          <w:rFonts w:eastAsia="Times New Roman"/>
          <w:b w:val="0"/>
          <w:bCs/>
          <w:sz w:val="20"/>
          <w:szCs w:val="22"/>
        </w:rPr>
        <w:t>has been</w:t>
      </w:r>
      <w:r w:rsidR="001C7FE8">
        <w:rPr>
          <w:rFonts w:eastAsia="Times New Roman"/>
          <w:b w:val="0"/>
          <w:bCs/>
          <w:sz w:val="20"/>
          <w:szCs w:val="22"/>
        </w:rPr>
        <w:t xml:space="preserve"> positive </w:t>
      </w:r>
      <w:r w:rsidR="00697AEF">
        <w:rPr>
          <w:rFonts w:eastAsia="Times New Roman"/>
          <w:b w:val="0"/>
          <w:bCs/>
          <w:sz w:val="20"/>
          <w:szCs w:val="22"/>
        </w:rPr>
        <w:t xml:space="preserve">from the shipping community who </w:t>
      </w:r>
      <w:r w:rsidR="00B45379">
        <w:rPr>
          <w:rFonts w:eastAsia="Times New Roman"/>
          <w:b w:val="0"/>
          <w:bCs/>
          <w:sz w:val="20"/>
          <w:szCs w:val="22"/>
        </w:rPr>
        <w:t xml:space="preserve">recognise </w:t>
      </w:r>
      <w:r w:rsidR="003A4015">
        <w:rPr>
          <w:rFonts w:eastAsia="Times New Roman"/>
          <w:b w:val="0"/>
          <w:bCs/>
          <w:sz w:val="20"/>
          <w:szCs w:val="22"/>
        </w:rPr>
        <w:t xml:space="preserve">the need to decarbonise and </w:t>
      </w:r>
      <w:r w:rsidR="00526798">
        <w:rPr>
          <w:rFonts w:eastAsia="Times New Roman"/>
          <w:b w:val="0"/>
          <w:bCs/>
          <w:sz w:val="20"/>
          <w:szCs w:val="22"/>
        </w:rPr>
        <w:t>the need for</w:t>
      </w:r>
      <w:r w:rsidR="0078278E">
        <w:rPr>
          <w:rFonts w:eastAsia="Times New Roman"/>
          <w:b w:val="0"/>
          <w:bCs/>
          <w:sz w:val="20"/>
          <w:szCs w:val="22"/>
        </w:rPr>
        <w:t xml:space="preserve"> the supply chain </w:t>
      </w:r>
      <w:r w:rsidR="002B4E93">
        <w:rPr>
          <w:rFonts w:eastAsia="Times New Roman"/>
          <w:b w:val="0"/>
          <w:bCs/>
          <w:sz w:val="20"/>
          <w:szCs w:val="22"/>
        </w:rPr>
        <w:t>to sup</w:t>
      </w:r>
      <w:r w:rsidR="00204A50">
        <w:rPr>
          <w:rFonts w:eastAsia="Times New Roman"/>
          <w:b w:val="0"/>
          <w:bCs/>
          <w:sz w:val="20"/>
          <w:szCs w:val="22"/>
        </w:rPr>
        <w:t>port subject to not being disadvantaged in doing so</w:t>
      </w:r>
      <w:r w:rsidR="0078278E">
        <w:rPr>
          <w:rFonts w:eastAsia="Times New Roman"/>
          <w:b w:val="0"/>
          <w:bCs/>
          <w:sz w:val="20"/>
          <w:szCs w:val="22"/>
        </w:rPr>
        <w:t>.</w:t>
      </w:r>
      <w:r w:rsidR="00802B29">
        <w:rPr>
          <w:rFonts w:eastAsia="Times New Roman"/>
          <w:b w:val="0"/>
          <w:bCs/>
          <w:sz w:val="20"/>
          <w:szCs w:val="22"/>
        </w:rPr>
        <w:t xml:space="preserve"> </w:t>
      </w:r>
    </w:p>
    <w:p w14:paraId="39C291A4" w14:textId="58EFEF50" w:rsidR="00D137D5" w:rsidRPr="00D137D5" w:rsidRDefault="00BD16FE" w:rsidP="00D137D5">
      <w:pPr>
        <w:pStyle w:val="Heading2"/>
        <w:rPr>
          <w:rFonts w:eastAsia="Times New Roman"/>
          <w:b w:val="0"/>
          <w:bCs/>
          <w:sz w:val="20"/>
          <w:szCs w:val="22"/>
        </w:rPr>
      </w:pPr>
      <w:r>
        <w:rPr>
          <w:rFonts w:eastAsia="Times New Roman"/>
          <w:b w:val="0"/>
          <w:bCs/>
          <w:sz w:val="20"/>
          <w:szCs w:val="22"/>
        </w:rPr>
        <w:lastRenderedPageBreak/>
        <w:t xml:space="preserve">We believe the proposed regulatory model </w:t>
      </w:r>
      <w:r w:rsidR="00966BD1">
        <w:rPr>
          <w:rFonts w:eastAsia="Times New Roman"/>
          <w:b w:val="0"/>
          <w:bCs/>
          <w:sz w:val="20"/>
          <w:szCs w:val="22"/>
        </w:rPr>
        <w:t xml:space="preserve">provides </w:t>
      </w:r>
      <w:r w:rsidR="00226161">
        <w:rPr>
          <w:rFonts w:eastAsia="Times New Roman"/>
          <w:b w:val="0"/>
          <w:bCs/>
          <w:sz w:val="20"/>
          <w:szCs w:val="22"/>
        </w:rPr>
        <w:t xml:space="preserve">full </w:t>
      </w:r>
      <w:r w:rsidR="00966BD1">
        <w:rPr>
          <w:rFonts w:eastAsia="Times New Roman"/>
          <w:b w:val="0"/>
          <w:bCs/>
          <w:sz w:val="20"/>
          <w:szCs w:val="22"/>
        </w:rPr>
        <w:t>visibility of the end to end process for regulatory arrangements across a hydrogen system</w:t>
      </w:r>
      <w:r w:rsidR="00226161">
        <w:rPr>
          <w:rFonts w:eastAsia="Times New Roman"/>
          <w:b w:val="0"/>
          <w:bCs/>
          <w:sz w:val="20"/>
          <w:szCs w:val="22"/>
        </w:rPr>
        <w:t xml:space="preserve">, which could </w:t>
      </w:r>
      <w:r w:rsidR="00966BD1">
        <w:rPr>
          <w:rFonts w:eastAsia="Times New Roman"/>
          <w:b w:val="0"/>
          <w:bCs/>
          <w:sz w:val="20"/>
          <w:szCs w:val="22"/>
        </w:rPr>
        <w:t xml:space="preserve">inform future regulatory models </w:t>
      </w:r>
      <w:r w:rsidR="005B246D">
        <w:rPr>
          <w:rFonts w:eastAsia="Times New Roman"/>
          <w:b w:val="0"/>
          <w:bCs/>
          <w:sz w:val="20"/>
          <w:szCs w:val="22"/>
        </w:rPr>
        <w:t>that will require mapping for the decarbonisation of energy systems as new technologies are implemented.</w:t>
      </w:r>
    </w:p>
    <w:p w14:paraId="4550620F" w14:textId="33ED54B8" w:rsidR="00D137D5" w:rsidRPr="00220EB2" w:rsidRDefault="00103AA7" w:rsidP="00D137D5">
      <w:r>
        <w:t xml:space="preserve">The justification for proceeding with Option 1 is </w:t>
      </w:r>
      <w:r w:rsidR="00CB6BE4">
        <w:t xml:space="preserve">captured across a variety of </w:t>
      </w:r>
      <w:r w:rsidR="007C0C6D">
        <w:t>drivers</w:t>
      </w:r>
      <w:r w:rsidR="008E218C">
        <w:t xml:space="preserve"> that shape the delivery, success and attractiveness of the project. </w:t>
      </w:r>
      <w:r w:rsidR="007C0C6D">
        <w:t xml:space="preserve">Each of these is discussed in turn below. </w:t>
      </w:r>
      <w:r w:rsidR="00B46182">
        <w:t>T</w:t>
      </w:r>
      <w:r w:rsidR="00D137D5">
        <w:t xml:space="preserve">he </w:t>
      </w:r>
      <w:r w:rsidR="00B46182">
        <w:t xml:space="preserve">outcome of the </w:t>
      </w:r>
      <w:r w:rsidR="00D137D5">
        <w:t>optioneering undertaken identifi</w:t>
      </w:r>
      <w:r w:rsidR="00B46182">
        <w:t>ed</w:t>
      </w:r>
      <w:r w:rsidR="00D137D5">
        <w:t xml:space="preserve"> Option 1 as a clear frontrunner </w:t>
      </w:r>
      <w:r w:rsidR="00B46182">
        <w:t>due to the barriers</w:t>
      </w:r>
      <w:r w:rsidR="00E23E99">
        <w:t xml:space="preserve"> presented by Options 2 &amp; 3. F</w:t>
      </w:r>
      <w:r w:rsidR="000226E0">
        <w:t xml:space="preserve">urther extensive details of evidence for Option 2 and Option 3 </w:t>
      </w:r>
      <w:r w:rsidR="00883525">
        <w:t xml:space="preserve">that have already been discounted, </w:t>
      </w:r>
      <w:r w:rsidR="000226E0">
        <w:t>would require</w:t>
      </w:r>
      <w:r w:rsidR="00F50BE5">
        <w:t xml:space="preserve"> additional work to be undertaken beyond what has already been provided in response to SQ</w:t>
      </w:r>
      <w:r w:rsidR="0013009C">
        <w:t>25</w:t>
      </w:r>
      <w:r w:rsidR="002E39FF">
        <w:t>.</w:t>
      </w:r>
      <w:r w:rsidR="005C6BC5">
        <w:t xml:space="preserve"> </w:t>
      </w:r>
    </w:p>
    <w:p w14:paraId="5FD273BA" w14:textId="69CE68AD" w:rsidR="00CF5DAE" w:rsidRPr="00CF5DAE" w:rsidRDefault="00CF5DAE" w:rsidP="00CF5DAE"/>
    <w:p w14:paraId="7F5D1856" w14:textId="4BA4DD91" w:rsidR="000073AB" w:rsidRDefault="000073AB" w:rsidP="006F4EB3">
      <w:pPr>
        <w:rPr>
          <w:u w:val="single"/>
        </w:rPr>
      </w:pPr>
      <w:r w:rsidRPr="006F4EB3">
        <w:rPr>
          <w:u w:val="single"/>
        </w:rPr>
        <w:t>Customer</w:t>
      </w:r>
      <w:r w:rsidR="00EB23C0">
        <w:rPr>
          <w:u w:val="single"/>
        </w:rPr>
        <w:t xml:space="preserve">, </w:t>
      </w:r>
      <w:r w:rsidR="00B306E8">
        <w:rPr>
          <w:u w:val="single"/>
        </w:rPr>
        <w:t>Cost</w:t>
      </w:r>
      <w:r w:rsidR="00EB23C0">
        <w:rPr>
          <w:u w:val="single"/>
        </w:rPr>
        <w:t xml:space="preserve"> &amp; Time</w:t>
      </w:r>
    </w:p>
    <w:p w14:paraId="41E9F2D2" w14:textId="77777777" w:rsidR="004329BA" w:rsidRDefault="004B6575" w:rsidP="00B304AA">
      <w:r>
        <w:t xml:space="preserve">The customer </w:t>
      </w:r>
      <w:r w:rsidR="00883525">
        <w:t xml:space="preserve">experience </w:t>
      </w:r>
      <w:r w:rsidR="00417138">
        <w:t>is essential to the success of the project</w:t>
      </w:r>
      <w:r w:rsidR="007D6B5A">
        <w:t>, therefore i</w:t>
      </w:r>
      <w:r w:rsidR="00E145F3">
        <w:t>n developing our proposal for a regulatory model</w:t>
      </w:r>
      <w:r w:rsidR="00477FBB">
        <w:t>, we have worked to ensure that the customer is</w:t>
      </w:r>
      <w:r>
        <w:t xml:space="preserve"> </w:t>
      </w:r>
      <w:r w:rsidR="009643B6">
        <w:t>protected,</w:t>
      </w:r>
      <w:r w:rsidR="00477FBB">
        <w:t xml:space="preserve"> and an arrangement is reached that will allow for simplicity by mirroring existing</w:t>
      </w:r>
      <w:r w:rsidR="00151743">
        <w:t xml:space="preserve"> arrangements as far as possible. Under Option 1, </w:t>
      </w:r>
      <w:r w:rsidR="00F82307">
        <w:t>the customer will be offered the opportunity to participate through the opt-in process</w:t>
      </w:r>
      <w:r w:rsidR="004E7F87">
        <w:t xml:space="preserve">. This will be the only </w:t>
      </w:r>
      <w:r w:rsidR="00417138">
        <w:t>consent</w:t>
      </w:r>
      <w:r w:rsidR="004E7F87">
        <w:t xml:space="preserve"> that will require their </w:t>
      </w:r>
      <w:r w:rsidR="0026573E">
        <w:t>time -</w:t>
      </w:r>
      <w:r w:rsidR="004E7F87">
        <w:t xml:space="preserve"> all other aspects are </w:t>
      </w:r>
      <w:r w:rsidR="00614DD6">
        <w:t xml:space="preserve">to be managed on behalf of the customer. This includes the commodity balancing mechanism </w:t>
      </w:r>
      <w:r w:rsidR="00BF39DA">
        <w:t>(discussed in detail in Section 3.2.2</w:t>
      </w:r>
      <w:r w:rsidR="00635155">
        <w:t xml:space="preserve"> and Section 8</w:t>
      </w:r>
      <w:r w:rsidR="00BF39DA">
        <w:t xml:space="preserve"> of the submission</w:t>
      </w:r>
      <w:r w:rsidR="00635155">
        <w:t xml:space="preserve">, and </w:t>
      </w:r>
      <w:r w:rsidR="00291C30">
        <w:t xml:space="preserve">referenced </w:t>
      </w:r>
      <w:r w:rsidR="00635155">
        <w:t xml:space="preserve">in our </w:t>
      </w:r>
      <w:r w:rsidR="00AF7109">
        <w:t xml:space="preserve">responses to SQ7, </w:t>
      </w:r>
      <w:r w:rsidR="00291C30">
        <w:t>SQ9,</w:t>
      </w:r>
      <w:r w:rsidR="00C744BC">
        <w:t xml:space="preserve"> SQ12</w:t>
      </w:r>
      <w:r w:rsidR="0015435D">
        <w:t xml:space="preserve"> &amp;</w:t>
      </w:r>
      <w:r w:rsidR="00C744BC">
        <w:t xml:space="preserve"> </w:t>
      </w:r>
      <w:r w:rsidR="004A4E6B">
        <w:t>SQ13</w:t>
      </w:r>
      <w:r w:rsidR="00BF39DA">
        <w:t xml:space="preserve">) </w:t>
      </w:r>
      <w:r w:rsidR="00614DD6">
        <w:t xml:space="preserve">that allows the customer to receive a hydrogen supply without being </w:t>
      </w:r>
      <w:r w:rsidR="00B7640E">
        <w:t>disadvantaged</w:t>
      </w:r>
      <w:r w:rsidR="00614DD6">
        <w:t xml:space="preserve"> by </w:t>
      </w:r>
      <w:r w:rsidR="00AB7A3A">
        <w:t xml:space="preserve">the increased </w:t>
      </w:r>
      <w:r w:rsidR="00105452">
        <w:t xml:space="preserve">production </w:t>
      </w:r>
      <w:r w:rsidR="00AB7A3A">
        <w:t xml:space="preserve">cost associated with a ‘first of a kind’ demonstrator. </w:t>
      </w:r>
      <w:r w:rsidR="00F52120">
        <w:t>This cost neutral balancing exercise will no</w:t>
      </w:r>
      <w:r w:rsidR="0026573E">
        <w:t>t</w:t>
      </w:r>
      <w:r w:rsidR="00F52120">
        <w:t xml:space="preserve"> require any reporting or management by the customer</w:t>
      </w:r>
      <w:r w:rsidR="001765B1">
        <w:t>, although we will collect relevant information pertaining to attitude towards hydrogen, experience of participation or reasons for non-participation</w:t>
      </w:r>
      <w:r w:rsidR="00F52120">
        <w:t>.</w:t>
      </w:r>
      <w:r w:rsidR="001765B1">
        <w:t xml:space="preserve"> T</w:t>
      </w:r>
      <w:r w:rsidR="00C83E9E">
        <w:t xml:space="preserve">he customer will be able to retain their existing supplier if they changeover to hydrogen </w:t>
      </w:r>
      <w:r w:rsidR="00CB0ACF">
        <w:t>and/</w:t>
      </w:r>
      <w:r w:rsidR="00C83E9E">
        <w:t xml:space="preserve">or </w:t>
      </w:r>
      <w:r w:rsidR="00CB0ACF">
        <w:t xml:space="preserve">retain the option to </w:t>
      </w:r>
      <w:r w:rsidR="00C83E9E">
        <w:t xml:space="preserve">change suppliers if they want to. </w:t>
      </w:r>
    </w:p>
    <w:p w14:paraId="124F2B15" w14:textId="77777777" w:rsidR="004329BA" w:rsidRDefault="004329BA" w:rsidP="00B304AA"/>
    <w:p w14:paraId="444A5AE0" w14:textId="77777777" w:rsidR="004F6601" w:rsidRDefault="00B36783" w:rsidP="00B304AA">
      <w:r>
        <w:t xml:space="preserve">Under Option 2 or Option 3, there would be further </w:t>
      </w:r>
      <w:r w:rsidR="0059119C">
        <w:t xml:space="preserve">complexity added to the customer interaction by the </w:t>
      </w:r>
      <w:r w:rsidR="00D32C80">
        <w:t xml:space="preserve">more onerous </w:t>
      </w:r>
      <w:r w:rsidR="0059119C">
        <w:t>requirement for SGN to handle, process and stor</w:t>
      </w:r>
      <w:r w:rsidR="00A03548">
        <w:t>e</w:t>
      </w:r>
      <w:r w:rsidR="0059119C">
        <w:t xml:space="preserve"> customer </w:t>
      </w:r>
      <w:r w:rsidR="0064212D">
        <w:t xml:space="preserve">financial </w:t>
      </w:r>
      <w:r w:rsidR="0059119C">
        <w:t xml:space="preserve">data and the associated obligations of GDPR. </w:t>
      </w:r>
      <w:r w:rsidR="003516DB">
        <w:t>This ma</w:t>
      </w:r>
      <w:r w:rsidR="006532A1">
        <w:t>y deter customers from participating in the project,</w:t>
      </w:r>
      <w:r w:rsidR="004C65E1">
        <w:t xml:space="preserve"> and as a result distort the measurement and validation of customer acceptance of hydrogen</w:t>
      </w:r>
      <w:r w:rsidR="006532A1">
        <w:t xml:space="preserve">. </w:t>
      </w:r>
    </w:p>
    <w:p w14:paraId="4B944FAA" w14:textId="4C0426C5" w:rsidR="00B670AA" w:rsidRDefault="004F6601" w:rsidP="00B670AA">
      <w:pPr>
        <w:spacing w:after="240"/>
      </w:pPr>
      <w:r>
        <w:lastRenderedPageBreak/>
        <w:t xml:space="preserve">The appointment of a third-party shipper into the project will allow this shipper to participate in selling gas to suppliers in the same way they would for natural gas. </w:t>
      </w:r>
      <w:r w:rsidR="004329BA">
        <w:t>T</w:t>
      </w:r>
      <w:r w:rsidR="00AD14A5">
        <w:t xml:space="preserve">he use of an experienced third-party </w:t>
      </w:r>
      <w:r w:rsidR="00AD14A5" w:rsidRPr="009E53E4">
        <w:t xml:space="preserve">shipper would remove any </w:t>
      </w:r>
      <w:r w:rsidR="00AD2CB1" w:rsidRPr="009E53E4">
        <w:t>risk within</w:t>
      </w:r>
      <w:r w:rsidR="00AD14A5" w:rsidRPr="009E53E4">
        <w:t xml:space="preserve"> the process and </w:t>
      </w:r>
      <w:r w:rsidR="00AD2CB1" w:rsidRPr="009E53E4">
        <w:t>provide a true t</w:t>
      </w:r>
      <w:r w:rsidR="0008413D" w:rsidRPr="009E53E4">
        <w:t>e</w:t>
      </w:r>
      <w:r w:rsidR="00AD2CB1" w:rsidRPr="009E53E4">
        <w:t>st of the current regulatory arrangements.</w:t>
      </w:r>
      <w:r w:rsidR="00AD14A5" w:rsidRPr="009E53E4">
        <w:t> In addition, should any problems arise which necessitate</w:t>
      </w:r>
      <w:r w:rsidR="0008413D" w:rsidRPr="009E53E4">
        <w:t xml:space="preserve"> </w:t>
      </w:r>
      <w:r w:rsidR="00AD14A5" w:rsidRPr="009E53E4">
        <w:t>process change, these</w:t>
      </w:r>
      <w:r w:rsidR="00C35DCE" w:rsidRPr="009E53E4">
        <w:t xml:space="preserve"> could </w:t>
      </w:r>
      <w:r w:rsidR="00AD14A5" w:rsidRPr="009E53E4">
        <w:t>be better handled through the shipper processes</w:t>
      </w:r>
      <w:r w:rsidR="00C35DCE" w:rsidRPr="009E53E4">
        <w:t>.</w:t>
      </w:r>
      <w:r w:rsidR="00825F2E" w:rsidRPr="009E53E4">
        <w:t xml:space="preserve"> Option 1 drives market competition to deliver the best service </w:t>
      </w:r>
      <w:r w:rsidR="004705B1" w:rsidRPr="009E53E4">
        <w:t>and avoids risking the customer experience by SGN undertaking a role that is not tried and tested.</w:t>
      </w:r>
      <w:r w:rsidR="002E2B83" w:rsidRPr="009E53E4">
        <w:rPr>
          <w:rStyle w:val="normaltextrun"/>
          <w:rFonts w:cs="Calibri"/>
          <w:szCs w:val="20"/>
        </w:rPr>
        <w:t xml:space="preserve"> We have structured the project to ensure value for the end consumer and interested parties,</w:t>
      </w:r>
      <w:r w:rsidR="002E2B83" w:rsidRPr="00DE05F0">
        <w:rPr>
          <w:rStyle w:val="normaltextrun"/>
          <w:rFonts w:cs="Calibri"/>
          <w:szCs w:val="20"/>
        </w:rPr>
        <w:t xml:space="preserve"> and this is reflected in the optioneering for the regulatory model.</w:t>
      </w:r>
    </w:p>
    <w:p w14:paraId="425E46F5" w14:textId="77777777" w:rsidR="00EC35AB" w:rsidRPr="009E53E4" w:rsidRDefault="00EC35AB" w:rsidP="00EC35AB">
      <w:pPr>
        <w:spacing w:after="240"/>
      </w:pPr>
      <w:r>
        <w:rPr>
          <w:rFonts w:cs="Segoe UI"/>
          <w:szCs w:val="20"/>
        </w:rPr>
        <w:t xml:space="preserve">Under Option 2 or Option 3, either SGN Futures or </w:t>
      </w:r>
      <w:proofErr w:type="spellStart"/>
      <w:r>
        <w:rPr>
          <w:rFonts w:cs="Segoe UI"/>
          <w:szCs w:val="20"/>
        </w:rPr>
        <w:t>ScGN</w:t>
      </w:r>
      <w:proofErr w:type="spellEnd"/>
      <w:r>
        <w:rPr>
          <w:rFonts w:cs="Segoe UI"/>
          <w:szCs w:val="20"/>
        </w:rPr>
        <w:t xml:space="preserve"> would be required to undertake the role of shipper, which excludes participation from the market supply chain in delivering a project that could be transformational for the transition of the gas networks. It is possible that the gas networks could fulfil the role of a shipper in future energy scenarios, however, we do not see the value in adopting this approach for the purposes of the demonstration when instead we have the opportunity to demonstrate the current real-world operations and arrangements under H100 Fife. Deferring from Option 1 could obfuscate critical learning of system interfaces and regulatory arrangements as a result of deviating from normal arrangements by seeking a derogation.   </w:t>
      </w:r>
    </w:p>
    <w:p w14:paraId="62FC5744" w14:textId="77777777" w:rsidR="00EC35AB" w:rsidRPr="001A11A6" w:rsidRDefault="00EC35AB" w:rsidP="00EC35AB">
      <w:pPr>
        <w:pStyle w:val="paragraph"/>
        <w:spacing w:before="0" w:beforeAutospacing="0" w:after="240" w:afterAutospacing="0" w:line="360" w:lineRule="auto"/>
        <w:textAlignment w:val="baseline"/>
        <w:rPr>
          <w:rFonts w:ascii="Verdana" w:hAnsi="Verdana" w:cs="Segoe UI"/>
          <w:sz w:val="20"/>
          <w:szCs w:val="20"/>
        </w:rPr>
      </w:pPr>
      <w:r>
        <w:rPr>
          <w:rFonts w:ascii="Verdana" w:hAnsi="Verdana" w:cs="Segoe UI"/>
          <w:sz w:val="20"/>
          <w:szCs w:val="20"/>
        </w:rPr>
        <w:t xml:space="preserve">We have engaged with the shipping community to understand the estimated cost and time associated with the set up for a new shipper, which would be required under Options 2 and 3. We understand that there are additional costs assigned to this process and it could take a minimum of 6 months to execute. Options 2 and 3 introduces a new process to SGN that is not within our expertise as a gas distribution network, therefore additional resource and potentially external consultant support </w:t>
      </w:r>
      <w:r w:rsidRPr="00EC35AB">
        <w:rPr>
          <w:rFonts w:ascii="Verdana" w:hAnsi="Verdana" w:cs="Segoe UI"/>
          <w:sz w:val="20"/>
          <w:szCs w:val="20"/>
        </w:rPr>
        <w:t>may be necessary for SGN to execute the shipping activities. This would result in an additional cost to the detriment of the project and an estimated 2-3 months delay in the programme if the project were to change to follow either Options 2 or 3. This delay would be as a result of additional activities needed to deliver Option 2 or 3 such as extensive additional analysis, understanding any possible licence complexities in view of our existing licence and drafting multiple letters of derogation. While we would seek to mitigate this timescale, there would be significant advantage in determining the agreed regulatory option as soon as we are able. Thus, we do not feel that moving away from Option 1 is in the best interests of the gas consumers’ money and does not deliver the optimal value for money solution. Cost savings are achievable through</w:t>
      </w:r>
      <w:r>
        <w:rPr>
          <w:rFonts w:ascii="Verdana" w:hAnsi="Verdana" w:cs="Segoe UI"/>
          <w:sz w:val="20"/>
          <w:szCs w:val="20"/>
        </w:rPr>
        <w:t xml:space="preserve"> the delivery of Option 1 by avoiding </w:t>
      </w:r>
      <w:r>
        <w:rPr>
          <w:rFonts w:ascii="Verdana" w:hAnsi="Verdana" w:cs="Segoe UI"/>
          <w:sz w:val="20"/>
          <w:szCs w:val="20"/>
        </w:rPr>
        <w:lastRenderedPageBreak/>
        <w:t>the shipper creation process. This is also a potential programme delay risk to be considered for either Option 2 or 3.</w:t>
      </w:r>
    </w:p>
    <w:p w14:paraId="4095E264" w14:textId="7CB600A9" w:rsidR="00EC35AB" w:rsidRDefault="002E2B83" w:rsidP="00EC35AB">
      <w:pPr>
        <w:spacing w:after="240"/>
      </w:pPr>
      <w:r>
        <w:rPr>
          <w:rFonts w:cs="Segoe UI"/>
        </w:rPr>
        <w:t>C</w:t>
      </w:r>
      <w:r w:rsidR="00F43D97" w:rsidRPr="2392FC4F">
        <w:rPr>
          <w:rFonts w:cs="Segoe UI"/>
        </w:rPr>
        <w:t>ertainty on the regulatory option solution</w:t>
      </w:r>
      <w:r>
        <w:rPr>
          <w:rFonts w:cs="Segoe UI"/>
        </w:rPr>
        <w:t xml:space="preserve"> </w:t>
      </w:r>
      <w:r w:rsidR="009E53E4">
        <w:rPr>
          <w:rFonts w:cs="Segoe UI"/>
        </w:rPr>
        <w:t>is required</w:t>
      </w:r>
      <w:r w:rsidR="00F43D97" w:rsidRPr="2392FC4F">
        <w:rPr>
          <w:rFonts w:cs="Segoe UI"/>
        </w:rPr>
        <w:t xml:space="preserve"> in order to manage the financial complexities and set up the project’s structure to align with the various funding streams and entities involved in delivering the project. </w:t>
      </w:r>
      <w:r w:rsidR="00F36C0D" w:rsidRPr="2392FC4F">
        <w:rPr>
          <w:rFonts w:cs="Segoe UI"/>
        </w:rPr>
        <w:t xml:space="preserve">This includes clarity of approach for </w:t>
      </w:r>
      <w:r w:rsidR="00350CD9" w:rsidRPr="2392FC4F">
        <w:rPr>
          <w:rFonts w:cs="Segoe UI"/>
        </w:rPr>
        <w:t>adhering to funding</w:t>
      </w:r>
      <w:r w:rsidR="00F36C0D" w:rsidRPr="2392FC4F">
        <w:rPr>
          <w:rFonts w:cs="Segoe UI"/>
        </w:rPr>
        <w:t xml:space="preserve"> </w:t>
      </w:r>
      <w:r w:rsidR="00350CD9" w:rsidRPr="2392FC4F">
        <w:rPr>
          <w:rFonts w:cs="Segoe UI"/>
        </w:rPr>
        <w:t>terms and conditions</w:t>
      </w:r>
      <w:r w:rsidR="00F43D97" w:rsidRPr="2392FC4F">
        <w:rPr>
          <w:rFonts w:cs="Segoe UI"/>
        </w:rPr>
        <w:t>,</w:t>
      </w:r>
      <w:r w:rsidR="00350CD9" w:rsidRPr="2392FC4F">
        <w:rPr>
          <w:rFonts w:cs="Segoe UI"/>
        </w:rPr>
        <w:t xml:space="preserve"> internal governance processes</w:t>
      </w:r>
      <w:r w:rsidR="00FC121D" w:rsidRPr="2392FC4F">
        <w:rPr>
          <w:rFonts w:cs="Segoe UI"/>
        </w:rPr>
        <w:t xml:space="preserve">, </w:t>
      </w:r>
      <w:r w:rsidR="00350CD9" w:rsidRPr="2392FC4F">
        <w:rPr>
          <w:rFonts w:cs="Segoe UI"/>
        </w:rPr>
        <w:t xml:space="preserve">as well as </w:t>
      </w:r>
      <w:r w:rsidR="00FC121D" w:rsidRPr="2392FC4F">
        <w:rPr>
          <w:rFonts w:cs="Segoe UI"/>
        </w:rPr>
        <w:t>structuring and contracting</w:t>
      </w:r>
      <w:r w:rsidR="00350CD9" w:rsidRPr="2392FC4F">
        <w:rPr>
          <w:rFonts w:cs="Segoe UI"/>
        </w:rPr>
        <w:t xml:space="preserve"> strategies</w:t>
      </w:r>
      <w:r w:rsidR="00FC121D" w:rsidRPr="2392FC4F">
        <w:rPr>
          <w:rFonts w:cs="Segoe UI"/>
        </w:rPr>
        <w:t>.</w:t>
      </w:r>
      <w:r w:rsidR="00D24E08" w:rsidRPr="2392FC4F">
        <w:rPr>
          <w:rFonts w:cs="Segoe UI"/>
        </w:rPr>
        <w:t xml:space="preserve"> </w:t>
      </w:r>
      <w:r w:rsidR="00281D14" w:rsidRPr="2392FC4F">
        <w:rPr>
          <w:rFonts w:cs="Segoe UI"/>
        </w:rPr>
        <w:t xml:space="preserve">The project baseline cost would </w:t>
      </w:r>
      <w:r w:rsidR="22436D3F" w:rsidRPr="2392FC4F">
        <w:rPr>
          <w:rFonts w:cs="Segoe UI"/>
        </w:rPr>
        <w:t>be affected in order</w:t>
      </w:r>
      <w:r w:rsidR="00281D14" w:rsidRPr="2392FC4F">
        <w:rPr>
          <w:rFonts w:cs="Segoe UI"/>
        </w:rPr>
        <w:t xml:space="preserve"> to </w:t>
      </w:r>
      <w:r w:rsidR="22436D3F" w:rsidRPr="2392FC4F">
        <w:rPr>
          <w:rFonts w:cs="Segoe UI"/>
        </w:rPr>
        <w:t>accommodate the</w:t>
      </w:r>
      <w:r w:rsidR="00174784" w:rsidRPr="2392FC4F">
        <w:rPr>
          <w:rFonts w:cs="Segoe UI"/>
        </w:rPr>
        <w:t xml:space="preserve"> additional analysis that would be required to understand </w:t>
      </w:r>
      <w:r w:rsidR="00B44BBB" w:rsidRPr="2392FC4F">
        <w:rPr>
          <w:rFonts w:cs="Segoe UI"/>
        </w:rPr>
        <w:t>the cost impact of delivering under Options 2 or 3.</w:t>
      </w:r>
      <w:r w:rsidR="00EB23C0">
        <w:rPr>
          <w:rFonts w:cs="Segoe UI"/>
        </w:rPr>
        <w:t xml:space="preserve"> </w:t>
      </w:r>
      <w:bookmarkStart w:id="0" w:name="_GoBack"/>
      <w:bookmarkEnd w:id="0"/>
    </w:p>
    <w:p w14:paraId="11AE1E8D" w14:textId="0E4D2520" w:rsidR="002450A5" w:rsidRPr="003B31E7" w:rsidRDefault="001F0B99" w:rsidP="00EC35AB">
      <w:pPr>
        <w:spacing w:after="240"/>
      </w:pPr>
      <w:r>
        <w:t xml:space="preserve">We are committed to delivering H100 Fife in line with the regulatory option that provides </w:t>
      </w:r>
      <w:r w:rsidR="654D7485">
        <w:t>t</w:t>
      </w:r>
      <w:r>
        <w:t>he</w:t>
      </w:r>
      <w:r w:rsidR="654D7485">
        <w:t xml:space="preserve"> best customer value proposition </w:t>
      </w:r>
      <w:r w:rsidR="5961FBCD">
        <w:t xml:space="preserve">with minimal disruption </w:t>
      </w:r>
      <w:r w:rsidR="654D7485">
        <w:t xml:space="preserve">and </w:t>
      </w:r>
      <w:r w:rsidR="062738F8">
        <w:t>maximise</w:t>
      </w:r>
      <w:r w:rsidR="127CC118">
        <w:t xml:space="preserve">s </w:t>
      </w:r>
      <w:r w:rsidR="062738F8">
        <w:t>the</w:t>
      </w:r>
      <w:r w:rsidR="00030E56">
        <w:t xml:space="preserve"> learning</w:t>
      </w:r>
      <w:r w:rsidR="4835DFA9">
        <w:t xml:space="preserve"> potential</w:t>
      </w:r>
      <w:r w:rsidR="00030E56">
        <w:t xml:space="preserve"> for future hydrogen systems and projects. We believe that </w:t>
      </w:r>
      <w:r w:rsidR="5FABA159">
        <w:t xml:space="preserve">the derogation free </w:t>
      </w:r>
      <w:r w:rsidR="00030E56">
        <w:t xml:space="preserve">Option 1 offers this </w:t>
      </w:r>
      <w:r w:rsidR="6CA5F0E9">
        <w:t>opportunity,</w:t>
      </w:r>
      <w:r w:rsidR="00030E56">
        <w:t xml:space="preserve"> and we </w:t>
      </w:r>
      <w:r w:rsidR="002612D4">
        <w:t xml:space="preserve">are </w:t>
      </w:r>
      <w:r w:rsidR="00764AA9">
        <w:t>c</w:t>
      </w:r>
      <w:r w:rsidR="00265B9D">
        <w:t>om</w:t>
      </w:r>
      <w:r w:rsidR="00BA5A2E">
        <w:t>m</w:t>
      </w:r>
      <w:r w:rsidR="00265B9D">
        <w:t>itted</w:t>
      </w:r>
      <w:r w:rsidR="002612D4">
        <w:t xml:space="preserve"> to supporting Ofgem in ensuring this approach can be executed in the best interests of all parties. </w:t>
      </w:r>
    </w:p>
    <w:sectPr w:rsidR="002450A5" w:rsidRPr="003B31E7"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FE9CF" w14:textId="77777777" w:rsidR="00976521" w:rsidRDefault="00976521" w:rsidP="001F6E93">
      <w:r>
        <w:separator/>
      </w:r>
    </w:p>
  </w:endnote>
  <w:endnote w:type="continuationSeparator" w:id="0">
    <w:p w14:paraId="75E8E610" w14:textId="77777777" w:rsidR="00976521" w:rsidRDefault="00976521" w:rsidP="001F6E93">
      <w:r>
        <w:continuationSeparator/>
      </w:r>
    </w:p>
  </w:endnote>
  <w:endnote w:type="continuationNotice" w:id="1">
    <w:p w14:paraId="5557D319" w14:textId="77777777" w:rsidR="00976521" w:rsidRDefault="009765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77FEDE13" w:rsidR="00000C82" w:rsidRDefault="00B65DF4" w:rsidP="001F6E93">
    <w:pPr>
      <w:pStyle w:val="Footer"/>
      <w:rPr>
        <w:rStyle w:val="PageNumber"/>
      </w:rPr>
    </w:pPr>
    <w:r>
      <w:rPr>
        <w:noProof/>
      </w:rPr>
      <mc:AlternateContent>
        <mc:Choice Requires="wps">
          <w:drawing>
            <wp:anchor distT="0" distB="0" distL="114300" distR="114300" simplePos="0" relativeHeight="251658242" behindDoc="0" locked="0" layoutInCell="0" allowOverlap="1" wp14:anchorId="079A72F8" wp14:editId="763A33E7">
              <wp:simplePos x="0" y="0"/>
              <wp:positionH relativeFrom="page">
                <wp:posOffset>0</wp:posOffset>
              </wp:positionH>
              <wp:positionV relativeFrom="page">
                <wp:posOffset>10229215</wp:posOffset>
              </wp:positionV>
              <wp:extent cx="7556500" cy="273050"/>
              <wp:effectExtent l="0" t="0" r="0" b="12700"/>
              <wp:wrapNone/>
              <wp:docPr id="3" name="MSIPCM15e543789a96702be23cbf3d"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79A72F8" id="_x0000_t202" coordsize="21600,21600" o:spt="202" path="m,l,21600r21600,l21600,xe">
              <v:stroke joinstyle="miter"/>
              <v:path gradientshapeok="t" o:connecttype="rect"/>
            </v:shapetype>
            <v:shape id="MSIPCM15e543789a96702be23cbf3d" o:spid="_x0000_s1026" type="#_x0000_t202" alt="{&quot;HashCode&quot;:2051471737,&quot;Height&quot;:842.0,&quot;Width&quot;:595.0,&quot;Placement&quot;:&quot;Footer&quot;,&quot;Index&quot;:&quot;Primary&quot;,&quot;Section&quot;:1,&quot;Top&quot;:0.0,&quot;Left&quot;:0.0}" style="position:absolute;margin-left:0;margin-top:805.45pt;width:59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W5HAMAADcGAAAOAAAAZHJzL2Uyb0RvYy54bWysVEtv2zAMvg/YfxB02GmpH7HjOKtbtCmy&#10;FUjbAOnQsyLLtTBbciWlcVb0v4+S7fSxHYZhF4kiKYr8+InHp21doUemNJciw8GRjxETVOZc3Gf4&#10;++1iNMVIGyJyUknBMrxnGp+efPxwvGtmLJSlrHKmEAQRerZrMlwa08w8T9OS1UQfyYYJMBZS1cTA&#10;Ud17uSI7iF5XXuj7E28nVd4oSZnWoL3ojPjExS8KRs1NUWhmUJVhyM24Vbl1Y1fv5JjM7hVpSk77&#10;NMg/ZFETLuDRQ6gLYgjaKv5bqJpTJbUszBGVtSeLglPmaoBqAv9dNeuSNMzVAuDo5gCT/n9h6fXj&#10;SiGeZ3iMkSA1tOhqfbmaXwUxi6NxMk1JOkn8cMPCMd0U4xyjnGkKCD59ethK8+Ub0eVc5qw7zUI/&#10;DqIkSMbJ597O+H1peus0Co/83nDHc1P2+jiND/pVRSirmRjudC4LKQ1TndwHuBQ5a/sA3bZSvCZq&#10;/8ZrDRQAbvZ+QX/3Vja9xj88vGTF8CYony01do2eAULrBjAy7blsgeKDXoPSdrwtVG136CUCO5Bs&#10;fyAWaw2ioEzieBL7YKJgC5OxHzvmeS+3G6XNVyZrZIUMK8ja8Yk8LrWBTMB1cLGPCbngVeXIWwm0&#10;y/BkDCHfWOBGJawGkoAYvdSR8ikNwsg/D9PRYjJNRtEiikdp4k9HfpCepxM/SqOLxbONF0Szkuc5&#10;E0su2PBBgujvCNh/1Y7a7ou8SVXLiue2DpubrW5eKfRI4KdugAM/LNBQxCsv7206zgzVDbur0rM9&#10;63pjJdNu2r6RG5nvoY9KAr7QCt3QBYdHl0SbFVHw60EJk8zcwFJUEkCVvYRRKdXPP+mtP2ABVox2&#10;MEUyrB+2RDGMqksB3zSMI9/23bgTCMoJaRBFcNgMWrGt5xLqDlxaTrS+phrEQsn6DibdmX0OTERQ&#10;eBSAGsS5gRMYYFJSdnbmZJgwDTFLsW6oDT2gfNveEdX0RDOA37UcBg2ZveNb52tvCnm2NbLgjowW&#10;2Q5OwN4eYDq5LvST1I6/12fn9TLvT34B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ahkVuRwDAAA3BgAADgAAAAAAAAAA&#10;AAAAAAAuAgAAZHJzL2Uyb0RvYy54bWxQSwECLQAUAAYACAAAACEAT9iIgd4AAAALAQAADwAAAAAA&#10;AAAAAAAAAAB2BQAAZHJzL2Rvd25yZXYueG1sUEsFBgAAAAAEAAQA8wAAAIEGAAAAAA==&#10;" o:allowincell="f" filled="f" stroked="f" strokeweight=".5pt">
              <v:textbox inset="20pt,0,,0">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8241"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C4B92" w14:textId="77777777" w:rsidR="00A46C36" w:rsidRDefault="00A46C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6E86D" w14:textId="77777777" w:rsidR="00976521" w:rsidRDefault="00976521" w:rsidP="001F6E93">
      <w:r>
        <w:separator/>
      </w:r>
    </w:p>
  </w:footnote>
  <w:footnote w:type="continuationSeparator" w:id="0">
    <w:p w14:paraId="77F5EA3D" w14:textId="77777777" w:rsidR="00976521" w:rsidRDefault="00976521" w:rsidP="001F6E93">
      <w:r>
        <w:continuationSeparator/>
      </w:r>
    </w:p>
  </w:footnote>
  <w:footnote w:type="continuationNotice" w:id="1">
    <w:p w14:paraId="0B411E68" w14:textId="77777777" w:rsidR="00976521" w:rsidRDefault="0097652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0A6A6" w14:textId="77777777" w:rsidR="00A46C36" w:rsidRDefault="00A46C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106FB" w14:textId="77777777" w:rsidR="00A46C36" w:rsidRDefault="00A46C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637D0"/>
    <w:multiLevelType w:val="hybridMultilevel"/>
    <w:tmpl w:val="E1B09F1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3F36F6"/>
    <w:multiLevelType w:val="hybridMultilevel"/>
    <w:tmpl w:val="8A6CF736"/>
    <w:lvl w:ilvl="0" w:tplc="CD76D078">
      <w:start w:val="1"/>
      <w:numFmt w:val="bullet"/>
      <w:lvlText w:val=""/>
      <w:lvlJc w:val="left"/>
      <w:pPr>
        <w:tabs>
          <w:tab w:val="num" w:pos="720"/>
        </w:tabs>
        <w:ind w:left="720" w:hanging="360"/>
      </w:pPr>
      <w:rPr>
        <w:rFonts w:ascii="Wingdings" w:hAnsi="Wingdings" w:hint="default"/>
        <w:sz w:val="20"/>
      </w:rPr>
    </w:lvl>
    <w:lvl w:ilvl="1" w:tplc="256C0112" w:tentative="1">
      <w:start w:val="1"/>
      <w:numFmt w:val="bullet"/>
      <w:lvlText w:val=""/>
      <w:lvlJc w:val="left"/>
      <w:pPr>
        <w:tabs>
          <w:tab w:val="num" w:pos="1440"/>
        </w:tabs>
        <w:ind w:left="1440" w:hanging="360"/>
      </w:pPr>
      <w:rPr>
        <w:rFonts w:ascii="Wingdings" w:hAnsi="Wingdings" w:hint="default"/>
        <w:sz w:val="20"/>
      </w:rPr>
    </w:lvl>
    <w:lvl w:ilvl="2" w:tplc="84A41414" w:tentative="1">
      <w:start w:val="1"/>
      <w:numFmt w:val="bullet"/>
      <w:lvlText w:val=""/>
      <w:lvlJc w:val="left"/>
      <w:pPr>
        <w:tabs>
          <w:tab w:val="num" w:pos="2160"/>
        </w:tabs>
        <w:ind w:left="2160" w:hanging="360"/>
      </w:pPr>
      <w:rPr>
        <w:rFonts w:ascii="Wingdings" w:hAnsi="Wingdings" w:hint="default"/>
        <w:sz w:val="20"/>
      </w:rPr>
    </w:lvl>
    <w:lvl w:ilvl="3" w:tplc="9F306F8C" w:tentative="1">
      <w:start w:val="1"/>
      <w:numFmt w:val="bullet"/>
      <w:lvlText w:val=""/>
      <w:lvlJc w:val="left"/>
      <w:pPr>
        <w:tabs>
          <w:tab w:val="num" w:pos="2880"/>
        </w:tabs>
        <w:ind w:left="2880" w:hanging="360"/>
      </w:pPr>
      <w:rPr>
        <w:rFonts w:ascii="Wingdings" w:hAnsi="Wingdings" w:hint="default"/>
        <w:sz w:val="20"/>
      </w:rPr>
    </w:lvl>
    <w:lvl w:ilvl="4" w:tplc="EEC0E474" w:tentative="1">
      <w:start w:val="1"/>
      <w:numFmt w:val="bullet"/>
      <w:lvlText w:val=""/>
      <w:lvlJc w:val="left"/>
      <w:pPr>
        <w:tabs>
          <w:tab w:val="num" w:pos="3600"/>
        </w:tabs>
        <w:ind w:left="3600" w:hanging="360"/>
      </w:pPr>
      <w:rPr>
        <w:rFonts w:ascii="Wingdings" w:hAnsi="Wingdings" w:hint="default"/>
        <w:sz w:val="20"/>
      </w:rPr>
    </w:lvl>
    <w:lvl w:ilvl="5" w:tplc="BB3EB952" w:tentative="1">
      <w:start w:val="1"/>
      <w:numFmt w:val="bullet"/>
      <w:lvlText w:val=""/>
      <w:lvlJc w:val="left"/>
      <w:pPr>
        <w:tabs>
          <w:tab w:val="num" w:pos="4320"/>
        </w:tabs>
        <w:ind w:left="4320" w:hanging="360"/>
      </w:pPr>
      <w:rPr>
        <w:rFonts w:ascii="Wingdings" w:hAnsi="Wingdings" w:hint="default"/>
        <w:sz w:val="20"/>
      </w:rPr>
    </w:lvl>
    <w:lvl w:ilvl="6" w:tplc="FD0C58D6" w:tentative="1">
      <w:start w:val="1"/>
      <w:numFmt w:val="bullet"/>
      <w:lvlText w:val=""/>
      <w:lvlJc w:val="left"/>
      <w:pPr>
        <w:tabs>
          <w:tab w:val="num" w:pos="5040"/>
        </w:tabs>
        <w:ind w:left="5040" w:hanging="360"/>
      </w:pPr>
      <w:rPr>
        <w:rFonts w:ascii="Wingdings" w:hAnsi="Wingdings" w:hint="default"/>
        <w:sz w:val="20"/>
      </w:rPr>
    </w:lvl>
    <w:lvl w:ilvl="7" w:tplc="9E8E3418" w:tentative="1">
      <w:start w:val="1"/>
      <w:numFmt w:val="bullet"/>
      <w:lvlText w:val=""/>
      <w:lvlJc w:val="left"/>
      <w:pPr>
        <w:tabs>
          <w:tab w:val="num" w:pos="5760"/>
        </w:tabs>
        <w:ind w:left="5760" w:hanging="360"/>
      </w:pPr>
      <w:rPr>
        <w:rFonts w:ascii="Wingdings" w:hAnsi="Wingdings" w:hint="default"/>
        <w:sz w:val="20"/>
      </w:rPr>
    </w:lvl>
    <w:lvl w:ilvl="8" w:tplc="DDFEF4D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8338D2"/>
    <w:multiLevelType w:val="hybridMultilevel"/>
    <w:tmpl w:val="0F5448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2D375D"/>
    <w:multiLevelType w:val="hybridMultilevel"/>
    <w:tmpl w:val="3D4C13B2"/>
    <w:lvl w:ilvl="0" w:tplc="0B16B52C">
      <w:start w:val="1"/>
      <w:numFmt w:val="bullet"/>
      <w:lvlText w:val=""/>
      <w:lvlJc w:val="left"/>
      <w:pPr>
        <w:tabs>
          <w:tab w:val="num" w:pos="720"/>
        </w:tabs>
        <w:ind w:left="720" w:hanging="360"/>
      </w:pPr>
      <w:rPr>
        <w:rFonts w:ascii="Wingdings" w:hAnsi="Wingdings" w:hint="default"/>
        <w:sz w:val="20"/>
      </w:rPr>
    </w:lvl>
    <w:lvl w:ilvl="1" w:tplc="EBD63048" w:tentative="1">
      <w:start w:val="1"/>
      <w:numFmt w:val="bullet"/>
      <w:lvlText w:val=""/>
      <w:lvlJc w:val="left"/>
      <w:pPr>
        <w:tabs>
          <w:tab w:val="num" w:pos="1440"/>
        </w:tabs>
        <w:ind w:left="1440" w:hanging="360"/>
      </w:pPr>
      <w:rPr>
        <w:rFonts w:ascii="Wingdings" w:hAnsi="Wingdings" w:hint="default"/>
        <w:sz w:val="20"/>
      </w:rPr>
    </w:lvl>
    <w:lvl w:ilvl="2" w:tplc="B3BEFA0A" w:tentative="1">
      <w:start w:val="1"/>
      <w:numFmt w:val="bullet"/>
      <w:lvlText w:val=""/>
      <w:lvlJc w:val="left"/>
      <w:pPr>
        <w:tabs>
          <w:tab w:val="num" w:pos="2160"/>
        </w:tabs>
        <w:ind w:left="2160" w:hanging="360"/>
      </w:pPr>
      <w:rPr>
        <w:rFonts w:ascii="Wingdings" w:hAnsi="Wingdings" w:hint="default"/>
        <w:sz w:val="20"/>
      </w:rPr>
    </w:lvl>
    <w:lvl w:ilvl="3" w:tplc="1C5EB6EC" w:tentative="1">
      <w:start w:val="1"/>
      <w:numFmt w:val="bullet"/>
      <w:lvlText w:val=""/>
      <w:lvlJc w:val="left"/>
      <w:pPr>
        <w:tabs>
          <w:tab w:val="num" w:pos="2880"/>
        </w:tabs>
        <w:ind w:left="2880" w:hanging="360"/>
      </w:pPr>
      <w:rPr>
        <w:rFonts w:ascii="Wingdings" w:hAnsi="Wingdings" w:hint="default"/>
        <w:sz w:val="20"/>
      </w:rPr>
    </w:lvl>
    <w:lvl w:ilvl="4" w:tplc="F64A1580" w:tentative="1">
      <w:start w:val="1"/>
      <w:numFmt w:val="bullet"/>
      <w:lvlText w:val=""/>
      <w:lvlJc w:val="left"/>
      <w:pPr>
        <w:tabs>
          <w:tab w:val="num" w:pos="3600"/>
        </w:tabs>
        <w:ind w:left="3600" w:hanging="360"/>
      </w:pPr>
      <w:rPr>
        <w:rFonts w:ascii="Wingdings" w:hAnsi="Wingdings" w:hint="default"/>
        <w:sz w:val="20"/>
      </w:rPr>
    </w:lvl>
    <w:lvl w:ilvl="5" w:tplc="4C3C0D94" w:tentative="1">
      <w:start w:val="1"/>
      <w:numFmt w:val="bullet"/>
      <w:lvlText w:val=""/>
      <w:lvlJc w:val="left"/>
      <w:pPr>
        <w:tabs>
          <w:tab w:val="num" w:pos="4320"/>
        </w:tabs>
        <w:ind w:left="4320" w:hanging="360"/>
      </w:pPr>
      <w:rPr>
        <w:rFonts w:ascii="Wingdings" w:hAnsi="Wingdings" w:hint="default"/>
        <w:sz w:val="20"/>
      </w:rPr>
    </w:lvl>
    <w:lvl w:ilvl="6" w:tplc="69B4B666" w:tentative="1">
      <w:start w:val="1"/>
      <w:numFmt w:val="bullet"/>
      <w:lvlText w:val=""/>
      <w:lvlJc w:val="left"/>
      <w:pPr>
        <w:tabs>
          <w:tab w:val="num" w:pos="5040"/>
        </w:tabs>
        <w:ind w:left="5040" w:hanging="360"/>
      </w:pPr>
      <w:rPr>
        <w:rFonts w:ascii="Wingdings" w:hAnsi="Wingdings" w:hint="default"/>
        <w:sz w:val="20"/>
      </w:rPr>
    </w:lvl>
    <w:lvl w:ilvl="7" w:tplc="0FF471E8" w:tentative="1">
      <w:start w:val="1"/>
      <w:numFmt w:val="bullet"/>
      <w:lvlText w:val=""/>
      <w:lvlJc w:val="left"/>
      <w:pPr>
        <w:tabs>
          <w:tab w:val="num" w:pos="5760"/>
        </w:tabs>
        <w:ind w:left="5760" w:hanging="360"/>
      </w:pPr>
      <w:rPr>
        <w:rFonts w:ascii="Wingdings" w:hAnsi="Wingdings" w:hint="default"/>
        <w:sz w:val="20"/>
      </w:rPr>
    </w:lvl>
    <w:lvl w:ilvl="8" w:tplc="336E8AE2"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6F6A2B"/>
    <w:multiLevelType w:val="hybridMultilevel"/>
    <w:tmpl w:val="6F325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A97B7F"/>
    <w:multiLevelType w:val="hybridMultilevel"/>
    <w:tmpl w:val="CE648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3C10E8"/>
    <w:multiLevelType w:val="hybridMultilevel"/>
    <w:tmpl w:val="9E2C6C2A"/>
    <w:lvl w:ilvl="0" w:tplc="8A9C182A">
      <w:start w:val="1"/>
      <w:numFmt w:val="bullet"/>
      <w:lvlText w:val="o"/>
      <w:lvlJc w:val="left"/>
      <w:pPr>
        <w:tabs>
          <w:tab w:val="num" w:pos="720"/>
        </w:tabs>
        <w:ind w:left="720" w:hanging="360"/>
      </w:pPr>
      <w:rPr>
        <w:rFonts w:ascii="Courier New" w:hAnsi="Courier New" w:hint="default"/>
        <w:sz w:val="20"/>
      </w:rPr>
    </w:lvl>
    <w:lvl w:ilvl="1" w:tplc="55180CBA" w:tentative="1">
      <w:start w:val="1"/>
      <w:numFmt w:val="bullet"/>
      <w:lvlText w:val="o"/>
      <w:lvlJc w:val="left"/>
      <w:pPr>
        <w:tabs>
          <w:tab w:val="num" w:pos="1440"/>
        </w:tabs>
        <w:ind w:left="1440" w:hanging="360"/>
      </w:pPr>
      <w:rPr>
        <w:rFonts w:ascii="Courier New" w:hAnsi="Courier New" w:hint="default"/>
        <w:sz w:val="20"/>
      </w:rPr>
    </w:lvl>
    <w:lvl w:ilvl="2" w:tplc="BD9445F0" w:tentative="1">
      <w:start w:val="1"/>
      <w:numFmt w:val="bullet"/>
      <w:lvlText w:val="o"/>
      <w:lvlJc w:val="left"/>
      <w:pPr>
        <w:tabs>
          <w:tab w:val="num" w:pos="2160"/>
        </w:tabs>
        <w:ind w:left="2160" w:hanging="360"/>
      </w:pPr>
      <w:rPr>
        <w:rFonts w:ascii="Courier New" w:hAnsi="Courier New" w:hint="default"/>
        <w:sz w:val="20"/>
      </w:rPr>
    </w:lvl>
    <w:lvl w:ilvl="3" w:tplc="8F7C3268" w:tentative="1">
      <w:start w:val="1"/>
      <w:numFmt w:val="bullet"/>
      <w:lvlText w:val="o"/>
      <w:lvlJc w:val="left"/>
      <w:pPr>
        <w:tabs>
          <w:tab w:val="num" w:pos="2880"/>
        </w:tabs>
        <w:ind w:left="2880" w:hanging="360"/>
      </w:pPr>
      <w:rPr>
        <w:rFonts w:ascii="Courier New" w:hAnsi="Courier New" w:hint="default"/>
        <w:sz w:val="20"/>
      </w:rPr>
    </w:lvl>
    <w:lvl w:ilvl="4" w:tplc="40EE34C4" w:tentative="1">
      <w:start w:val="1"/>
      <w:numFmt w:val="bullet"/>
      <w:lvlText w:val="o"/>
      <w:lvlJc w:val="left"/>
      <w:pPr>
        <w:tabs>
          <w:tab w:val="num" w:pos="3600"/>
        </w:tabs>
        <w:ind w:left="3600" w:hanging="360"/>
      </w:pPr>
      <w:rPr>
        <w:rFonts w:ascii="Courier New" w:hAnsi="Courier New" w:hint="default"/>
        <w:sz w:val="20"/>
      </w:rPr>
    </w:lvl>
    <w:lvl w:ilvl="5" w:tplc="8C46F9F2" w:tentative="1">
      <w:start w:val="1"/>
      <w:numFmt w:val="bullet"/>
      <w:lvlText w:val="o"/>
      <w:lvlJc w:val="left"/>
      <w:pPr>
        <w:tabs>
          <w:tab w:val="num" w:pos="4320"/>
        </w:tabs>
        <w:ind w:left="4320" w:hanging="360"/>
      </w:pPr>
      <w:rPr>
        <w:rFonts w:ascii="Courier New" w:hAnsi="Courier New" w:hint="default"/>
        <w:sz w:val="20"/>
      </w:rPr>
    </w:lvl>
    <w:lvl w:ilvl="6" w:tplc="4F168538" w:tentative="1">
      <w:start w:val="1"/>
      <w:numFmt w:val="bullet"/>
      <w:lvlText w:val="o"/>
      <w:lvlJc w:val="left"/>
      <w:pPr>
        <w:tabs>
          <w:tab w:val="num" w:pos="5040"/>
        </w:tabs>
        <w:ind w:left="5040" w:hanging="360"/>
      </w:pPr>
      <w:rPr>
        <w:rFonts w:ascii="Courier New" w:hAnsi="Courier New" w:hint="default"/>
        <w:sz w:val="20"/>
      </w:rPr>
    </w:lvl>
    <w:lvl w:ilvl="7" w:tplc="24B21E6E" w:tentative="1">
      <w:start w:val="1"/>
      <w:numFmt w:val="bullet"/>
      <w:lvlText w:val="o"/>
      <w:lvlJc w:val="left"/>
      <w:pPr>
        <w:tabs>
          <w:tab w:val="num" w:pos="5760"/>
        </w:tabs>
        <w:ind w:left="5760" w:hanging="360"/>
      </w:pPr>
      <w:rPr>
        <w:rFonts w:ascii="Courier New" w:hAnsi="Courier New" w:hint="default"/>
        <w:sz w:val="20"/>
      </w:rPr>
    </w:lvl>
    <w:lvl w:ilvl="8" w:tplc="AB625540"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2F5EF8"/>
    <w:multiLevelType w:val="hybridMultilevel"/>
    <w:tmpl w:val="21EEF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6501D7D"/>
    <w:multiLevelType w:val="hybridMultilevel"/>
    <w:tmpl w:val="186AE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2"/>
  </w:num>
  <w:num w:numId="4">
    <w:abstractNumId w:val="15"/>
  </w:num>
  <w:num w:numId="5">
    <w:abstractNumId w:val="9"/>
  </w:num>
  <w:num w:numId="6">
    <w:abstractNumId w:val="19"/>
  </w:num>
  <w:num w:numId="7">
    <w:abstractNumId w:val="10"/>
  </w:num>
  <w:num w:numId="8">
    <w:abstractNumId w:val="12"/>
  </w:num>
  <w:num w:numId="9">
    <w:abstractNumId w:val="7"/>
  </w:num>
  <w:num w:numId="10">
    <w:abstractNumId w:val="13"/>
  </w:num>
  <w:num w:numId="11">
    <w:abstractNumId w:val="14"/>
  </w:num>
  <w:num w:numId="12">
    <w:abstractNumId w:val="8"/>
  </w:num>
  <w:num w:numId="13">
    <w:abstractNumId w:val="16"/>
  </w:num>
  <w:num w:numId="14">
    <w:abstractNumId w:val="0"/>
  </w:num>
  <w:num w:numId="15">
    <w:abstractNumId w:val="4"/>
  </w:num>
  <w:num w:numId="16">
    <w:abstractNumId w:val="11"/>
  </w:num>
  <w:num w:numId="17">
    <w:abstractNumId w:val="1"/>
  </w:num>
  <w:num w:numId="18">
    <w:abstractNumId w:val="5"/>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0354F"/>
    <w:rsid w:val="000073AB"/>
    <w:rsid w:val="00010EEB"/>
    <w:rsid w:val="00014594"/>
    <w:rsid w:val="00016048"/>
    <w:rsid w:val="000226E0"/>
    <w:rsid w:val="00024363"/>
    <w:rsid w:val="0002458C"/>
    <w:rsid w:val="00025903"/>
    <w:rsid w:val="00030E56"/>
    <w:rsid w:val="0003454F"/>
    <w:rsid w:val="000450D6"/>
    <w:rsid w:val="00046AFF"/>
    <w:rsid w:val="00056657"/>
    <w:rsid w:val="0007043E"/>
    <w:rsid w:val="000704C4"/>
    <w:rsid w:val="000724CA"/>
    <w:rsid w:val="000740B5"/>
    <w:rsid w:val="00076781"/>
    <w:rsid w:val="0008413D"/>
    <w:rsid w:val="00084235"/>
    <w:rsid w:val="00087FA2"/>
    <w:rsid w:val="000910D6"/>
    <w:rsid w:val="00096821"/>
    <w:rsid w:val="000A30E1"/>
    <w:rsid w:val="000A3CF1"/>
    <w:rsid w:val="000B09AB"/>
    <w:rsid w:val="000B21C6"/>
    <w:rsid w:val="000B34B1"/>
    <w:rsid w:val="000B63B4"/>
    <w:rsid w:val="000B7C23"/>
    <w:rsid w:val="000C243D"/>
    <w:rsid w:val="000C7C16"/>
    <w:rsid w:val="000C7E02"/>
    <w:rsid w:val="000D1484"/>
    <w:rsid w:val="000E2943"/>
    <w:rsid w:val="000E32C5"/>
    <w:rsid w:val="000E5064"/>
    <w:rsid w:val="000F4635"/>
    <w:rsid w:val="000F5A1A"/>
    <w:rsid w:val="000F6BBE"/>
    <w:rsid w:val="00102C31"/>
    <w:rsid w:val="00103AA7"/>
    <w:rsid w:val="00105452"/>
    <w:rsid w:val="0010772E"/>
    <w:rsid w:val="001108A9"/>
    <w:rsid w:val="001117FD"/>
    <w:rsid w:val="00111E72"/>
    <w:rsid w:val="0011361E"/>
    <w:rsid w:val="0012206F"/>
    <w:rsid w:val="0012358F"/>
    <w:rsid w:val="0013009C"/>
    <w:rsid w:val="00134C13"/>
    <w:rsid w:val="00135363"/>
    <w:rsid w:val="001428F2"/>
    <w:rsid w:val="001431F3"/>
    <w:rsid w:val="001448CA"/>
    <w:rsid w:val="00145431"/>
    <w:rsid w:val="001475F6"/>
    <w:rsid w:val="00151743"/>
    <w:rsid w:val="00151D0B"/>
    <w:rsid w:val="0015435D"/>
    <w:rsid w:val="0015520A"/>
    <w:rsid w:val="00155720"/>
    <w:rsid w:val="0016067F"/>
    <w:rsid w:val="00160FE3"/>
    <w:rsid w:val="00167E17"/>
    <w:rsid w:val="00171A44"/>
    <w:rsid w:val="001722DA"/>
    <w:rsid w:val="00174784"/>
    <w:rsid w:val="001765B1"/>
    <w:rsid w:val="00177460"/>
    <w:rsid w:val="00180742"/>
    <w:rsid w:val="00186D9F"/>
    <w:rsid w:val="001926A0"/>
    <w:rsid w:val="00195A5F"/>
    <w:rsid w:val="001A0BB0"/>
    <w:rsid w:val="001A11A6"/>
    <w:rsid w:val="001A2292"/>
    <w:rsid w:val="001A5456"/>
    <w:rsid w:val="001A68F2"/>
    <w:rsid w:val="001B636F"/>
    <w:rsid w:val="001C06F4"/>
    <w:rsid w:val="001C2119"/>
    <w:rsid w:val="001C4DED"/>
    <w:rsid w:val="001C4EF5"/>
    <w:rsid w:val="001C7FE8"/>
    <w:rsid w:val="001D01E5"/>
    <w:rsid w:val="001D1D4F"/>
    <w:rsid w:val="001E6E86"/>
    <w:rsid w:val="001F0B99"/>
    <w:rsid w:val="001F3B23"/>
    <w:rsid w:val="001F6E93"/>
    <w:rsid w:val="002006A5"/>
    <w:rsid w:val="002038C8"/>
    <w:rsid w:val="002046EB"/>
    <w:rsid w:val="00204A50"/>
    <w:rsid w:val="00206DB3"/>
    <w:rsid w:val="00213A67"/>
    <w:rsid w:val="00215C1D"/>
    <w:rsid w:val="00215C73"/>
    <w:rsid w:val="00220EB2"/>
    <w:rsid w:val="00226161"/>
    <w:rsid w:val="0022798D"/>
    <w:rsid w:val="0023623A"/>
    <w:rsid w:val="00236A61"/>
    <w:rsid w:val="002450A5"/>
    <w:rsid w:val="00250602"/>
    <w:rsid w:val="00250AB6"/>
    <w:rsid w:val="002612D4"/>
    <w:rsid w:val="00261869"/>
    <w:rsid w:val="00262068"/>
    <w:rsid w:val="00263DFC"/>
    <w:rsid w:val="0026573E"/>
    <w:rsid w:val="00265B97"/>
    <w:rsid w:val="00265B9D"/>
    <w:rsid w:val="00266352"/>
    <w:rsid w:val="00281D14"/>
    <w:rsid w:val="00281E58"/>
    <w:rsid w:val="00284C29"/>
    <w:rsid w:val="00291C30"/>
    <w:rsid w:val="002A27A4"/>
    <w:rsid w:val="002A6C7A"/>
    <w:rsid w:val="002B27E9"/>
    <w:rsid w:val="002B2D84"/>
    <w:rsid w:val="002B3CF9"/>
    <w:rsid w:val="002B4E93"/>
    <w:rsid w:val="002C5C09"/>
    <w:rsid w:val="002C6461"/>
    <w:rsid w:val="002C6645"/>
    <w:rsid w:val="002C6C04"/>
    <w:rsid w:val="002C6DC2"/>
    <w:rsid w:val="002D6637"/>
    <w:rsid w:val="002D7B5C"/>
    <w:rsid w:val="002E1BDB"/>
    <w:rsid w:val="002E2B83"/>
    <w:rsid w:val="002E3908"/>
    <w:rsid w:val="002E39FF"/>
    <w:rsid w:val="002E6A85"/>
    <w:rsid w:val="002F27CC"/>
    <w:rsid w:val="002F2C55"/>
    <w:rsid w:val="002F48C3"/>
    <w:rsid w:val="00302AAA"/>
    <w:rsid w:val="0030347C"/>
    <w:rsid w:val="00304782"/>
    <w:rsid w:val="003132B8"/>
    <w:rsid w:val="00324B92"/>
    <w:rsid w:val="00324CE0"/>
    <w:rsid w:val="00326822"/>
    <w:rsid w:val="00330491"/>
    <w:rsid w:val="00331426"/>
    <w:rsid w:val="00347863"/>
    <w:rsid w:val="00350CD9"/>
    <w:rsid w:val="003516DB"/>
    <w:rsid w:val="003714E5"/>
    <w:rsid w:val="00372B2A"/>
    <w:rsid w:val="00380A9E"/>
    <w:rsid w:val="00381B7A"/>
    <w:rsid w:val="00383994"/>
    <w:rsid w:val="0039606B"/>
    <w:rsid w:val="00397392"/>
    <w:rsid w:val="00397B33"/>
    <w:rsid w:val="003A3CC9"/>
    <w:rsid w:val="003A4015"/>
    <w:rsid w:val="003A5C18"/>
    <w:rsid w:val="003B31E7"/>
    <w:rsid w:val="003C1342"/>
    <w:rsid w:val="003C2B00"/>
    <w:rsid w:val="003C2D5F"/>
    <w:rsid w:val="003D0181"/>
    <w:rsid w:val="003E0158"/>
    <w:rsid w:val="003E0EED"/>
    <w:rsid w:val="003F046D"/>
    <w:rsid w:val="003F10A3"/>
    <w:rsid w:val="00406488"/>
    <w:rsid w:val="00417138"/>
    <w:rsid w:val="00420929"/>
    <w:rsid w:val="00431249"/>
    <w:rsid w:val="004329BA"/>
    <w:rsid w:val="0043731C"/>
    <w:rsid w:val="00443BEF"/>
    <w:rsid w:val="00454E38"/>
    <w:rsid w:val="004629CD"/>
    <w:rsid w:val="004632FA"/>
    <w:rsid w:val="004705B1"/>
    <w:rsid w:val="00471EBA"/>
    <w:rsid w:val="00477FBB"/>
    <w:rsid w:val="00480AE7"/>
    <w:rsid w:val="004824AC"/>
    <w:rsid w:val="00484C53"/>
    <w:rsid w:val="004923F0"/>
    <w:rsid w:val="004933E4"/>
    <w:rsid w:val="00495B69"/>
    <w:rsid w:val="004A4E6B"/>
    <w:rsid w:val="004A63C8"/>
    <w:rsid w:val="004A6E56"/>
    <w:rsid w:val="004A74CC"/>
    <w:rsid w:val="004B2B3A"/>
    <w:rsid w:val="004B2FA7"/>
    <w:rsid w:val="004B537A"/>
    <w:rsid w:val="004B54BB"/>
    <w:rsid w:val="004B58A0"/>
    <w:rsid w:val="004B6575"/>
    <w:rsid w:val="004B71FB"/>
    <w:rsid w:val="004C3B8A"/>
    <w:rsid w:val="004C65E1"/>
    <w:rsid w:val="004D1143"/>
    <w:rsid w:val="004D2475"/>
    <w:rsid w:val="004D29AA"/>
    <w:rsid w:val="004D4DB6"/>
    <w:rsid w:val="004D560B"/>
    <w:rsid w:val="004D5FA0"/>
    <w:rsid w:val="004D7301"/>
    <w:rsid w:val="004D75DD"/>
    <w:rsid w:val="004E7F87"/>
    <w:rsid w:val="004F00C3"/>
    <w:rsid w:val="004F3325"/>
    <w:rsid w:val="004F6601"/>
    <w:rsid w:val="005036CC"/>
    <w:rsid w:val="00505A33"/>
    <w:rsid w:val="00512D06"/>
    <w:rsid w:val="00515E39"/>
    <w:rsid w:val="00525533"/>
    <w:rsid w:val="00526798"/>
    <w:rsid w:val="00530655"/>
    <w:rsid w:val="00531DD6"/>
    <w:rsid w:val="005331D0"/>
    <w:rsid w:val="00536E5B"/>
    <w:rsid w:val="00542A40"/>
    <w:rsid w:val="00547DDA"/>
    <w:rsid w:val="005533D8"/>
    <w:rsid w:val="00556AB4"/>
    <w:rsid w:val="00561DC0"/>
    <w:rsid w:val="00561FB6"/>
    <w:rsid w:val="00572BE3"/>
    <w:rsid w:val="00581853"/>
    <w:rsid w:val="00582799"/>
    <w:rsid w:val="005845E1"/>
    <w:rsid w:val="0059119C"/>
    <w:rsid w:val="005949DE"/>
    <w:rsid w:val="0059688D"/>
    <w:rsid w:val="005972E8"/>
    <w:rsid w:val="005A134F"/>
    <w:rsid w:val="005A5E1D"/>
    <w:rsid w:val="005A63E8"/>
    <w:rsid w:val="005A6589"/>
    <w:rsid w:val="005A7C70"/>
    <w:rsid w:val="005B246D"/>
    <w:rsid w:val="005B2A2A"/>
    <w:rsid w:val="005C4066"/>
    <w:rsid w:val="005C646A"/>
    <w:rsid w:val="005C6BC5"/>
    <w:rsid w:val="005C7BDE"/>
    <w:rsid w:val="005C7DB8"/>
    <w:rsid w:val="005D09BE"/>
    <w:rsid w:val="005D29A0"/>
    <w:rsid w:val="005D353A"/>
    <w:rsid w:val="005D4DAC"/>
    <w:rsid w:val="005D5335"/>
    <w:rsid w:val="005E14B9"/>
    <w:rsid w:val="005E1CF8"/>
    <w:rsid w:val="005E58A1"/>
    <w:rsid w:val="005F02A6"/>
    <w:rsid w:val="005F0460"/>
    <w:rsid w:val="005F6CC3"/>
    <w:rsid w:val="005F6DCC"/>
    <w:rsid w:val="005F713F"/>
    <w:rsid w:val="00600994"/>
    <w:rsid w:val="00605185"/>
    <w:rsid w:val="00607D48"/>
    <w:rsid w:val="0061133C"/>
    <w:rsid w:val="00614DD6"/>
    <w:rsid w:val="00621C07"/>
    <w:rsid w:val="00621CC7"/>
    <w:rsid w:val="00626882"/>
    <w:rsid w:val="00626E0B"/>
    <w:rsid w:val="0063272A"/>
    <w:rsid w:val="00633CF5"/>
    <w:rsid w:val="00635155"/>
    <w:rsid w:val="0064212D"/>
    <w:rsid w:val="00642CA7"/>
    <w:rsid w:val="006532A1"/>
    <w:rsid w:val="00655159"/>
    <w:rsid w:val="006558B9"/>
    <w:rsid w:val="00657C0F"/>
    <w:rsid w:val="00657EB9"/>
    <w:rsid w:val="006605C4"/>
    <w:rsid w:val="00662A28"/>
    <w:rsid w:val="006634B4"/>
    <w:rsid w:val="006703FC"/>
    <w:rsid w:val="00674E5C"/>
    <w:rsid w:val="006815B5"/>
    <w:rsid w:val="006971DE"/>
    <w:rsid w:val="00697AEF"/>
    <w:rsid w:val="006A5BBE"/>
    <w:rsid w:val="006B446D"/>
    <w:rsid w:val="006B764E"/>
    <w:rsid w:val="006C3379"/>
    <w:rsid w:val="006C4C78"/>
    <w:rsid w:val="006C6124"/>
    <w:rsid w:val="006C7332"/>
    <w:rsid w:val="006D0086"/>
    <w:rsid w:val="006D211B"/>
    <w:rsid w:val="006D40AF"/>
    <w:rsid w:val="006D5606"/>
    <w:rsid w:val="006E6CD1"/>
    <w:rsid w:val="006F258B"/>
    <w:rsid w:val="006F4EB3"/>
    <w:rsid w:val="007108B3"/>
    <w:rsid w:val="00712148"/>
    <w:rsid w:val="00720702"/>
    <w:rsid w:val="0072274A"/>
    <w:rsid w:val="00726316"/>
    <w:rsid w:val="00726E9B"/>
    <w:rsid w:val="0073390F"/>
    <w:rsid w:val="00733D5B"/>
    <w:rsid w:val="00734038"/>
    <w:rsid w:val="00737C37"/>
    <w:rsid w:val="00741FBA"/>
    <w:rsid w:val="007447EE"/>
    <w:rsid w:val="00746262"/>
    <w:rsid w:val="007478F5"/>
    <w:rsid w:val="00747B9E"/>
    <w:rsid w:val="0075161C"/>
    <w:rsid w:val="00764AA9"/>
    <w:rsid w:val="00774971"/>
    <w:rsid w:val="0077529A"/>
    <w:rsid w:val="00776F53"/>
    <w:rsid w:val="00780043"/>
    <w:rsid w:val="0078278E"/>
    <w:rsid w:val="00782CF5"/>
    <w:rsid w:val="00783680"/>
    <w:rsid w:val="007876D5"/>
    <w:rsid w:val="00796D51"/>
    <w:rsid w:val="007A449D"/>
    <w:rsid w:val="007A4F15"/>
    <w:rsid w:val="007B2311"/>
    <w:rsid w:val="007B2FBF"/>
    <w:rsid w:val="007B47AF"/>
    <w:rsid w:val="007B651E"/>
    <w:rsid w:val="007C0C6D"/>
    <w:rsid w:val="007C0D12"/>
    <w:rsid w:val="007C484A"/>
    <w:rsid w:val="007C5D26"/>
    <w:rsid w:val="007C7848"/>
    <w:rsid w:val="007C7E9B"/>
    <w:rsid w:val="007D295D"/>
    <w:rsid w:val="007D4AAF"/>
    <w:rsid w:val="007D6834"/>
    <w:rsid w:val="007D6A38"/>
    <w:rsid w:val="007D6B5A"/>
    <w:rsid w:val="007F0694"/>
    <w:rsid w:val="007F1638"/>
    <w:rsid w:val="00802B29"/>
    <w:rsid w:val="008065EB"/>
    <w:rsid w:val="00811DB7"/>
    <w:rsid w:val="008163D2"/>
    <w:rsid w:val="0081760F"/>
    <w:rsid w:val="008203AE"/>
    <w:rsid w:val="00820DA5"/>
    <w:rsid w:val="00821AAB"/>
    <w:rsid w:val="00822639"/>
    <w:rsid w:val="00825F2E"/>
    <w:rsid w:val="00837C03"/>
    <w:rsid w:val="00844D24"/>
    <w:rsid w:val="00850DAF"/>
    <w:rsid w:val="008517F4"/>
    <w:rsid w:val="0086475A"/>
    <w:rsid w:val="00872AC1"/>
    <w:rsid w:val="0087332C"/>
    <w:rsid w:val="00875FE2"/>
    <w:rsid w:val="00880C8A"/>
    <w:rsid w:val="00881233"/>
    <w:rsid w:val="00883525"/>
    <w:rsid w:val="00884155"/>
    <w:rsid w:val="008867C2"/>
    <w:rsid w:val="00887197"/>
    <w:rsid w:val="008876C1"/>
    <w:rsid w:val="0089032C"/>
    <w:rsid w:val="00890947"/>
    <w:rsid w:val="00894B56"/>
    <w:rsid w:val="008A2147"/>
    <w:rsid w:val="008A710C"/>
    <w:rsid w:val="008B1F7F"/>
    <w:rsid w:val="008B3237"/>
    <w:rsid w:val="008B3E03"/>
    <w:rsid w:val="008B6D87"/>
    <w:rsid w:val="008C242A"/>
    <w:rsid w:val="008C7436"/>
    <w:rsid w:val="008E083A"/>
    <w:rsid w:val="008E218C"/>
    <w:rsid w:val="008F2D50"/>
    <w:rsid w:val="009148B5"/>
    <w:rsid w:val="009150EB"/>
    <w:rsid w:val="00916BD1"/>
    <w:rsid w:val="00921BBD"/>
    <w:rsid w:val="0092607C"/>
    <w:rsid w:val="009263A8"/>
    <w:rsid w:val="00932027"/>
    <w:rsid w:val="00933FA4"/>
    <w:rsid w:val="00936469"/>
    <w:rsid w:val="00941BC7"/>
    <w:rsid w:val="00950DB3"/>
    <w:rsid w:val="009524C4"/>
    <w:rsid w:val="009550AE"/>
    <w:rsid w:val="00956205"/>
    <w:rsid w:val="009609C6"/>
    <w:rsid w:val="009643B6"/>
    <w:rsid w:val="00966BD1"/>
    <w:rsid w:val="00967DAE"/>
    <w:rsid w:val="00972D07"/>
    <w:rsid w:val="009747A7"/>
    <w:rsid w:val="00976521"/>
    <w:rsid w:val="00980F6A"/>
    <w:rsid w:val="00981C9F"/>
    <w:rsid w:val="009905C7"/>
    <w:rsid w:val="009944E4"/>
    <w:rsid w:val="009A2EF6"/>
    <w:rsid w:val="009B02C5"/>
    <w:rsid w:val="009B4BBB"/>
    <w:rsid w:val="009B7453"/>
    <w:rsid w:val="009C0CF5"/>
    <w:rsid w:val="009D6B98"/>
    <w:rsid w:val="009E2893"/>
    <w:rsid w:val="009E2C18"/>
    <w:rsid w:val="009E53E4"/>
    <w:rsid w:val="009E5B19"/>
    <w:rsid w:val="009E67D8"/>
    <w:rsid w:val="009E79CD"/>
    <w:rsid w:val="009E7DDB"/>
    <w:rsid w:val="009F47E5"/>
    <w:rsid w:val="00A03548"/>
    <w:rsid w:val="00A10F2D"/>
    <w:rsid w:val="00A11F6C"/>
    <w:rsid w:val="00A12F54"/>
    <w:rsid w:val="00A13F3A"/>
    <w:rsid w:val="00A141AF"/>
    <w:rsid w:val="00A17F94"/>
    <w:rsid w:val="00A2261C"/>
    <w:rsid w:val="00A23E95"/>
    <w:rsid w:val="00A27045"/>
    <w:rsid w:val="00A30753"/>
    <w:rsid w:val="00A3371D"/>
    <w:rsid w:val="00A40DC2"/>
    <w:rsid w:val="00A45697"/>
    <w:rsid w:val="00A45A87"/>
    <w:rsid w:val="00A46A90"/>
    <w:rsid w:val="00A46C36"/>
    <w:rsid w:val="00A5653E"/>
    <w:rsid w:val="00A56E16"/>
    <w:rsid w:val="00A57CCD"/>
    <w:rsid w:val="00A6139E"/>
    <w:rsid w:val="00A63932"/>
    <w:rsid w:val="00A666D1"/>
    <w:rsid w:val="00A7099E"/>
    <w:rsid w:val="00A74B62"/>
    <w:rsid w:val="00A80D08"/>
    <w:rsid w:val="00A831D0"/>
    <w:rsid w:val="00A84C3B"/>
    <w:rsid w:val="00A90AC1"/>
    <w:rsid w:val="00AA4841"/>
    <w:rsid w:val="00AA6BE5"/>
    <w:rsid w:val="00AA7776"/>
    <w:rsid w:val="00AB3849"/>
    <w:rsid w:val="00AB7A3A"/>
    <w:rsid w:val="00AC2D7A"/>
    <w:rsid w:val="00AC73E9"/>
    <w:rsid w:val="00AD14A5"/>
    <w:rsid w:val="00AD2CB1"/>
    <w:rsid w:val="00AD40BC"/>
    <w:rsid w:val="00AD4FBF"/>
    <w:rsid w:val="00AD4FDD"/>
    <w:rsid w:val="00AD5203"/>
    <w:rsid w:val="00AE30FA"/>
    <w:rsid w:val="00AE61CB"/>
    <w:rsid w:val="00AF39FE"/>
    <w:rsid w:val="00AF7109"/>
    <w:rsid w:val="00B0523D"/>
    <w:rsid w:val="00B16896"/>
    <w:rsid w:val="00B24DC5"/>
    <w:rsid w:val="00B304AA"/>
    <w:rsid w:val="00B306E8"/>
    <w:rsid w:val="00B343C1"/>
    <w:rsid w:val="00B36783"/>
    <w:rsid w:val="00B36A72"/>
    <w:rsid w:val="00B36C3F"/>
    <w:rsid w:val="00B4075F"/>
    <w:rsid w:val="00B41884"/>
    <w:rsid w:val="00B44BBB"/>
    <w:rsid w:val="00B451A2"/>
    <w:rsid w:val="00B45379"/>
    <w:rsid w:val="00B46182"/>
    <w:rsid w:val="00B51F6B"/>
    <w:rsid w:val="00B556B0"/>
    <w:rsid w:val="00B63F13"/>
    <w:rsid w:val="00B6597B"/>
    <w:rsid w:val="00B65DF4"/>
    <w:rsid w:val="00B66369"/>
    <w:rsid w:val="00B670AA"/>
    <w:rsid w:val="00B7458E"/>
    <w:rsid w:val="00B74FD7"/>
    <w:rsid w:val="00B7640E"/>
    <w:rsid w:val="00B821EA"/>
    <w:rsid w:val="00B82DD8"/>
    <w:rsid w:val="00B839EC"/>
    <w:rsid w:val="00B84E6D"/>
    <w:rsid w:val="00B85ECA"/>
    <w:rsid w:val="00B901E3"/>
    <w:rsid w:val="00B92D1F"/>
    <w:rsid w:val="00B92F01"/>
    <w:rsid w:val="00B9463D"/>
    <w:rsid w:val="00B96B22"/>
    <w:rsid w:val="00B96B4C"/>
    <w:rsid w:val="00B978E3"/>
    <w:rsid w:val="00BA0BDB"/>
    <w:rsid w:val="00BA12EF"/>
    <w:rsid w:val="00BA2474"/>
    <w:rsid w:val="00BA2ACC"/>
    <w:rsid w:val="00BA3E21"/>
    <w:rsid w:val="00BA4700"/>
    <w:rsid w:val="00BA551C"/>
    <w:rsid w:val="00BA5A2E"/>
    <w:rsid w:val="00BA6B56"/>
    <w:rsid w:val="00BA753A"/>
    <w:rsid w:val="00BB1308"/>
    <w:rsid w:val="00BC24C5"/>
    <w:rsid w:val="00BC438C"/>
    <w:rsid w:val="00BD16FE"/>
    <w:rsid w:val="00BD36AB"/>
    <w:rsid w:val="00BE0F84"/>
    <w:rsid w:val="00BE4C08"/>
    <w:rsid w:val="00BF39DA"/>
    <w:rsid w:val="00C02BC0"/>
    <w:rsid w:val="00C05BCC"/>
    <w:rsid w:val="00C06594"/>
    <w:rsid w:val="00C127E0"/>
    <w:rsid w:val="00C206D6"/>
    <w:rsid w:val="00C26119"/>
    <w:rsid w:val="00C2624B"/>
    <w:rsid w:val="00C32D82"/>
    <w:rsid w:val="00C33546"/>
    <w:rsid w:val="00C35DCE"/>
    <w:rsid w:val="00C43655"/>
    <w:rsid w:val="00C471D1"/>
    <w:rsid w:val="00C5030B"/>
    <w:rsid w:val="00C5031B"/>
    <w:rsid w:val="00C52B40"/>
    <w:rsid w:val="00C54E19"/>
    <w:rsid w:val="00C570BB"/>
    <w:rsid w:val="00C7432B"/>
    <w:rsid w:val="00C744BC"/>
    <w:rsid w:val="00C778E1"/>
    <w:rsid w:val="00C812C2"/>
    <w:rsid w:val="00C83368"/>
    <w:rsid w:val="00C83E9E"/>
    <w:rsid w:val="00C840A6"/>
    <w:rsid w:val="00C859FE"/>
    <w:rsid w:val="00C8697E"/>
    <w:rsid w:val="00C878F6"/>
    <w:rsid w:val="00C903F3"/>
    <w:rsid w:val="00C904A0"/>
    <w:rsid w:val="00C90E51"/>
    <w:rsid w:val="00CA0500"/>
    <w:rsid w:val="00CA580A"/>
    <w:rsid w:val="00CB0ACF"/>
    <w:rsid w:val="00CB264B"/>
    <w:rsid w:val="00CB6BE4"/>
    <w:rsid w:val="00CC0139"/>
    <w:rsid w:val="00CC0170"/>
    <w:rsid w:val="00CC3084"/>
    <w:rsid w:val="00CD2AB5"/>
    <w:rsid w:val="00CD49B7"/>
    <w:rsid w:val="00CD50B1"/>
    <w:rsid w:val="00CF5DAE"/>
    <w:rsid w:val="00CF6793"/>
    <w:rsid w:val="00D02360"/>
    <w:rsid w:val="00D07FD7"/>
    <w:rsid w:val="00D113F7"/>
    <w:rsid w:val="00D11AD7"/>
    <w:rsid w:val="00D137D5"/>
    <w:rsid w:val="00D17A09"/>
    <w:rsid w:val="00D217DF"/>
    <w:rsid w:val="00D23B8B"/>
    <w:rsid w:val="00D24E08"/>
    <w:rsid w:val="00D278AF"/>
    <w:rsid w:val="00D312AF"/>
    <w:rsid w:val="00D31CA2"/>
    <w:rsid w:val="00D32C80"/>
    <w:rsid w:val="00D32EAF"/>
    <w:rsid w:val="00D348BC"/>
    <w:rsid w:val="00D54B4A"/>
    <w:rsid w:val="00D54CBB"/>
    <w:rsid w:val="00D61087"/>
    <w:rsid w:val="00D61F83"/>
    <w:rsid w:val="00D637EB"/>
    <w:rsid w:val="00D638FA"/>
    <w:rsid w:val="00D73BB9"/>
    <w:rsid w:val="00D772C0"/>
    <w:rsid w:val="00D82FB9"/>
    <w:rsid w:val="00D856C9"/>
    <w:rsid w:val="00D93954"/>
    <w:rsid w:val="00D948CF"/>
    <w:rsid w:val="00D94E5E"/>
    <w:rsid w:val="00D9573D"/>
    <w:rsid w:val="00DA2A9D"/>
    <w:rsid w:val="00DA3DAF"/>
    <w:rsid w:val="00DA7A41"/>
    <w:rsid w:val="00DA7D6B"/>
    <w:rsid w:val="00DB29E1"/>
    <w:rsid w:val="00DC00BF"/>
    <w:rsid w:val="00DC08C0"/>
    <w:rsid w:val="00DC25D5"/>
    <w:rsid w:val="00DC33D2"/>
    <w:rsid w:val="00DD0AF7"/>
    <w:rsid w:val="00DD395C"/>
    <w:rsid w:val="00DD63C8"/>
    <w:rsid w:val="00DE05F0"/>
    <w:rsid w:val="00DE085D"/>
    <w:rsid w:val="00DF135B"/>
    <w:rsid w:val="00DF34BE"/>
    <w:rsid w:val="00DF6119"/>
    <w:rsid w:val="00DF7C8C"/>
    <w:rsid w:val="00E108AC"/>
    <w:rsid w:val="00E11D14"/>
    <w:rsid w:val="00E145F3"/>
    <w:rsid w:val="00E21BF6"/>
    <w:rsid w:val="00E23E99"/>
    <w:rsid w:val="00E265FF"/>
    <w:rsid w:val="00E26CA1"/>
    <w:rsid w:val="00E26CCD"/>
    <w:rsid w:val="00E32821"/>
    <w:rsid w:val="00E367FF"/>
    <w:rsid w:val="00E37749"/>
    <w:rsid w:val="00E40E0F"/>
    <w:rsid w:val="00E41441"/>
    <w:rsid w:val="00E43921"/>
    <w:rsid w:val="00E4392A"/>
    <w:rsid w:val="00E53D69"/>
    <w:rsid w:val="00E550A2"/>
    <w:rsid w:val="00E55F49"/>
    <w:rsid w:val="00E60B51"/>
    <w:rsid w:val="00E64736"/>
    <w:rsid w:val="00E64F09"/>
    <w:rsid w:val="00E64F66"/>
    <w:rsid w:val="00E73F40"/>
    <w:rsid w:val="00E74057"/>
    <w:rsid w:val="00E751D4"/>
    <w:rsid w:val="00E75AA9"/>
    <w:rsid w:val="00E86E35"/>
    <w:rsid w:val="00E9007A"/>
    <w:rsid w:val="00EA61FD"/>
    <w:rsid w:val="00EB23C0"/>
    <w:rsid w:val="00EB2E3B"/>
    <w:rsid w:val="00EB3FAA"/>
    <w:rsid w:val="00EB7326"/>
    <w:rsid w:val="00EB754F"/>
    <w:rsid w:val="00EC35AB"/>
    <w:rsid w:val="00ED043A"/>
    <w:rsid w:val="00ED09D4"/>
    <w:rsid w:val="00ED0F4E"/>
    <w:rsid w:val="00EF3289"/>
    <w:rsid w:val="00F03CB5"/>
    <w:rsid w:val="00F06B87"/>
    <w:rsid w:val="00F13248"/>
    <w:rsid w:val="00F22003"/>
    <w:rsid w:val="00F225D1"/>
    <w:rsid w:val="00F22870"/>
    <w:rsid w:val="00F26AE1"/>
    <w:rsid w:val="00F366B1"/>
    <w:rsid w:val="00F36C0D"/>
    <w:rsid w:val="00F37A6C"/>
    <w:rsid w:val="00F41F7F"/>
    <w:rsid w:val="00F43799"/>
    <w:rsid w:val="00F43D97"/>
    <w:rsid w:val="00F43E53"/>
    <w:rsid w:val="00F458E2"/>
    <w:rsid w:val="00F50BE5"/>
    <w:rsid w:val="00F52120"/>
    <w:rsid w:val="00F53EB9"/>
    <w:rsid w:val="00F56D96"/>
    <w:rsid w:val="00F57AD1"/>
    <w:rsid w:val="00F64250"/>
    <w:rsid w:val="00F67C12"/>
    <w:rsid w:val="00F70414"/>
    <w:rsid w:val="00F71B18"/>
    <w:rsid w:val="00F82307"/>
    <w:rsid w:val="00F90EF8"/>
    <w:rsid w:val="00F91364"/>
    <w:rsid w:val="00F92C5B"/>
    <w:rsid w:val="00F92DE6"/>
    <w:rsid w:val="00F96209"/>
    <w:rsid w:val="00F97B5C"/>
    <w:rsid w:val="00FA049F"/>
    <w:rsid w:val="00FB041F"/>
    <w:rsid w:val="00FB0759"/>
    <w:rsid w:val="00FC121D"/>
    <w:rsid w:val="00FD2D12"/>
    <w:rsid w:val="00FD628A"/>
    <w:rsid w:val="00FD689B"/>
    <w:rsid w:val="00FD6F73"/>
    <w:rsid w:val="00FE652E"/>
    <w:rsid w:val="00FE6F3A"/>
    <w:rsid w:val="00FE7D07"/>
    <w:rsid w:val="00FF1626"/>
    <w:rsid w:val="00FF1E64"/>
    <w:rsid w:val="00FF3BC1"/>
    <w:rsid w:val="011D50A5"/>
    <w:rsid w:val="062738F8"/>
    <w:rsid w:val="06BBF24F"/>
    <w:rsid w:val="0855FBD9"/>
    <w:rsid w:val="0B8FB523"/>
    <w:rsid w:val="127CC118"/>
    <w:rsid w:val="1AC44EA7"/>
    <w:rsid w:val="20722FC7"/>
    <w:rsid w:val="22436D3F"/>
    <w:rsid w:val="232C6882"/>
    <w:rsid w:val="2392FC4F"/>
    <w:rsid w:val="23FA48D5"/>
    <w:rsid w:val="24599C29"/>
    <w:rsid w:val="2880EB1F"/>
    <w:rsid w:val="28815C87"/>
    <w:rsid w:val="29879D7E"/>
    <w:rsid w:val="2A269545"/>
    <w:rsid w:val="2AC6574B"/>
    <w:rsid w:val="2CB8C891"/>
    <w:rsid w:val="36A4AEFF"/>
    <w:rsid w:val="3FA44D25"/>
    <w:rsid w:val="4279CA6B"/>
    <w:rsid w:val="43273EC5"/>
    <w:rsid w:val="45B149FF"/>
    <w:rsid w:val="4835DFA9"/>
    <w:rsid w:val="4B5717C3"/>
    <w:rsid w:val="4B727CF7"/>
    <w:rsid w:val="58092851"/>
    <w:rsid w:val="5961FBCD"/>
    <w:rsid w:val="5C247608"/>
    <w:rsid w:val="5FABA159"/>
    <w:rsid w:val="654D7485"/>
    <w:rsid w:val="66EDD8F3"/>
    <w:rsid w:val="6BEBA93B"/>
    <w:rsid w:val="6CA5F0E9"/>
    <w:rsid w:val="708457D1"/>
    <w:rsid w:val="709FC2C7"/>
    <w:rsid w:val="713B127E"/>
    <w:rsid w:val="7FAC7B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CB48A4"/>
  <w15:chartTrackingRefBased/>
  <w15:docId w15:val="{478F2FDE-95A5-4C9E-874C-FF399403E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paragraph" w:styleId="FootnoteText">
    <w:name w:val="footnote text"/>
    <w:basedOn w:val="Normal"/>
    <w:link w:val="FootnoteTextChar"/>
    <w:uiPriority w:val="99"/>
    <w:unhideWhenUsed/>
    <w:rsid w:val="00B92F01"/>
    <w:pPr>
      <w:spacing w:line="240" w:lineRule="auto"/>
    </w:pPr>
    <w:rPr>
      <w:szCs w:val="20"/>
    </w:rPr>
  </w:style>
  <w:style w:type="character" w:customStyle="1" w:styleId="FootnoteTextChar">
    <w:name w:val="Footnote Text Char"/>
    <w:basedOn w:val="DefaultParagraphFont"/>
    <w:link w:val="FootnoteText"/>
    <w:uiPriority w:val="99"/>
    <w:rsid w:val="00B92F01"/>
    <w:rPr>
      <w:rFonts w:ascii="Verdana" w:hAnsi="Verdana"/>
      <w:sz w:val="20"/>
      <w:szCs w:val="20"/>
      <w:lang w:val="en-GB"/>
    </w:rPr>
  </w:style>
  <w:style w:type="character" w:styleId="FootnoteReference">
    <w:name w:val="footnote reference"/>
    <w:uiPriority w:val="99"/>
    <w:rsid w:val="00B92F01"/>
    <w:rPr>
      <w:vertAlign w:val="superscript"/>
    </w:rPr>
  </w:style>
  <w:style w:type="paragraph" w:customStyle="1" w:styleId="paragraph">
    <w:name w:val="paragraph"/>
    <w:basedOn w:val="Normal"/>
    <w:rsid w:val="00894B56"/>
    <w:pPr>
      <w:spacing w:before="100" w:beforeAutospacing="1" w:after="100" w:afterAutospacing="1" w:line="240" w:lineRule="auto"/>
    </w:pPr>
    <w:rPr>
      <w:rFonts w:ascii="Times New Roman" w:eastAsia="Times New Roman" w:hAnsi="Times New Roman" w:cs="Times New Roman"/>
      <w:sz w:val="24"/>
      <w:lang w:eastAsia="en-GB"/>
    </w:rPr>
  </w:style>
  <w:style w:type="character" w:customStyle="1" w:styleId="normaltextrun">
    <w:name w:val="normaltextrun"/>
    <w:basedOn w:val="DefaultParagraphFont"/>
    <w:rsid w:val="00894B56"/>
  </w:style>
  <w:style w:type="character" w:customStyle="1" w:styleId="eop">
    <w:name w:val="eop"/>
    <w:basedOn w:val="DefaultParagraphFont"/>
    <w:rsid w:val="00894B56"/>
  </w:style>
  <w:style w:type="character" w:styleId="CommentReference">
    <w:name w:val="annotation reference"/>
    <w:basedOn w:val="DefaultParagraphFont"/>
    <w:uiPriority w:val="99"/>
    <w:semiHidden/>
    <w:unhideWhenUsed/>
    <w:rsid w:val="006532A1"/>
    <w:rPr>
      <w:sz w:val="16"/>
      <w:szCs w:val="16"/>
    </w:rPr>
  </w:style>
  <w:style w:type="paragraph" w:styleId="CommentText">
    <w:name w:val="annotation text"/>
    <w:basedOn w:val="Normal"/>
    <w:link w:val="CommentTextChar"/>
    <w:uiPriority w:val="99"/>
    <w:semiHidden/>
    <w:unhideWhenUsed/>
    <w:rsid w:val="006532A1"/>
    <w:pPr>
      <w:spacing w:line="240" w:lineRule="auto"/>
    </w:pPr>
    <w:rPr>
      <w:szCs w:val="20"/>
    </w:rPr>
  </w:style>
  <w:style w:type="character" w:customStyle="1" w:styleId="CommentTextChar">
    <w:name w:val="Comment Text Char"/>
    <w:basedOn w:val="DefaultParagraphFont"/>
    <w:link w:val="CommentText"/>
    <w:uiPriority w:val="99"/>
    <w:semiHidden/>
    <w:rsid w:val="006532A1"/>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6532A1"/>
    <w:rPr>
      <w:b/>
      <w:bCs/>
    </w:rPr>
  </w:style>
  <w:style w:type="character" w:customStyle="1" w:styleId="CommentSubjectChar">
    <w:name w:val="Comment Subject Char"/>
    <w:basedOn w:val="CommentTextChar"/>
    <w:link w:val="CommentSubject"/>
    <w:uiPriority w:val="99"/>
    <w:semiHidden/>
    <w:rsid w:val="006532A1"/>
    <w:rPr>
      <w:rFonts w:ascii="Verdana" w:hAnsi="Verdana"/>
      <w:b/>
      <w:bCs/>
      <w:sz w:val="20"/>
      <w:szCs w:val="20"/>
      <w:lang w:val="en-GB"/>
    </w:rPr>
  </w:style>
  <w:style w:type="character" w:styleId="UnresolvedMention">
    <w:name w:val="Unresolved Mention"/>
    <w:basedOn w:val="DefaultParagraphFont"/>
    <w:uiPriority w:val="99"/>
    <w:unhideWhenUsed/>
    <w:rsid w:val="00B44BBB"/>
    <w:rPr>
      <w:color w:val="605E5C"/>
      <w:shd w:val="clear" w:color="auto" w:fill="E1DFDD"/>
    </w:rPr>
  </w:style>
  <w:style w:type="character" w:styleId="Mention">
    <w:name w:val="Mention"/>
    <w:basedOn w:val="DefaultParagraphFont"/>
    <w:uiPriority w:val="99"/>
    <w:unhideWhenUsed/>
    <w:rsid w:val="00B44BB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0373">
      <w:bodyDiv w:val="1"/>
      <w:marLeft w:val="0"/>
      <w:marRight w:val="0"/>
      <w:marTop w:val="0"/>
      <w:marBottom w:val="0"/>
      <w:divBdr>
        <w:top w:val="none" w:sz="0" w:space="0" w:color="auto"/>
        <w:left w:val="none" w:sz="0" w:space="0" w:color="auto"/>
        <w:bottom w:val="none" w:sz="0" w:space="0" w:color="auto"/>
        <w:right w:val="none" w:sz="0" w:space="0" w:color="auto"/>
      </w:divBdr>
      <w:divsChild>
        <w:div w:id="57675314">
          <w:marLeft w:val="0"/>
          <w:marRight w:val="0"/>
          <w:marTop w:val="0"/>
          <w:marBottom w:val="0"/>
          <w:divBdr>
            <w:top w:val="none" w:sz="0" w:space="0" w:color="auto"/>
            <w:left w:val="none" w:sz="0" w:space="0" w:color="auto"/>
            <w:bottom w:val="none" w:sz="0" w:space="0" w:color="auto"/>
            <w:right w:val="none" w:sz="0" w:space="0" w:color="auto"/>
          </w:divBdr>
        </w:div>
        <w:div w:id="787050057">
          <w:marLeft w:val="0"/>
          <w:marRight w:val="0"/>
          <w:marTop w:val="0"/>
          <w:marBottom w:val="0"/>
          <w:divBdr>
            <w:top w:val="none" w:sz="0" w:space="0" w:color="auto"/>
            <w:left w:val="none" w:sz="0" w:space="0" w:color="auto"/>
            <w:bottom w:val="none" w:sz="0" w:space="0" w:color="auto"/>
            <w:right w:val="none" w:sz="0" w:space="0" w:color="auto"/>
          </w:divBdr>
        </w:div>
      </w:divsChild>
    </w:div>
    <w:div w:id="53088250">
      <w:bodyDiv w:val="1"/>
      <w:marLeft w:val="0"/>
      <w:marRight w:val="0"/>
      <w:marTop w:val="0"/>
      <w:marBottom w:val="0"/>
      <w:divBdr>
        <w:top w:val="none" w:sz="0" w:space="0" w:color="auto"/>
        <w:left w:val="none" w:sz="0" w:space="0" w:color="auto"/>
        <w:bottom w:val="none" w:sz="0" w:space="0" w:color="auto"/>
        <w:right w:val="none" w:sz="0" w:space="0" w:color="auto"/>
      </w:divBdr>
    </w:div>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65487861">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238834481">
      <w:bodyDiv w:val="1"/>
      <w:marLeft w:val="0"/>
      <w:marRight w:val="0"/>
      <w:marTop w:val="0"/>
      <w:marBottom w:val="0"/>
      <w:divBdr>
        <w:top w:val="none" w:sz="0" w:space="0" w:color="auto"/>
        <w:left w:val="none" w:sz="0" w:space="0" w:color="auto"/>
        <w:bottom w:val="none" w:sz="0" w:space="0" w:color="auto"/>
        <w:right w:val="none" w:sz="0" w:space="0" w:color="auto"/>
      </w:divBdr>
      <w:divsChild>
        <w:div w:id="1117988866">
          <w:marLeft w:val="0"/>
          <w:marRight w:val="0"/>
          <w:marTop w:val="0"/>
          <w:marBottom w:val="0"/>
          <w:divBdr>
            <w:top w:val="none" w:sz="0" w:space="0" w:color="auto"/>
            <w:left w:val="none" w:sz="0" w:space="0" w:color="auto"/>
            <w:bottom w:val="none" w:sz="0" w:space="0" w:color="auto"/>
            <w:right w:val="none" w:sz="0" w:space="0" w:color="auto"/>
          </w:divBdr>
        </w:div>
        <w:div w:id="1302927175">
          <w:marLeft w:val="0"/>
          <w:marRight w:val="0"/>
          <w:marTop w:val="0"/>
          <w:marBottom w:val="0"/>
          <w:divBdr>
            <w:top w:val="none" w:sz="0" w:space="0" w:color="auto"/>
            <w:left w:val="none" w:sz="0" w:space="0" w:color="auto"/>
            <w:bottom w:val="none" w:sz="0" w:space="0" w:color="auto"/>
            <w:right w:val="none" w:sz="0" w:space="0" w:color="auto"/>
          </w:divBdr>
        </w:div>
        <w:div w:id="2134442748">
          <w:marLeft w:val="0"/>
          <w:marRight w:val="0"/>
          <w:marTop w:val="0"/>
          <w:marBottom w:val="0"/>
          <w:divBdr>
            <w:top w:val="none" w:sz="0" w:space="0" w:color="auto"/>
            <w:left w:val="none" w:sz="0" w:space="0" w:color="auto"/>
            <w:bottom w:val="none" w:sz="0" w:space="0" w:color="auto"/>
            <w:right w:val="none" w:sz="0" w:space="0" w:color="auto"/>
          </w:divBdr>
        </w:div>
      </w:divsChild>
    </w:div>
    <w:div w:id="440807867">
      <w:bodyDiv w:val="1"/>
      <w:marLeft w:val="0"/>
      <w:marRight w:val="0"/>
      <w:marTop w:val="0"/>
      <w:marBottom w:val="0"/>
      <w:divBdr>
        <w:top w:val="none" w:sz="0" w:space="0" w:color="auto"/>
        <w:left w:val="none" w:sz="0" w:space="0" w:color="auto"/>
        <w:bottom w:val="none" w:sz="0" w:space="0" w:color="auto"/>
        <w:right w:val="none" w:sz="0" w:space="0" w:color="auto"/>
      </w:divBdr>
    </w:div>
    <w:div w:id="542786557">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27980025">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822504504">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992875410">
      <w:bodyDiv w:val="1"/>
      <w:marLeft w:val="0"/>
      <w:marRight w:val="0"/>
      <w:marTop w:val="0"/>
      <w:marBottom w:val="0"/>
      <w:divBdr>
        <w:top w:val="none" w:sz="0" w:space="0" w:color="auto"/>
        <w:left w:val="none" w:sz="0" w:space="0" w:color="auto"/>
        <w:bottom w:val="none" w:sz="0" w:space="0" w:color="auto"/>
        <w:right w:val="none" w:sz="0" w:space="0" w:color="auto"/>
      </w:divBdr>
    </w:div>
    <w:div w:id="995258770">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132938221">
      <w:bodyDiv w:val="1"/>
      <w:marLeft w:val="0"/>
      <w:marRight w:val="0"/>
      <w:marTop w:val="0"/>
      <w:marBottom w:val="0"/>
      <w:divBdr>
        <w:top w:val="none" w:sz="0" w:space="0" w:color="auto"/>
        <w:left w:val="none" w:sz="0" w:space="0" w:color="auto"/>
        <w:bottom w:val="none" w:sz="0" w:space="0" w:color="auto"/>
        <w:right w:val="none" w:sz="0" w:space="0" w:color="auto"/>
      </w:divBdr>
      <w:divsChild>
        <w:div w:id="731654124">
          <w:marLeft w:val="0"/>
          <w:marRight w:val="0"/>
          <w:marTop w:val="0"/>
          <w:marBottom w:val="0"/>
          <w:divBdr>
            <w:top w:val="none" w:sz="0" w:space="0" w:color="auto"/>
            <w:left w:val="none" w:sz="0" w:space="0" w:color="auto"/>
            <w:bottom w:val="none" w:sz="0" w:space="0" w:color="auto"/>
            <w:right w:val="none" w:sz="0" w:space="0" w:color="auto"/>
          </w:divBdr>
        </w:div>
        <w:div w:id="1785004250">
          <w:marLeft w:val="0"/>
          <w:marRight w:val="0"/>
          <w:marTop w:val="0"/>
          <w:marBottom w:val="0"/>
          <w:divBdr>
            <w:top w:val="none" w:sz="0" w:space="0" w:color="auto"/>
            <w:left w:val="none" w:sz="0" w:space="0" w:color="auto"/>
            <w:bottom w:val="none" w:sz="0" w:space="0" w:color="auto"/>
            <w:right w:val="none" w:sz="0" w:space="0" w:color="auto"/>
          </w:divBdr>
        </w:div>
        <w:div w:id="2142142123">
          <w:marLeft w:val="0"/>
          <w:marRight w:val="0"/>
          <w:marTop w:val="0"/>
          <w:marBottom w:val="0"/>
          <w:divBdr>
            <w:top w:val="none" w:sz="0" w:space="0" w:color="auto"/>
            <w:left w:val="none" w:sz="0" w:space="0" w:color="auto"/>
            <w:bottom w:val="none" w:sz="0" w:space="0" w:color="auto"/>
            <w:right w:val="none" w:sz="0" w:space="0" w:color="auto"/>
          </w:divBdr>
        </w:div>
      </w:divsChild>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358312514">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458256016">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12972455">
      <w:bodyDiv w:val="1"/>
      <w:marLeft w:val="0"/>
      <w:marRight w:val="0"/>
      <w:marTop w:val="0"/>
      <w:marBottom w:val="0"/>
      <w:divBdr>
        <w:top w:val="none" w:sz="0" w:space="0" w:color="auto"/>
        <w:left w:val="none" w:sz="0" w:space="0" w:color="auto"/>
        <w:bottom w:val="none" w:sz="0" w:space="0" w:color="auto"/>
        <w:right w:val="none" w:sz="0" w:space="0" w:color="auto"/>
      </w:divBdr>
    </w:div>
    <w:div w:id="1640114552">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54945373">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067486108">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41070774">
      <w:bodyDiv w:val="1"/>
      <w:marLeft w:val="0"/>
      <w:marRight w:val="0"/>
      <w:marTop w:val="0"/>
      <w:marBottom w:val="0"/>
      <w:divBdr>
        <w:top w:val="none" w:sz="0" w:space="0" w:color="auto"/>
        <w:left w:val="none" w:sz="0" w:space="0" w:color="auto"/>
        <w:bottom w:val="none" w:sz="0" w:space="0" w:color="auto"/>
        <w:right w:val="none" w:sz="0" w:space="0" w:color="auto"/>
      </w:divBdr>
    </w:div>
    <w:div w:id="214441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4.xml><?xml version="1.0" encoding="utf-8"?>
<ds:datastoreItem xmlns:ds="http://schemas.openxmlformats.org/officeDocument/2006/customXml" ds:itemID="{17B6FF5B-3AEB-4958-8F9A-3BECEC9B70F1}">
  <ds:schemaRefs>
    <ds:schemaRef ds:uri="http://schemas.microsoft.com/office/2006/documentManagement/types"/>
    <ds:schemaRef ds:uri="http://purl.org/dc/terms/"/>
    <ds:schemaRef ds:uri="http://schemas.microsoft.com/office/infopath/2007/PartnerControls"/>
    <ds:schemaRef ds:uri="http://purl.org/dc/dcmitype/"/>
    <ds:schemaRef ds:uri="cdc4c19c-049b-4496-b023-9deca447e204"/>
    <ds:schemaRef ds:uri="http://purl.org/dc/elements/1.1/"/>
    <ds:schemaRef ds:uri="http://schemas.microsoft.com/office/2006/metadata/properties"/>
    <ds:schemaRef ds:uri="http://schemas.openxmlformats.org/package/2006/metadata/core-properties"/>
    <ds:schemaRef ds:uri="ba4c1627-414a-414a-b605-c0f228a4e6b4"/>
    <ds:schemaRef ds:uri="http://www.w3.org/XML/1998/namespace"/>
  </ds:schemaRefs>
</ds:datastoreItem>
</file>

<file path=customXml/itemProps5.xml><?xml version="1.0" encoding="utf-8"?>
<ds:datastoreItem xmlns:ds="http://schemas.openxmlformats.org/officeDocument/2006/customXml" ds:itemID="{74E582FE-3BFF-46A5-990D-8C19B813C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1535</Words>
  <Characters>8751</Characters>
  <Application>Microsoft Office Word</Application>
  <DocSecurity>0</DocSecurity>
  <Lines>72</Lines>
  <Paragraphs>20</Paragraphs>
  <ScaleCrop>false</ScaleCrop>
  <Company>Ofgem</Company>
  <LinksUpToDate>false</LinksUpToDate>
  <CharactersWithSpaces>10266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Tomlinson, Stephen</cp:lastModifiedBy>
  <cp:revision>413</cp:revision>
  <dcterms:created xsi:type="dcterms:W3CDTF">2020-09-18T08:24:00Z</dcterms:created>
  <dcterms:modified xsi:type="dcterms:W3CDTF">2020-09-21T15:56:00Z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