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0F380B16" w:rsidR="002F2C55" w:rsidRPr="006605C4" w:rsidRDefault="002F2C55" w:rsidP="001F6E93">
            <w:pPr>
              <w:pStyle w:val="Heading1"/>
              <w:rPr>
                <w:rFonts w:eastAsia="Times New Roman"/>
                <w:sz w:val="24"/>
              </w:rPr>
            </w:pPr>
            <w:r w:rsidRPr="006605C4">
              <w:rPr>
                <w:rFonts w:eastAsia="Times New Roman"/>
                <w:sz w:val="24"/>
              </w:rPr>
              <w:t>#</w:t>
            </w:r>
            <w:r w:rsidR="009E5B19">
              <w:rPr>
                <w:rFonts w:eastAsia="Times New Roman"/>
                <w:sz w:val="24"/>
              </w:rPr>
              <w:t>2</w:t>
            </w:r>
            <w:r w:rsidR="00BB4765">
              <w:rPr>
                <w:rFonts w:eastAsia="Times New Roman"/>
                <w:sz w:val="24"/>
              </w:rPr>
              <w:t>9</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3865542F" w:rsidR="002F2C55" w:rsidRPr="006605C4" w:rsidRDefault="004B537A" w:rsidP="001F6E93">
            <w:pPr>
              <w:pStyle w:val="Heading1"/>
              <w:rPr>
                <w:rFonts w:eastAsia="Times New Roman"/>
                <w:sz w:val="24"/>
              </w:rPr>
            </w:pPr>
            <w:r>
              <w:rPr>
                <w:rFonts w:eastAsia="Times New Roman"/>
                <w:sz w:val="24"/>
              </w:rPr>
              <w:t>7</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60159908" w:rsidR="002F2C55" w:rsidRPr="006605C4" w:rsidRDefault="00BB4765" w:rsidP="004B537A">
            <w:pPr>
              <w:pStyle w:val="Heading1"/>
              <w:rPr>
                <w:rFonts w:eastAsia="Times New Roman"/>
                <w:sz w:val="24"/>
              </w:rPr>
            </w:pPr>
            <w:r w:rsidRPr="00BB4765">
              <w:rPr>
                <w:rFonts w:eastAsia="Times New Roman"/>
                <w:sz w:val="24"/>
              </w:rPr>
              <w:t>We note that SGN received legal advice from Addleshaw Goddard in relation to the H100 project. Is SGN able to share a copy of this legal advice? (there is no page limit associated with this question).</w:t>
            </w:r>
          </w:p>
        </w:tc>
      </w:tr>
    </w:tbl>
    <w:p w14:paraId="768E604A" w14:textId="77777777" w:rsidR="002F2C55" w:rsidRDefault="002F2C55" w:rsidP="001F6E93">
      <w:pPr>
        <w:pStyle w:val="Heading2"/>
        <w:rPr>
          <w:rFonts w:eastAsia="Times New Roman"/>
        </w:rPr>
      </w:pPr>
      <w:bookmarkStart w:id="0" w:name="_Toc513709470"/>
    </w:p>
    <w:bookmarkEnd w:id="0"/>
    <w:p w14:paraId="19903D9A" w14:textId="17E4BEA0"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r w:rsidR="00E163CF">
        <w:rPr>
          <w:rFonts w:eastAsia="Times New Roman"/>
        </w:rPr>
        <w:t xml:space="preserve"> </w:t>
      </w:r>
    </w:p>
    <w:p w14:paraId="52ED1879" w14:textId="46BCA807" w:rsidR="00404EE8" w:rsidRDefault="00BF599B" w:rsidP="00C471D0">
      <w:pPr>
        <w:spacing w:after="240"/>
      </w:pPr>
      <w:r>
        <w:t>We</w:t>
      </w:r>
      <w:r w:rsidR="00197608" w:rsidRPr="00323B17">
        <w:t xml:space="preserve"> have </w:t>
      </w:r>
      <w:r w:rsidR="00323B17" w:rsidRPr="00323B17">
        <w:t>explored a spectrum of options and concluded that</w:t>
      </w:r>
      <w:r w:rsidR="00901F17" w:rsidRPr="00323B17">
        <w:t xml:space="preserve"> </w:t>
      </w:r>
      <w:r w:rsidR="00323B17" w:rsidRPr="00323B17">
        <w:t>t</w:t>
      </w:r>
      <w:r w:rsidR="00901F17" w:rsidRPr="00323B17">
        <w:t>h</w:t>
      </w:r>
      <w:r w:rsidR="007061D6" w:rsidRPr="00323B17">
        <w:t>e</w:t>
      </w:r>
      <w:r w:rsidR="00901F17" w:rsidRPr="00323B17">
        <w:t xml:space="preserve"> approach</w:t>
      </w:r>
      <w:r w:rsidR="007061D6" w:rsidRPr="00323B17">
        <w:t xml:space="preserve"> of Option 1 </w:t>
      </w:r>
      <w:r w:rsidR="00901F17" w:rsidRPr="00323B17">
        <w:t>represents the best customer value proposition</w:t>
      </w:r>
      <w:r w:rsidR="00323B17">
        <w:t>.</w:t>
      </w:r>
      <w:r w:rsidR="007061D6">
        <w:t xml:space="preserve"> </w:t>
      </w:r>
      <w:r w:rsidR="0092512F">
        <w:t>Other than customer consent th</w:t>
      </w:r>
      <w:r w:rsidR="008F76C9">
        <w:t xml:space="preserve">rough the opt-in process that will verify customer participation in the project, we are offering a solution that means customer will not need to </w:t>
      </w:r>
      <w:r w:rsidR="00A06B67">
        <w:t>make any changes to their existing billing arrangements</w:t>
      </w:r>
      <w:r w:rsidR="007849FE">
        <w:t xml:space="preserve"> with their supplier.</w:t>
      </w:r>
      <w:r w:rsidR="00A06B67">
        <w:t xml:space="preserve"> </w:t>
      </w:r>
      <w:r w:rsidR="007849FE">
        <w:t>T</w:t>
      </w:r>
      <w:r w:rsidR="00A06B67">
        <w:t xml:space="preserve">his interface will </w:t>
      </w:r>
      <w:r w:rsidR="007849FE">
        <w:t>be managed on behalf of the customer to ensure they</w:t>
      </w:r>
      <w:r w:rsidR="00A06B67">
        <w:t xml:space="preserve"> </w:t>
      </w:r>
      <w:r w:rsidR="007849FE">
        <w:t>are</w:t>
      </w:r>
      <w:r w:rsidR="00A06B67">
        <w:t xml:space="preserve"> paying the equivalent of the natural gas energy unit </w:t>
      </w:r>
      <w:r w:rsidR="00265B21">
        <w:t>price for their hydrogen usage.</w:t>
      </w:r>
      <w:r w:rsidR="00247610">
        <w:t xml:space="preserve"> Option 1 offers simplicity and flexibility to the customer while also securing participation from the supply chain </w:t>
      </w:r>
      <w:r w:rsidR="00E456F9">
        <w:t>as per normal commercial arrangements in delivering gas from producer to customer.</w:t>
      </w:r>
      <w:r w:rsidR="00C471D0">
        <w:t xml:space="preserve"> </w:t>
      </w:r>
    </w:p>
    <w:p w14:paraId="367FA51C" w14:textId="59EE045A" w:rsidR="00C471D0" w:rsidRDefault="00C471D0" w:rsidP="008F31C6">
      <w:pPr>
        <w:spacing w:after="240"/>
      </w:pPr>
      <w:r>
        <w:rPr>
          <w:rFonts w:eastAsia="Calibri" w:cs="Times New Roman"/>
        </w:rPr>
        <w:lastRenderedPageBreak/>
        <w:t xml:space="preserve">We have worked with Addleshaw Goddard LLP to review the relevant regulations, consider possible issues and identify a resolution which minimises the risk of any changes to the regulatory arrangements. In reaching the conclusion Section 7.1, we have identified Option 1 that requires </w:t>
      </w:r>
      <w:r w:rsidRPr="00845D18">
        <w:rPr>
          <w:rFonts w:eastAsia="Calibri" w:cs="Times New Roman"/>
          <w:b/>
          <w:bCs/>
        </w:rPr>
        <w:t>no derogation, licence consent, licence exemption or changes to regulatory arrangements</w:t>
      </w:r>
      <w:r>
        <w:rPr>
          <w:rFonts w:eastAsia="Calibri" w:cs="Times New Roman"/>
          <w:b/>
          <w:bCs/>
        </w:rPr>
        <w:t xml:space="preserve"> </w:t>
      </w:r>
      <w:r>
        <w:rPr>
          <w:rFonts w:eastAsia="Calibri" w:cs="Times New Roman"/>
        </w:rPr>
        <w:t xml:space="preserve">other than a letter of comfort addressing </w:t>
      </w:r>
      <w:r w:rsidRPr="00845D18">
        <w:rPr>
          <w:rFonts w:eastAsia="Calibri" w:cs="Times New Roman"/>
        </w:rPr>
        <w:t>The Gas (Calculation of Thermal Energy</w:t>
      </w:r>
      <w:r>
        <w:rPr>
          <w:rFonts w:eastAsia="Calibri" w:cs="Times New Roman"/>
        </w:rPr>
        <w:t>) Regulations.</w:t>
      </w:r>
    </w:p>
    <w:p w14:paraId="0428C05D" w14:textId="36876BCF" w:rsidR="00C471D0" w:rsidRDefault="008F31C6" w:rsidP="00AA0CD2">
      <w:pPr>
        <w:spacing w:after="240"/>
        <w:sectPr w:rsidR="00C471D0"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pPr>
      <w:r>
        <w:t xml:space="preserve">In Appendix O of the submission, we have provided the </w:t>
      </w:r>
      <w:r w:rsidR="00BF599B">
        <w:t xml:space="preserve">summarised </w:t>
      </w:r>
      <w:r>
        <w:t>legal advice but for the avoidance of doubt we have included this below for completeness</w:t>
      </w:r>
      <w:r w:rsidR="00AA0CD2">
        <w:t xml:space="preserve"> and to inform any further discussion</w:t>
      </w:r>
      <w:r w:rsidR="00FC0154">
        <w:t xml:space="preserve"> shou</w:t>
      </w:r>
      <w:r w:rsidR="00F10501">
        <w:t>ld this be requested.</w:t>
      </w:r>
      <w:bookmarkStart w:id="1" w:name="_GoBack"/>
      <w:bookmarkEnd w:id="1"/>
    </w:p>
    <w:p w14:paraId="52FF47A3" w14:textId="1AA632DE" w:rsidR="00265510" w:rsidRDefault="00265510" w:rsidP="006548AD">
      <w:pPr>
        <w:pStyle w:val="BodyText"/>
        <w:spacing w:line="360" w:lineRule="auto"/>
        <w:rPr>
          <w:rFonts w:ascii="Verdana" w:eastAsia="Calibri" w:hAnsi="Verdana" w:cs="Times New Roman"/>
          <w:szCs w:val="24"/>
        </w:rPr>
      </w:pPr>
    </w:p>
    <w:tbl>
      <w:tblPr>
        <w:tblW w:w="14714"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6"/>
        <w:gridCol w:w="3231"/>
        <w:gridCol w:w="11057"/>
      </w:tblGrid>
      <w:tr w:rsidR="00265510" w:rsidRPr="00C658D9" w14:paraId="15F51453" w14:textId="77777777" w:rsidTr="00C63EC3">
        <w:tc>
          <w:tcPr>
            <w:tcW w:w="426" w:type="dxa"/>
            <w:shd w:val="clear" w:color="auto" w:fill="D9D9D9" w:themeFill="background1" w:themeFillShade="D9"/>
            <w:tcMar>
              <w:top w:w="0" w:type="dxa"/>
              <w:left w:w="108" w:type="dxa"/>
              <w:bottom w:w="0" w:type="dxa"/>
              <w:right w:w="108" w:type="dxa"/>
            </w:tcMar>
          </w:tcPr>
          <w:p w14:paraId="266C1DAB" w14:textId="77777777" w:rsidR="00265510" w:rsidRPr="00C658D9" w:rsidRDefault="00265510" w:rsidP="00C63EC3">
            <w:pPr>
              <w:pStyle w:val="ListParagraph"/>
              <w:ind w:left="0"/>
              <w:jc w:val="both"/>
              <w:rPr>
                <w:rFonts w:cs="Arial"/>
                <w:szCs w:val="20"/>
              </w:rPr>
            </w:pPr>
          </w:p>
        </w:tc>
        <w:tc>
          <w:tcPr>
            <w:tcW w:w="3231" w:type="dxa"/>
            <w:shd w:val="clear" w:color="auto" w:fill="D9D9D9" w:themeFill="background1" w:themeFillShade="D9"/>
            <w:tcMar>
              <w:top w:w="0" w:type="dxa"/>
              <w:left w:w="108" w:type="dxa"/>
              <w:bottom w:w="0" w:type="dxa"/>
              <w:right w:w="108" w:type="dxa"/>
            </w:tcMar>
            <w:hideMark/>
          </w:tcPr>
          <w:p w14:paraId="1CBB00B7" w14:textId="77777777" w:rsidR="00265510" w:rsidRPr="00C658D9" w:rsidRDefault="00265510" w:rsidP="00C63EC3">
            <w:pPr>
              <w:pStyle w:val="ListParagraph"/>
              <w:ind w:left="0"/>
              <w:jc w:val="both"/>
              <w:rPr>
                <w:rFonts w:cs="Arial"/>
                <w:b/>
                <w:bCs/>
                <w:szCs w:val="20"/>
              </w:rPr>
            </w:pPr>
            <w:r>
              <w:rPr>
                <w:rFonts w:cs="Arial"/>
                <w:b/>
                <w:bCs/>
                <w:szCs w:val="20"/>
              </w:rPr>
              <w:t>Regulatory issue</w:t>
            </w:r>
          </w:p>
        </w:tc>
        <w:tc>
          <w:tcPr>
            <w:tcW w:w="11057" w:type="dxa"/>
            <w:shd w:val="clear" w:color="auto" w:fill="D9D9D9" w:themeFill="background1" w:themeFillShade="D9"/>
            <w:tcMar>
              <w:top w:w="0" w:type="dxa"/>
              <w:left w:w="108" w:type="dxa"/>
              <w:bottom w:w="0" w:type="dxa"/>
              <w:right w:w="108" w:type="dxa"/>
            </w:tcMar>
            <w:hideMark/>
          </w:tcPr>
          <w:p w14:paraId="4D172CEB" w14:textId="77777777" w:rsidR="00265510" w:rsidRPr="00C658D9" w:rsidRDefault="00265510" w:rsidP="00C63EC3">
            <w:pPr>
              <w:spacing w:line="240" w:lineRule="auto"/>
              <w:rPr>
                <w:rFonts w:cs="Arial"/>
                <w:b/>
                <w:bCs/>
              </w:rPr>
            </w:pPr>
            <w:r w:rsidRPr="00C658D9">
              <w:rPr>
                <w:rFonts w:cs="Arial"/>
                <w:b/>
                <w:bCs/>
              </w:rPr>
              <w:t xml:space="preserve">Proposed resolution </w:t>
            </w:r>
          </w:p>
          <w:p w14:paraId="0D23154E" w14:textId="77777777" w:rsidR="00265510" w:rsidRPr="00C658D9" w:rsidRDefault="00265510" w:rsidP="00C63EC3">
            <w:pPr>
              <w:pStyle w:val="ListParagraph"/>
              <w:ind w:left="0"/>
              <w:jc w:val="both"/>
              <w:rPr>
                <w:rFonts w:cs="Arial"/>
                <w:b/>
                <w:bCs/>
                <w:szCs w:val="20"/>
              </w:rPr>
            </w:pPr>
          </w:p>
        </w:tc>
      </w:tr>
      <w:tr w:rsidR="00265510" w:rsidRPr="00C658D9" w14:paraId="49E2838E" w14:textId="77777777" w:rsidTr="00C63EC3">
        <w:tc>
          <w:tcPr>
            <w:tcW w:w="14714" w:type="dxa"/>
            <w:gridSpan w:val="3"/>
            <w:shd w:val="clear" w:color="auto" w:fill="D9D9D9" w:themeFill="background1" w:themeFillShade="D9"/>
            <w:tcMar>
              <w:top w:w="0" w:type="dxa"/>
              <w:left w:w="108" w:type="dxa"/>
              <w:bottom w:w="0" w:type="dxa"/>
              <w:right w:w="108" w:type="dxa"/>
            </w:tcMar>
          </w:tcPr>
          <w:p w14:paraId="76197676" w14:textId="77777777" w:rsidR="00265510" w:rsidRPr="007C24BA" w:rsidRDefault="00265510" w:rsidP="00C63EC3">
            <w:pPr>
              <w:spacing w:line="240" w:lineRule="auto"/>
              <w:rPr>
                <w:rFonts w:cs="Arial"/>
                <w:b/>
                <w:bCs/>
                <w:i/>
              </w:rPr>
            </w:pPr>
            <w:r>
              <w:rPr>
                <w:rFonts w:cs="Arial"/>
                <w:b/>
                <w:bCs/>
                <w:i/>
              </w:rPr>
              <w:t>Changes to the regulatory arrangements required</w:t>
            </w:r>
          </w:p>
        </w:tc>
      </w:tr>
      <w:tr w:rsidR="00265510" w:rsidRPr="00C658D9" w14:paraId="3FD0D942" w14:textId="77777777" w:rsidTr="00C63EC3">
        <w:tc>
          <w:tcPr>
            <w:tcW w:w="426" w:type="dxa"/>
            <w:tcMar>
              <w:top w:w="0" w:type="dxa"/>
              <w:left w:w="108" w:type="dxa"/>
              <w:bottom w:w="0" w:type="dxa"/>
              <w:right w:w="108" w:type="dxa"/>
            </w:tcMar>
          </w:tcPr>
          <w:p w14:paraId="11DDADA3" w14:textId="77777777" w:rsidR="00265510" w:rsidRDefault="00265510" w:rsidP="00265510">
            <w:pPr>
              <w:pStyle w:val="ListParagraph"/>
              <w:numPr>
                <w:ilvl w:val="0"/>
                <w:numId w:val="14"/>
              </w:numPr>
              <w:spacing w:line="240" w:lineRule="auto"/>
              <w:contextualSpacing w:val="0"/>
              <w:jc w:val="both"/>
              <w:rPr>
                <w:rFonts w:cs="Arial"/>
                <w:szCs w:val="20"/>
              </w:rPr>
            </w:pPr>
          </w:p>
          <w:p w14:paraId="005B11E6" w14:textId="77777777" w:rsidR="00265510" w:rsidRPr="003536E5" w:rsidRDefault="00265510" w:rsidP="00265510">
            <w:pPr>
              <w:pStyle w:val="ListParagraph"/>
              <w:numPr>
                <w:ilvl w:val="0"/>
                <w:numId w:val="15"/>
              </w:numPr>
              <w:spacing w:line="240" w:lineRule="auto"/>
              <w:contextualSpacing w:val="0"/>
              <w:jc w:val="both"/>
            </w:pPr>
          </w:p>
        </w:tc>
        <w:tc>
          <w:tcPr>
            <w:tcW w:w="3231" w:type="dxa"/>
            <w:tcMar>
              <w:top w:w="0" w:type="dxa"/>
              <w:left w:w="108" w:type="dxa"/>
              <w:bottom w:w="0" w:type="dxa"/>
              <w:right w:w="108" w:type="dxa"/>
            </w:tcMar>
          </w:tcPr>
          <w:p w14:paraId="40CA4333" w14:textId="77777777" w:rsidR="00265510" w:rsidRDefault="00265510" w:rsidP="00C63EC3">
            <w:pPr>
              <w:pStyle w:val="ListParagraph"/>
              <w:ind w:left="0"/>
              <w:jc w:val="both"/>
              <w:rPr>
                <w:rFonts w:cs="Arial"/>
                <w:b/>
                <w:i/>
                <w:szCs w:val="20"/>
              </w:rPr>
            </w:pPr>
            <w:r w:rsidRPr="003536E5">
              <w:rPr>
                <w:rFonts w:cs="Arial"/>
                <w:b/>
                <w:i/>
                <w:szCs w:val="20"/>
              </w:rPr>
              <w:t xml:space="preserve">Gas (Calculation of Thermal Energy) Regulations 1996  </w:t>
            </w:r>
          </w:p>
          <w:p w14:paraId="2A80E089" w14:textId="77777777" w:rsidR="00265510" w:rsidRDefault="00265510" w:rsidP="00C63EC3">
            <w:pPr>
              <w:pStyle w:val="ListParagraph"/>
              <w:ind w:left="0"/>
              <w:jc w:val="both"/>
              <w:rPr>
                <w:rFonts w:cs="Arial"/>
                <w:b/>
                <w:i/>
                <w:szCs w:val="20"/>
              </w:rPr>
            </w:pPr>
          </w:p>
          <w:p w14:paraId="2D32A3F0" w14:textId="77777777" w:rsidR="00265510" w:rsidRPr="00136586" w:rsidRDefault="00265510" w:rsidP="00C63EC3">
            <w:pPr>
              <w:spacing w:line="240" w:lineRule="auto"/>
              <w:rPr>
                <w:rFonts w:cs="Arial"/>
              </w:rPr>
            </w:pPr>
            <w:r w:rsidRPr="00136586">
              <w:rPr>
                <w:rFonts w:cs="Arial"/>
              </w:rPr>
              <w:t>The calorific value of hydrogen gas is significantly lower than that for methane (circa 11MJ/M3 versus 39MJ/M3). This will impact the flow weighted daily CV calculation for the Scotland local distribution zone, as the CV will effectively be capped at 1 MJ/m3 above the lowest CV value for that area.  This will result in gas which cannot be billed being dealt with under the National Grid shrinkage scheme.</w:t>
            </w:r>
          </w:p>
          <w:p w14:paraId="0AC8028F" w14:textId="77777777" w:rsidR="00265510" w:rsidRPr="00136586" w:rsidRDefault="00265510" w:rsidP="00C63EC3">
            <w:pPr>
              <w:pStyle w:val="ListParagraph"/>
              <w:jc w:val="both"/>
              <w:rPr>
                <w:rFonts w:cs="Arial"/>
                <w:szCs w:val="20"/>
              </w:rPr>
            </w:pPr>
          </w:p>
          <w:p w14:paraId="3616EFA8" w14:textId="77777777" w:rsidR="00265510" w:rsidRPr="00136586" w:rsidRDefault="00265510" w:rsidP="00C63EC3">
            <w:pPr>
              <w:pStyle w:val="ListParagraph"/>
              <w:ind w:left="0"/>
              <w:jc w:val="both"/>
              <w:rPr>
                <w:rFonts w:cs="Arial"/>
                <w:szCs w:val="20"/>
              </w:rPr>
            </w:pPr>
            <w:r w:rsidRPr="00136586">
              <w:rPr>
                <w:rFonts w:cs="Arial"/>
                <w:szCs w:val="20"/>
              </w:rPr>
              <w:t xml:space="preserve">The Gas (Calculation of Thermal Energy) Regulations stipulate when and where the CV of gas is measured, with the Director General of Gas Supply being able to direct the </w:t>
            </w:r>
            <w:r w:rsidRPr="00136586">
              <w:rPr>
                <w:rFonts w:cs="Arial"/>
                <w:szCs w:val="20"/>
              </w:rPr>
              <w:lastRenderedPageBreak/>
              <w:t>places, premises and times at which (and the manner in which) determinations of calorific values are to be made</w:t>
            </w:r>
            <w:r>
              <w:rPr>
                <w:rStyle w:val="FootnoteReference"/>
                <w:rFonts w:cs="Arial"/>
                <w:szCs w:val="20"/>
              </w:rPr>
              <w:footnoteReference w:id="2"/>
            </w:r>
            <w:r w:rsidRPr="00136586">
              <w:rPr>
                <w:rFonts w:cs="Arial"/>
                <w:szCs w:val="20"/>
              </w:rPr>
              <w:t>.</w:t>
            </w:r>
          </w:p>
        </w:tc>
        <w:tc>
          <w:tcPr>
            <w:tcW w:w="11057" w:type="dxa"/>
            <w:tcMar>
              <w:top w:w="0" w:type="dxa"/>
              <w:left w:w="108" w:type="dxa"/>
              <w:bottom w:w="0" w:type="dxa"/>
              <w:right w:w="108" w:type="dxa"/>
            </w:tcMar>
          </w:tcPr>
          <w:p w14:paraId="28F4D35A" w14:textId="77777777" w:rsidR="00265510" w:rsidRDefault="00265510" w:rsidP="00C63EC3">
            <w:pPr>
              <w:pStyle w:val="ListParagraph"/>
              <w:ind w:left="0"/>
              <w:jc w:val="both"/>
              <w:rPr>
                <w:rFonts w:cs="Arial"/>
                <w:szCs w:val="20"/>
              </w:rPr>
            </w:pPr>
            <w:r>
              <w:rPr>
                <w:rFonts w:cs="Arial"/>
                <w:szCs w:val="20"/>
              </w:rPr>
              <w:lastRenderedPageBreak/>
              <w:t xml:space="preserve">SGN will require a letter of comfort from Ofgem excluding the hydrogen CV from the LDZ calculation. SGN also plans to implement bespoke billing arrangements (via suppliers, who will be billing customers directly) supported by commodity balancing. </w:t>
            </w:r>
          </w:p>
          <w:p w14:paraId="535CFCEF" w14:textId="77777777" w:rsidR="00265510" w:rsidRDefault="00265510" w:rsidP="00C63EC3">
            <w:pPr>
              <w:pStyle w:val="ListParagraph"/>
              <w:ind w:left="0"/>
              <w:jc w:val="both"/>
              <w:rPr>
                <w:rFonts w:cs="Arial"/>
                <w:szCs w:val="20"/>
              </w:rPr>
            </w:pPr>
          </w:p>
          <w:p w14:paraId="3160437A" w14:textId="77777777" w:rsidR="00265510" w:rsidRDefault="00265510" w:rsidP="00C63EC3">
            <w:pPr>
              <w:pStyle w:val="ListParagraph"/>
              <w:ind w:left="0"/>
              <w:jc w:val="both"/>
              <w:rPr>
                <w:rFonts w:cs="Arial"/>
                <w:szCs w:val="20"/>
              </w:rPr>
            </w:pPr>
            <w:r w:rsidRPr="003312C7">
              <w:rPr>
                <w:rFonts w:cs="Arial"/>
                <w:b/>
                <w:i/>
                <w:szCs w:val="20"/>
              </w:rPr>
              <w:t>Detail</w:t>
            </w:r>
            <w:r>
              <w:rPr>
                <w:rFonts w:cs="Arial"/>
                <w:szCs w:val="20"/>
              </w:rPr>
              <w:t>:</w:t>
            </w:r>
          </w:p>
          <w:p w14:paraId="55097350" w14:textId="77777777" w:rsidR="00265510" w:rsidRDefault="00265510" w:rsidP="00C63EC3">
            <w:pPr>
              <w:pStyle w:val="ListParagraph"/>
              <w:ind w:left="0"/>
              <w:jc w:val="both"/>
              <w:rPr>
                <w:rFonts w:cs="Arial"/>
                <w:szCs w:val="20"/>
              </w:rPr>
            </w:pPr>
            <w:r>
              <w:rPr>
                <w:rFonts w:cs="Arial"/>
                <w:szCs w:val="20"/>
              </w:rPr>
              <w:t>SGN considers that the creation of a new local distribution zone would not be cost effective (costing c£0.5-£1 million) for supplying 300 customers (or even for potentially up to 900 customers if the project expands beyond phase 1).</w:t>
            </w:r>
          </w:p>
          <w:p w14:paraId="6699B5A7" w14:textId="77777777" w:rsidR="00265510" w:rsidRDefault="00265510" w:rsidP="00C63EC3">
            <w:pPr>
              <w:pStyle w:val="ListParagraph"/>
              <w:ind w:left="0"/>
              <w:jc w:val="both"/>
              <w:rPr>
                <w:rFonts w:cs="Arial"/>
                <w:szCs w:val="20"/>
              </w:rPr>
            </w:pPr>
            <w:r>
              <w:rPr>
                <w:rFonts w:cs="Arial"/>
                <w:szCs w:val="20"/>
              </w:rPr>
              <w:t xml:space="preserve"> </w:t>
            </w:r>
          </w:p>
          <w:p w14:paraId="31DAAF98" w14:textId="77777777" w:rsidR="00265510" w:rsidRDefault="00265510" w:rsidP="00C63EC3">
            <w:pPr>
              <w:pStyle w:val="ListParagraph"/>
              <w:ind w:left="0"/>
              <w:jc w:val="both"/>
              <w:rPr>
                <w:rFonts w:cs="Arial"/>
                <w:szCs w:val="20"/>
              </w:rPr>
            </w:pPr>
            <w:r>
              <w:rPr>
                <w:rFonts w:cs="Arial"/>
                <w:szCs w:val="20"/>
              </w:rPr>
              <w:t xml:space="preserve">SGN therefore proposes to seek a letter of comfort from Ofgem to exclude the hydrogen CV from the flow weighted daily CV calculation for the whole local distribution zone. </w:t>
            </w:r>
          </w:p>
          <w:p w14:paraId="2D8F3196" w14:textId="77777777" w:rsidR="00265510" w:rsidRDefault="00265510" w:rsidP="00C63EC3">
            <w:pPr>
              <w:pStyle w:val="ListParagraph"/>
              <w:ind w:left="0"/>
              <w:jc w:val="both"/>
              <w:rPr>
                <w:rFonts w:cs="Arial"/>
                <w:szCs w:val="20"/>
              </w:rPr>
            </w:pPr>
          </w:p>
          <w:p w14:paraId="696E1963" w14:textId="77777777" w:rsidR="00265510" w:rsidRPr="00C658D9" w:rsidRDefault="00265510" w:rsidP="00C63EC3">
            <w:pPr>
              <w:pStyle w:val="ListParagraph"/>
              <w:ind w:left="0"/>
              <w:jc w:val="both"/>
              <w:rPr>
                <w:rFonts w:cs="Arial"/>
                <w:szCs w:val="20"/>
              </w:rPr>
            </w:pPr>
            <w:r>
              <w:rPr>
                <w:rFonts w:cs="Arial"/>
                <w:szCs w:val="20"/>
              </w:rPr>
              <w:t xml:space="preserve">SGN will comply with the regulations in all other respects. </w:t>
            </w:r>
          </w:p>
        </w:tc>
      </w:tr>
      <w:tr w:rsidR="00265510" w:rsidRPr="00C658D9" w14:paraId="06D414C5" w14:textId="77777777" w:rsidTr="00C63EC3">
        <w:tc>
          <w:tcPr>
            <w:tcW w:w="14714" w:type="dxa"/>
            <w:gridSpan w:val="3"/>
            <w:shd w:val="clear" w:color="auto" w:fill="D9D9D9" w:themeFill="background1" w:themeFillShade="D9"/>
            <w:tcMar>
              <w:top w:w="0" w:type="dxa"/>
              <w:left w:w="108" w:type="dxa"/>
              <w:bottom w:w="0" w:type="dxa"/>
              <w:right w:w="108" w:type="dxa"/>
            </w:tcMar>
          </w:tcPr>
          <w:p w14:paraId="4A2BA134" w14:textId="77777777" w:rsidR="00265510" w:rsidRPr="007C24BA" w:rsidRDefault="00265510" w:rsidP="00C63EC3">
            <w:pPr>
              <w:pStyle w:val="ListParagraph"/>
              <w:ind w:left="0"/>
              <w:jc w:val="both"/>
              <w:rPr>
                <w:rFonts w:cs="Arial"/>
                <w:b/>
                <w:i/>
                <w:szCs w:val="20"/>
                <w:highlight w:val="cyan"/>
              </w:rPr>
            </w:pPr>
            <w:r>
              <w:rPr>
                <w:rFonts w:cs="Arial"/>
                <w:b/>
                <w:i/>
                <w:szCs w:val="20"/>
              </w:rPr>
              <w:t>No changes required to the regulatory arrangements</w:t>
            </w:r>
          </w:p>
        </w:tc>
      </w:tr>
      <w:tr w:rsidR="00265510" w:rsidRPr="00C658D9" w14:paraId="0C102CDA" w14:textId="77777777" w:rsidTr="00C63EC3">
        <w:tc>
          <w:tcPr>
            <w:tcW w:w="426" w:type="dxa"/>
            <w:tcMar>
              <w:top w:w="0" w:type="dxa"/>
              <w:left w:w="108" w:type="dxa"/>
              <w:bottom w:w="0" w:type="dxa"/>
              <w:right w:w="108" w:type="dxa"/>
            </w:tcMar>
          </w:tcPr>
          <w:p w14:paraId="112D8AFB" w14:textId="77777777" w:rsidR="00265510" w:rsidRPr="00C658D9" w:rsidRDefault="00265510" w:rsidP="00265510">
            <w:pPr>
              <w:pStyle w:val="ListParagraph"/>
              <w:numPr>
                <w:ilvl w:val="0"/>
                <w:numId w:val="15"/>
              </w:numPr>
              <w:spacing w:line="240" w:lineRule="auto"/>
              <w:contextualSpacing w:val="0"/>
              <w:jc w:val="both"/>
              <w:rPr>
                <w:rFonts w:cs="Arial"/>
                <w:szCs w:val="20"/>
              </w:rPr>
            </w:pPr>
          </w:p>
        </w:tc>
        <w:tc>
          <w:tcPr>
            <w:tcW w:w="3231" w:type="dxa"/>
            <w:tcMar>
              <w:top w:w="0" w:type="dxa"/>
              <w:left w:w="108" w:type="dxa"/>
              <w:bottom w:w="0" w:type="dxa"/>
              <w:right w:w="108" w:type="dxa"/>
            </w:tcMar>
          </w:tcPr>
          <w:p w14:paraId="1B39889E" w14:textId="77777777" w:rsidR="00265510" w:rsidRDefault="00265510" w:rsidP="00C63EC3">
            <w:pPr>
              <w:pStyle w:val="ListParagraph"/>
              <w:ind w:left="0"/>
              <w:jc w:val="both"/>
              <w:rPr>
                <w:rFonts w:cs="Arial"/>
                <w:b/>
                <w:bCs/>
                <w:i/>
                <w:iCs/>
                <w:szCs w:val="20"/>
              </w:rPr>
            </w:pPr>
            <w:r w:rsidRPr="003312C7">
              <w:rPr>
                <w:rFonts w:cs="Arial"/>
                <w:b/>
                <w:bCs/>
                <w:i/>
                <w:iCs/>
                <w:szCs w:val="20"/>
              </w:rPr>
              <w:t>Gas Act.</w:t>
            </w:r>
          </w:p>
          <w:p w14:paraId="093AC92D" w14:textId="77777777" w:rsidR="00265510" w:rsidRDefault="00265510" w:rsidP="00C63EC3">
            <w:pPr>
              <w:pStyle w:val="ListParagraph"/>
              <w:ind w:left="0"/>
              <w:jc w:val="both"/>
              <w:rPr>
                <w:rFonts w:cs="Arial"/>
                <w:b/>
                <w:bCs/>
                <w:i/>
                <w:iCs/>
                <w:szCs w:val="20"/>
              </w:rPr>
            </w:pPr>
          </w:p>
          <w:p w14:paraId="2F448A88" w14:textId="77777777" w:rsidR="00265510" w:rsidRPr="00CF59AB" w:rsidRDefault="00265510" w:rsidP="00C63EC3">
            <w:pPr>
              <w:pStyle w:val="ListParagraph"/>
              <w:ind w:left="0"/>
              <w:jc w:val="both"/>
              <w:rPr>
                <w:rFonts w:cs="Arial"/>
                <w:bCs/>
                <w:iCs/>
                <w:szCs w:val="20"/>
              </w:rPr>
            </w:pPr>
            <w:r w:rsidRPr="00CF59AB">
              <w:rPr>
                <w:rFonts w:cs="Arial"/>
                <w:bCs/>
                <w:iCs/>
                <w:szCs w:val="20"/>
              </w:rPr>
              <w:t>Whether a licence will be required by SGN Futures, or a licence derogation by ScGN, for carrying out the project.</w:t>
            </w:r>
          </w:p>
        </w:tc>
        <w:tc>
          <w:tcPr>
            <w:tcW w:w="11057" w:type="dxa"/>
            <w:tcMar>
              <w:top w:w="0" w:type="dxa"/>
              <w:left w:w="108" w:type="dxa"/>
              <w:bottom w:w="0" w:type="dxa"/>
              <w:right w:w="108" w:type="dxa"/>
            </w:tcMar>
          </w:tcPr>
          <w:p w14:paraId="73834C4F" w14:textId="77777777" w:rsidR="00265510" w:rsidRPr="003312C7" w:rsidRDefault="00265510" w:rsidP="00C63EC3">
            <w:pPr>
              <w:pStyle w:val="ListParagraph"/>
              <w:ind w:left="0"/>
              <w:jc w:val="both"/>
              <w:rPr>
                <w:rFonts w:cs="Arial"/>
                <w:szCs w:val="20"/>
              </w:rPr>
            </w:pPr>
            <w:r w:rsidRPr="003312C7">
              <w:rPr>
                <w:rFonts w:cs="Arial"/>
                <w:szCs w:val="20"/>
              </w:rPr>
              <w:t>If 'Option 1' of SGN's proposal is adopted as planned, no activity of SGN Futures should require a licence</w:t>
            </w:r>
            <w:r>
              <w:rPr>
                <w:rFonts w:cs="Arial"/>
                <w:szCs w:val="20"/>
              </w:rPr>
              <w:t>, nor should ScGN need to obtain any additional licence or a derogation from its transporter licence</w:t>
            </w:r>
            <w:r w:rsidRPr="003312C7">
              <w:rPr>
                <w:rFonts w:cs="Arial"/>
                <w:szCs w:val="20"/>
              </w:rPr>
              <w:t>.</w:t>
            </w:r>
          </w:p>
          <w:p w14:paraId="0F1368CA" w14:textId="77777777" w:rsidR="00265510" w:rsidRPr="003312C7" w:rsidRDefault="00265510" w:rsidP="00C63EC3">
            <w:pPr>
              <w:pStyle w:val="ListParagraph"/>
              <w:ind w:left="0"/>
              <w:jc w:val="both"/>
              <w:rPr>
                <w:rFonts w:cs="Arial"/>
                <w:szCs w:val="20"/>
              </w:rPr>
            </w:pPr>
          </w:p>
          <w:p w14:paraId="76A7CB0C" w14:textId="77777777" w:rsidR="00265510" w:rsidRPr="003312C7" w:rsidRDefault="00265510" w:rsidP="00C63EC3">
            <w:pPr>
              <w:pStyle w:val="ListParagraph"/>
              <w:ind w:left="0"/>
              <w:jc w:val="both"/>
              <w:rPr>
                <w:rFonts w:cs="Arial"/>
                <w:szCs w:val="20"/>
              </w:rPr>
            </w:pPr>
            <w:r w:rsidRPr="003312C7">
              <w:rPr>
                <w:rFonts w:cs="Arial"/>
                <w:szCs w:val="20"/>
              </w:rPr>
              <w:t xml:space="preserve">If the intended approach changes and SGN Futures or ScGN is carrying out any (additional) licensable activities (e.g. the role of a shipper) (Option 2), SGN will re-evaluate whether any licence or derogation is required. </w:t>
            </w:r>
          </w:p>
          <w:p w14:paraId="1E257802" w14:textId="77777777" w:rsidR="00265510" w:rsidRPr="003312C7" w:rsidRDefault="00265510" w:rsidP="00C63EC3">
            <w:pPr>
              <w:pStyle w:val="ListParagraph"/>
              <w:ind w:left="0"/>
              <w:jc w:val="both"/>
              <w:rPr>
                <w:rFonts w:cs="Arial"/>
                <w:szCs w:val="20"/>
              </w:rPr>
            </w:pPr>
          </w:p>
          <w:p w14:paraId="1E79A6E4" w14:textId="77777777" w:rsidR="00265510" w:rsidRPr="003312C7" w:rsidRDefault="00265510" w:rsidP="00C63EC3">
            <w:pPr>
              <w:pStyle w:val="ListParagraph"/>
              <w:ind w:left="0"/>
              <w:jc w:val="both"/>
              <w:rPr>
                <w:rFonts w:cs="Arial"/>
                <w:b/>
                <w:bCs/>
                <w:i/>
                <w:iCs/>
                <w:szCs w:val="20"/>
              </w:rPr>
            </w:pPr>
            <w:r w:rsidRPr="003312C7">
              <w:rPr>
                <w:rFonts w:cs="Arial"/>
                <w:b/>
                <w:bCs/>
                <w:i/>
                <w:iCs/>
                <w:szCs w:val="20"/>
              </w:rPr>
              <w:t>Detail:  </w:t>
            </w:r>
          </w:p>
          <w:p w14:paraId="3C043B37" w14:textId="77777777" w:rsidR="00265510" w:rsidRPr="003312C7" w:rsidRDefault="00265510" w:rsidP="00C63EC3">
            <w:pPr>
              <w:pStyle w:val="ListParagraph"/>
              <w:ind w:left="0"/>
              <w:jc w:val="both"/>
              <w:rPr>
                <w:rFonts w:cs="Arial"/>
                <w:szCs w:val="20"/>
              </w:rPr>
            </w:pPr>
            <w:r w:rsidRPr="005628A0">
              <w:rPr>
                <w:rFonts w:cs="Arial"/>
                <w:szCs w:val="20"/>
              </w:rPr>
              <w:t>"</w:t>
            </w:r>
            <w:r w:rsidRPr="005628A0">
              <w:rPr>
                <w:rFonts w:cs="Arial"/>
                <w:bCs/>
                <w:szCs w:val="20"/>
              </w:rPr>
              <w:t>Licensable Activities"</w:t>
            </w:r>
            <w:r w:rsidRPr="003312C7">
              <w:rPr>
                <w:rFonts w:cs="Arial"/>
                <w:szCs w:val="20"/>
              </w:rPr>
              <w:t xml:space="preserve"> under the Gas Act are:</w:t>
            </w:r>
          </w:p>
          <w:p w14:paraId="09608447" w14:textId="77777777" w:rsidR="00265510" w:rsidRPr="003312C7" w:rsidRDefault="00265510" w:rsidP="00C63EC3">
            <w:pPr>
              <w:pStyle w:val="ListParagraph"/>
              <w:ind w:left="0"/>
              <w:jc w:val="both"/>
              <w:rPr>
                <w:rFonts w:cs="Arial"/>
                <w:szCs w:val="20"/>
              </w:rPr>
            </w:pPr>
          </w:p>
          <w:p w14:paraId="56BF3C5B" w14:textId="77777777" w:rsidR="00265510" w:rsidRPr="005628A0" w:rsidRDefault="00265510" w:rsidP="00C63EC3">
            <w:pPr>
              <w:spacing w:line="240" w:lineRule="auto"/>
              <w:rPr>
                <w:rFonts w:cs="Arial"/>
              </w:rPr>
            </w:pPr>
            <w:r>
              <w:rPr>
                <w:rFonts w:cs="Arial"/>
              </w:rPr>
              <w:t xml:space="preserve">(a) </w:t>
            </w:r>
            <w:r w:rsidRPr="005628A0">
              <w:rPr>
                <w:rFonts w:cs="Arial"/>
              </w:rPr>
              <w:t xml:space="preserve">conveying gas through pipes to any premises or to a pipeline system operated by a gas transporter; </w:t>
            </w:r>
          </w:p>
          <w:p w14:paraId="017B617A" w14:textId="77777777" w:rsidR="00265510" w:rsidRPr="005628A0" w:rsidRDefault="00265510" w:rsidP="00C63EC3">
            <w:pPr>
              <w:spacing w:line="240" w:lineRule="auto"/>
              <w:rPr>
                <w:rFonts w:cs="Arial"/>
              </w:rPr>
            </w:pPr>
            <w:r>
              <w:rPr>
                <w:rFonts w:cs="Arial"/>
              </w:rPr>
              <w:t xml:space="preserve">(b) </w:t>
            </w:r>
            <w:r w:rsidRPr="005628A0">
              <w:rPr>
                <w:rFonts w:cs="Arial"/>
              </w:rPr>
              <w:t>participating in the operation of a gas interconnector;  </w:t>
            </w:r>
          </w:p>
          <w:p w14:paraId="755746CE" w14:textId="77777777" w:rsidR="00265510" w:rsidRPr="005628A0" w:rsidRDefault="00265510" w:rsidP="00C63EC3">
            <w:pPr>
              <w:spacing w:line="240" w:lineRule="auto"/>
              <w:rPr>
                <w:rFonts w:cs="Arial"/>
              </w:rPr>
            </w:pPr>
            <w:r>
              <w:rPr>
                <w:rFonts w:cs="Arial"/>
              </w:rPr>
              <w:t xml:space="preserve">(c) </w:t>
            </w:r>
            <w:r w:rsidRPr="005628A0">
              <w:rPr>
                <w:rFonts w:cs="Arial"/>
              </w:rPr>
              <w:t>supplying to any premises gas which has been conveyed to those premises through pipes;</w:t>
            </w:r>
          </w:p>
          <w:p w14:paraId="3044439A" w14:textId="77777777" w:rsidR="00265510" w:rsidRPr="005628A0" w:rsidRDefault="00265510" w:rsidP="00C63EC3">
            <w:pPr>
              <w:spacing w:line="240" w:lineRule="auto"/>
              <w:rPr>
                <w:rFonts w:cs="Arial"/>
              </w:rPr>
            </w:pPr>
            <w:r>
              <w:rPr>
                <w:rFonts w:cs="Arial"/>
              </w:rPr>
              <w:t xml:space="preserve">(d) </w:t>
            </w:r>
            <w:r w:rsidRPr="005628A0">
              <w:rPr>
                <w:rFonts w:cs="Arial"/>
              </w:rPr>
              <w:t>arranging with any gas transporter for gas to be introduced or taken out of the transporter's pipeline system.</w:t>
            </w:r>
            <w:r>
              <w:rPr>
                <w:rStyle w:val="FootnoteReference"/>
                <w:rFonts w:cs="Arial"/>
              </w:rPr>
              <w:footnoteReference w:id="3"/>
            </w:r>
          </w:p>
          <w:p w14:paraId="45E22637" w14:textId="77777777" w:rsidR="00265510" w:rsidRDefault="00265510" w:rsidP="00C63EC3">
            <w:pPr>
              <w:pStyle w:val="ListParagraph"/>
              <w:ind w:left="0"/>
              <w:jc w:val="both"/>
              <w:rPr>
                <w:rFonts w:cs="Arial"/>
                <w:bCs/>
                <w:i/>
                <w:szCs w:val="20"/>
              </w:rPr>
            </w:pPr>
          </w:p>
          <w:p w14:paraId="0FE0D976" w14:textId="77777777" w:rsidR="00265510" w:rsidRPr="005628A0" w:rsidRDefault="00265510" w:rsidP="00C63EC3">
            <w:pPr>
              <w:pStyle w:val="ListParagraph"/>
              <w:ind w:left="0"/>
              <w:jc w:val="both"/>
              <w:rPr>
                <w:rFonts w:cs="Arial"/>
                <w:bCs/>
                <w:i/>
                <w:szCs w:val="20"/>
              </w:rPr>
            </w:pPr>
            <w:r w:rsidRPr="005628A0">
              <w:rPr>
                <w:rFonts w:cs="Arial"/>
                <w:bCs/>
                <w:i/>
                <w:szCs w:val="20"/>
              </w:rPr>
              <w:t>Option 1</w:t>
            </w:r>
          </w:p>
          <w:p w14:paraId="4003304D" w14:textId="77777777" w:rsidR="00265510" w:rsidRPr="003312C7" w:rsidRDefault="00265510" w:rsidP="00C63EC3">
            <w:pPr>
              <w:pStyle w:val="ListParagraph"/>
              <w:ind w:left="0"/>
              <w:jc w:val="both"/>
              <w:rPr>
                <w:rFonts w:cs="Arial"/>
                <w:szCs w:val="20"/>
              </w:rPr>
            </w:pPr>
          </w:p>
          <w:p w14:paraId="5560C8CC" w14:textId="77777777" w:rsidR="00265510" w:rsidRDefault="00265510" w:rsidP="00C63EC3">
            <w:pPr>
              <w:pStyle w:val="ListParagraph"/>
              <w:ind w:left="0"/>
              <w:jc w:val="both"/>
              <w:rPr>
                <w:rFonts w:cs="Arial"/>
                <w:szCs w:val="20"/>
              </w:rPr>
            </w:pPr>
            <w:r w:rsidRPr="003312C7">
              <w:rPr>
                <w:rFonts w:cs="Arial"/>
                <w:szCs w:val="20"/>
              </w:rPr>
              <w:t>We have considered the potential for SGN Futures or ScGN to engage in any Licensable Activities under Option 1. The proposal assumes that activities (c) and (d) above will be undertaken by third parties with appropriate licences in place. Activity (a) will be undertaken by ScGN (under its current licence).</w:t>
            </w:r>
            <w:r>
              <w:rPr>
                <w:rFonts w:cs="Arial"/>
                <w:szCs w:val="20"/>
              </w:rPr>
              <w:t xml:space="preserve"> Activity (b) will not be relevant.</w:t>
            </w:r>
            <w:r w:rsidRPr="003312C7">
              <w:rPr>
                <w:rFonts w:cs="Arial"/>
                <w:szCs w:val="20"/>
              </w:rPr>
              <w:t xml:space="preserve"> Consequently, SGN Futures will not be engaging in any Licensable Activities and ScGN will not require any derogation from its licence.</w:t>
            </w:r>
          </w:p>
          <w:p w14:paraId="7D04173E" w14:textId="77777777" w:rsidR="00265510" w:rsidRDefault="00265510" w:rsidP="00C63EC3">
            <w:pPr>
              <w:pStyle w:val="ListParagraph"/>
              <w:ind w:left="0"/>
              <w:jc w:val="both"/>
              <w:rPr>
                <w:rFonts w:cs="Arial"/>
                <w:szCs w:val="20"/>
              </w:rPr>
            </w:pPr>
          </w:p>
          <w:p w14:paraId="20FC9D43" w14:textId="77777777" w:rsidR="00265510" w:rsidRPr="003312C7" w:rsidRDefault="00265510" w:rsidP="00C63EC3">
            <w:pPr>
              <w:pStyle w:val="ListParagraph"/>
              <w:ind w:left="0"/>
              <w:jc w:val="both"/>
              <w:rPr>
                <w:rFonts w:cs="Arial"/>
                <w:szCs w:val="20"/>
              </w:rPr>
            </w:pPr>
          </w:p>
          <w:p w14:paraId="1629D102" w14:textId="77777777" w:rsidR="00265510" w:rsidRPr="003312C7" w:rsidRDefault="00265510" w:rsidP="00C63EC3">
            <w:pPr>
              <w:pStyle w:val="ListParagraph"/>
              <w:ind w:left="0"/>
              <w:jc w:val="both"/>
              <w:rPr>
                <w:rFonts w:cs="Arial"/>
                <w:szCs w:val="20"/>
              </w:rPr>
            </w:pPr>
          </w:p>
          <w:p w14:paraId="5D440002" w14:textId="77777777" w:rsidR="00265510" w:rsidRPr="005628A0" w:rsidRDefault="00265510" w:rsidP="00C63EC3">
            <w:pPr>
              <w:pStyle w:val="ListParagraph"/>
              <w:ind w:left="0"/>
              <w:jc w:val="both"/>
              <w:rPr>
                <w:rFonts w:cs="Arial"/>
                <w:bCs/>
                <w:i/>
                <w:szCs w:val="20"/>
              </w:rPr>
            </w:pPr>
            <w:r w:rsidRPr="005628A0">
              <w:rPr>
                <w:rFonts w:cs="Arial"/>
                <w:bCs/>
                <w:i/>
                <w:szCs w:val="20"/>
              </w:rPr>
              <w:t>Option 2  </w:t>
            </w:r>
          </w:p>
          <w:p w14:paraId="14C1351B" w14:textId="77777777" w:rsidR="00265510" w:rsidRPr="003312C7" w:rsidRDefault="00265510" w:rsidP="00C63EC3">
            <w:pPr>
              <w:pStyle w:val="ListParagraph"/>
              <w:ind w:left="0"/>
              <w:jc w:val="both"/>
              <w:rPr>
                <w:rFonts w:cs="Arial"/>
                <w:szCs w:val="20"/>
              </w:rPr>
            </w:pPr>
          </w:p>
          <w:p w14:paraId="531F0142" w14:textId="77777777" w:rsidR="00265510" w:rsidRPr="003312C7" w:rsidRDefault="00265510" w:rsidP="00C63EC3">
            <w:pPr>
              <w:pStyle w:val="ListParagraph"/>
              <w:ind w:left="0"/>
              <w:jc w:val="both"/>
              <w:rPr>
                <w:rFonts w:cs="Arial"/>
                <w:szCs w:val="20"/>
              </w:rPr>
            </w:pPr>
            <w:r w:rsidRPr="003312C7">
              <w:rPr>
                <w:rFonts w:cs="Arial"/>
                <w:szCs w:val="20"/>
              </w:rPr>
              <w:t xml:space="preserve">Under Option 2, either SGN Futures or ScGN may take on the role of shipper, requiring a licence or derogation unless an exemption applies. </w:t>
            </w:r>
          </w:p>
          <w:p w14:paraId="67802082" w14:textId="77777777" w:rsidR="00265510" w:rsidRPr="003312C7" w:rsidRDefault="00265510" w:rsidP="00C63EC3">
            <w:pPr>
              <w:pStyle w:val="ListParagraph"/>
              <w:ind w:left="0"/>
              <w:jc w:val="both"/>
              <w:rPr>
                <w:rFonts w:cs="Arial"/>
                <w:szCs w:val="20"/>
              </w:rPr>
            </w:pPr>
            <w:r w:rsidRPr="003312C7">
              <w:rPr>
                <w:rFonts w:cs="Arial"/>
                <w:szCs w:val="20"/>
              </w:rPr>
              <w:t>No exemptions under the Gas (Exemptions) Order 2011 apply (as the activities do not concern large consumers, a licensed supplier or a gas related emergency)</w:t>
            </w:r>
            <w:r>
              <w:rPr>
                <w:rStyle w:val="FootnoteReference"/>
                <w:rFonts w:cs="Arial"/>
                <w:szCs w:val="20"/>
              </w:rPr>
              <w:footnoteReference w:id="4"/>
            </w:r>
            <w:r w:rsidRPr="003312C7">
              <w:rPr>
                <w:rFonts w:cs="Arial"/>
                <w:szCs w:val="20"/>
              </w:rPr>
              <w:t xml:space="preserve">. </w:t>
            </w:r>
          </w:p>
          <w:p w14:paraId="396C0BC5" w14:textId="77777777" w:rsidR="00265510" w:rsidRPr="003312C7" w:rsidRDefault="00265510" w:rsidP="00C63EC3">
            <w:pPr>
              <w:pStyle w:val="ListParagraph"/>
              <w:ind w:left="0"/>
              <w:jc w:val="both"/>
              <w:rPr>
                <w:rFonts w:cs="Arial"/>
                <w:szCs w:val="20"/>
              </w:rPr>
            </w:pPr>
          </w:p>
          <w:p w14:paraId="010C57AB" w14:textId="77777777" w:rsidR="00265510" w:rsidRDefault="00265510" w:rsidP="00C63EC3">
            <w:pPr>
              <w:pStyle w:val="ListParagraph"/>
              <w:ind w:left="0"/>
              <w:jc w:val="both"/>
              <w:rPr>
                <w:rFonts w:cs="Arial"/>
                <w:szCs w:val="20"/>
              </w:rPr>
            </w:pPr>
            <w:r w:rsidRPr="003312C7">
              <w:rPr>
                <w:rFonts w:cs="Arial"/>
                <w:szCs w:val="20"/>
              </w:rPr>
              <w:t xml:space="preserve">Turning to the exemptions specific to shipping, we do not consider that either party would be conveying as a landlord, supplying propane or butane or conveying/ supplying to a </w:t>
            </w:r>
            <w:r w:rsidRPr="00183BF3">
              <w:rPr>
                <w:rFonts w:cs="Arial"/>
                <w:szCs w:val="20"/>
              </w:rPr>
              <w:t>very large consumer. If SGN Futures was acting as shipper, it might seem that the exemption of conveying the gas to an 'associated company' would assist. However, although ScGN is intended to be an affiliate of SGN Futures, the exemption will not apply, as the gas is not being conveyed to 'premises' (but to ScGN's transporter pipeline)</w:t>
            </w:r>
            <w:r w:rsidRPr="00183BF3">
              <w:rPr>
                <w:rStyle w:val="FootnoteReference"/>
                <w:rFonts w:cs="Arial"/>
                <w:szCs w:val="20"/>
              </w:rPr>
              <w:footnoteReference w:id="5"/>
            </w:r>
            <w:r w:rsidRPr="00183BF3">
              <w:rPr>
                <w:rFonts w:cs="Arial"/>
                <w:szCs w:val="20"/>
              </w:rPr>
              <w:t>. .</w:t>
            </w:r>
            <w:r>
              <w:rPr>
                <w:rFonts w:cs="Arial"/>
                <w:szCs w:val="20"/>
              </w:rPr>
              <w:t xml:space="preserve"> </w:t>
            </w:r>
          </w:p>
          <w:p w14:paraId="518BD917" w14:textId="77777777" w:rsidR="00265510" w:rsidRDefault="00265510" w:rsidP="00C63EC3">
            <w:pPr>
              <w:pStyle w:val="ListParagraph"/>
              <w:ind w:left="0"/>
              <w:jc w:val="both"/>
              <w:rPr>
                <w:rFonts w:cs="Arial"/>
                <w:szCs w:val="20"/>
              </w:rPr>
            </w:pPr>
          </w:p>
          <w:p w14:paraId="7D143A5E" w14:textId="77777777" w:rsidR="00265510" w:rsidRPr="003312C7" w:rsidRDefault="00265510" w:rsidP="00C63EC3">
            <w:pPr>
              <w:pStyle w:val="ListParagraph"/>
              <w:ind w:left="0"/>
              <w:jc w:val="both"/>
              <w:rPr>
                <w:rFonts w:cs="Arial"/>
                <w:szCs w:val="20"/>
              </w:rPr>
            </w:pPr>
            <w:r>
              <w:rPr>
                <w:rFonts w:cs="Arial"/>
                <w:szCs w:val="20"/>
              </w:rPr>
              <w:lastRenderedPageBreak/>
              <w:t xml:space="preserve">In short, Option 2 is more complex under the Gas Act, as a licensable activity will be taking place and there are no apparent exemptions. Option 1 in contrast appears relatively straightforward to carry out without performing a licensable activity and this is in any case SGN's preferred option. </w:t>
            </w:r>
          </w:p>
        </w:tc>
      </w:tr>
      <w:tr w:rsidR="00265510" w:rsidRPr="00C658D9" w14:paraId="64D7D344" w14:textId="77777777" w:rsidTr="00C63EC3">
        <w:tc>
          <w:tcPr>
            <w:tcW w:w="426" w:type="dxa"/>
            <w:tcMar>
              <w:top w:w="0" w:type="dxa"/>
              <w:left w:w="108" w:type="dxa"/>
              <w:bottom w:w="0" w:type="dxa"/>
              <w:right w:w="108" w:type="dxa"/>
            </w:tcMar>
          </w:tcPr>
          <w:p w14:paraId="63954EAE" w14:textId="77777777" w:rsidR="00265510" w:rsidRPr="00C658D9" w:rsidRDefault="00265510" w:rsidP="00265510">
            <w:pPr>
              <w:pStyle w:val="ListParagraph"/>
              <w:numPr>
                <w:ilvl w:val="0"/>
                <w:numId w:val="15"/>
              </w:numPr>
              <w:spacing w:line="240" w:lineRule="auto"/>
              <w:contextualSpacing w:val="0"/>
              <w:jc w:val="both"/>
              <w:rPr>
                <w:rFonts w:cs="Arial"/>
                <w:szCs w:val="20"/>
              </w:rPr>
            </w:pPr>
          </w:p>
        </w:tc>
        <w:tc>
          <w:tcPr>
            <w:tcW w:w="3231" w:type="dxa"/>
            <w:tcMar>
              <w:top w:w="0" w:type="dxa"/>
              <w:left w:w="108" w:type="dxa"/>
              <w:bottom w:w="0" w:type="dxa"/>
              <w:right w:w="108" w:type="dxa"/>
            </w:tcMar>
          </w:tcPr>
          <w:p w14:paraId="71F85ED8" w14:textId="77777777" w:rsidR="00265510" w:rsidRDefault="00265510" w:rsidP="00C63EC3">
            <w:pPr>
              <w:spacing w:line="240" w:lineRule="auto"/>
              <w:rPr>
                <w:rFonts w:cs="Arial"/>
                <w:b/>
                <w:i/>
              </w:rPr>
            </w:pPr>
            <w:r w:rsidRPr="003312C7">
              <w:rPr>
                <w:rFonts w:cs="Arial"/>
                <w:b/>
                <w:i/>
              </w:rPr>
              <w:t>Gas Act – Storage Facility</w:t>
            </w:r>
          </w:p>
          <w:p w14:paraId="605B8B6A" w14:textId="77777777" w:rsidR="00265510" w:rsidRDefault="00265510" w:rsidP="00C63EC3">
            <w:pPr>
              <w:spacing w:line="240" w:lineRule="auto"/>
              <w:rPr>
                <w:rFonts w:cs="Arial"/>
                <w:b/>
                <w:i/>
              </w:rPr>
            </w:pPr>
          </w:p>
          <w:p w14:paraId="33004098" w14:textId="77777777" w:rsidR="00265510" w:rsidRPr="00CF59AB" w:rsidRDefault="00265510" w:rsidP="00C63EC3">
            <w:pPr>
              <w:spacing w:line="240" w:lineRule="auto"/>
            </w:pPr>
            <w:r w:rsidRPr="003312C7">
              <w:rPr>
                <w:rFonts w:cs="Arial"/>
              </w:rPr>
              <w:t>Whether the hydrogen storage facility falls within the meaning of a 'storage facility' under the Gas Act and, if so, what obligations does this place on SGN.</w:t>
            </w:r>
          </w:p>
        </w:tc>
        <w:tc>
          <w:tcPr>
            <w:tcW w:w="11057" w:type="dxa"/>
            <w:tcMar>
              <w:top w:w="0" w:type="dxa"/>
              <w:left w:w="108" w:type="dxa"/>
              <w:bottom w:w="0" w:type="dxa"/>
              <w:right w:w="108" w:type="dxa"/>
            </w:tcMar>
          </w:tcPr>
          <w:p w14:paraId="2BBACDF4" w14:textId="77777777" w:rsidR="00265510" w:rsidRDefault="00265510" w:rsidP="00C63EC3">
            <w:pPr>
              <w:pStyle w:val="ListParagraph"/>
              <w:ind w:left="0"/>
              <w:jc w:val="both"/>
              <w:rPr>
                <w:rFonts w:cs="Arial"/>
                <w:szCs w:val="20"/>
              </w:rPr>
            </w:pPr>
            <w:r>
              <w:rPr>
                <w:rFonts w:cs="Arial"/>
                <w:szCs w:val="20"/>
              </w:rPr>
              <w:t>The hydrogen storage will not comprise a storage facility under the Gas Act and so SGN does not need to further consider the unbundling, third party access and provision of information provisions.</w:t>
            </w:r>
          </w:p>
          <w:p w14:paraId="387BCF1A" w14:textId="77777777" w:rsidR="00265510" w:rsidRPr="003312C7" w:rsidRDefault="00265510" w:rsidP="00C63EC3">
            <w:pPr>
              <w:pStyle w:val="ListParagraph"/>
              <w:ind w:left="0"/>
              <w:jc w:val="both"/>
              <w:rPr>
                <w:rFonts w:cs="Arial"/>
                <w:szCs w:val="20"/>
              </w:rPr>
            </w:pPr>
          </w:p>
          <w:p w14:paraId="00C4DA89" w14:textId="77777777" w:rsidR="00265510" w:rsidRPr="003312C7" w:rsidRDefault="00265510" w:rsidP="00C63EC3">
            <w:pPr>
              <w:pStyle w:val="ListParagraph"/>
              <w:ind w:left="0"/>
              <w:jc w:val="both"/>
              <w:rPr>
                <w:rFonts w:cs="Arial"/>
                <w:b/>
                <w:i/>
                <w:szCs w:val="20"/>
              </w:rPr>
            </w:pPr>
            <w:r w:rsidRPr="003312C7">
              <w:rPr>
                <w:rFonts w:cs="Arial"/>
                <w:b/>
                <w:i/>
                <w:szCs w:val="20"/>
              </w:rPr>
              <w:t>Detail:</w:t>
            </w:r>
          </w:p>
          <w:p w14:paraId="1B007531" w14:textId="77777777" w:rsidR="00265510" w:rsidRDefault="00265510" w:rsidP="00C63EC3">
            <w:pPr>
              <w:pStyle w:val="ListParagraph"/>
              <w:ind w:left="0"/>
              <w:jc w:val="both"/>
              <w:rPr>
                <w:rFonts w:cs="Arial"/>
                <w:b/>
                <w:i/>
                <w:iCs/>
                <w:szCs w:val="20"/>
              </w:rPr>
            </w:pPr>
          </w:p>
          <w:p w14:paraId="7B9C8DD9" w14:textId="77777777" w:rsidR="00265510" w:rsidRDefault="00265510" w:rsidP="00C63EC3">
            <w:pPr>
              <w:pStyle w:val="ListParagraph"/>
              <w:ind w:left="0"/>
              <w:jc w:val="both"/>
              <w:rPr>
                <w:rFonts w:cs="Arial"/>
                <w:iCs/>
                <w:szCs w:val="20"/>
              </w:rPr>
            </w:pPr>
            <w:r w:rsidRPr="00E24019">
              <w:rPr>
                <w:rFonts w:cs="Arial"/>
                <w:b/>
                <w:i/>
                <w:iCs/>
                <w:szCs w:val="20"/>
              </w:rPr>
              <w:t xml:space="preserve">Obligations in relation to 'storage facilities': </w:t>
            </w:r>
            <w:r w:rsidRPr="00E24019">
              <w:rPr>
                <w:rFonts w:cs="Arial"/>
                <w:iCs/>
                <w:szCs w:val="20"/>
              </w:rPr>
              <w:t>If the hydrogen storage constitutes a 'storage facility' under the Gas Act, ScGN (as owner) will be subject to the rules on: (i) unbundling (to ensure that it is independent of any producer/ supplier of gas); (ii) third party access; and (iii) disclosure of information (in particular to or from associated undertakings).</w:t>
            </w:r>
            <w:r w:rsidRPr="004F113D">
              <w:rPr>
                <w:rFonts w:cs="Arial"/>
                <w:iCs/>
                <w:szCs w:val="20"/>
              </w:rPr>
              <w:t xml:space="preserve"> </w:t>
            </w:r>
          </w:p>
          <w:p w14:paraId="3FFABA40" w14:textId="77777777" w:rsidR="00265510" w:rsidRPr="00305171" w:rsidRDefault="00265510" w:rsidP="00C63EC3">
            <w:pPr>
              <w:pStyle w:val="ListParagraph"/>
              <w:ind w:left="0"/>
              <w:jc w:val="both"/>
              <w:rPr>
                <w:rFonts w:cs="Arial"/>
                <w:iCs/>
                <w:szCs w:val="20"/>
              </w:rPr>
            </w:pPr>
          </w:p>
          <w:p w14:paraId="10C80797" w14:textId="77777777" w:rsidR="00265510" w:rsidRPr="003312C7" w:rsidRDefault="00265510" w:rsidP="00C63EC3">
            <w:pPr>
              <w:pStyle w:val="ListParagraph"/>
              <w:ind w:left="0"/>
              <w:jc w:val="both"/>
              <w:rPr>
                <w:rFonts w:cs="Arial"/>
                <w:szCs w:val="20"/>
              </w:rPr>
            </w:pPr>
            <w:r w:rsidRPr="00CA7888">
              <w:rPr>
                <w:rFonts w:cs="Arial"/>
                <w:b/>
                <w:i/>
                <w:iCs/>
                <w:szCs w:val="20"/>
              </w:rPr>
              <w:t>Storage facility?:</w:t>
            </w:r>
            <w:r w:rsidRPr="003312C7">
              <w:rPr>
                <w:rFonts w:cs="Arial"/>
                <w:szCs w:val="20"/>
              </w:rPr>
              <w:t xml:space="preserve"> </w:t>
            </w:r>
            <w:r>
              <w:rPr>
                <w:rFonts w:cs="Arial"/>
                <w:szCs w:val="20"/>
              </w:rPr>
              <w:t xml:space="preserve">However, these rules will only apply </w:t>
            </w:r>
            <w:r w:rsidRPr="004B1EAF">
              <w:rPr>
                <w:rFonts w:cs="Arial"/>
                <w:szCs w:val="20"/>
                <w:u w:val="single"/>
              </w:rPr>
              <w:t>if</w:t>
            </w:r>
            <w:r>
              <w:rPr>
                <w:rFonts w:cs="Arial"/>
                <w:szCs w:val="20"/>
              </w:rPr>
              <w:t xml:space="preserve"> the planned storage facility matches </w:t>
            </w:r>
            <w:r w:rsidRPr="003312C7">
              <w:rPr>
                <w:rFonts w:cs="Arial"/>
                <w:szCs w:val="20"/>
              </w:rPr>
              <w:t xml:space="preserve">the definition of </w:t>
            </w:r>
            <w:r>
              <w:rPr>
                <w:rFonts w:cs="Arial"/>
                <w:szCs w:val="20"/>
              </w:rPr>
              <w:t>a</w:t>
            </w:r>
            <w:r w:rsidRPr="003312C7">
              <w:rPr>
                <w:rFonts w:cs="Arial"/>
                <w:szCs w:val="20"/>
              </w:rPr>
              <w:t xml:space="preserve"> 'storage facility' under the Gas Act</w:t>
            </w:r>
            <w:r>
              <w:rPr>
                <w:rFonts w:cs="Arial"/>
                <w:szCs w:val="20"/>
              </w:rPr>
              <w:t>, being (in summary)</w:t>
            </w:r>
            <w:r w:rsidRPr="003312C7">
              <w:rPr>
                <w:rFonts w:cs="Arial"/>
                <w:szCs w:val="20"/>
              </w:rPr>
              <w:t xml:space="preserve">: "storage in porous strata, or in cavities in strata, of gas which has been, or will be, conveyed in a pipeline system operated by </w:t>
            </w:r>
            <w:r w:rsidRPr="00D971AA">
              <w:rPr>
                <w:rFonts w:cs="Arial"/>
                <w:szCs w:val="20"/>
              </w:rPr>
              <w:t>…"</w:t>
            </w:r>
            <w:r>
              <w:rPr>
                <w:rFonts w:cs="Arial"/>
                <w:szCs w:val="20"/>
              </w:rPr>
              <w:t xml:space="preserve"> </w:t>
            </w:r>
            <w:r w:rsidRPr="00CA1799">
              <w:rPr>
                <w:rFonts w:cs="Arial"/>
                <w:szCs w:val="20"/>
              </w:rPr>
              <w:t xml:space="preserve">a transporter </w:t>
            </w:r>
            <w:r>
              <w:rPr>
                <w:rFonts w:cs="Arial"/>
                <w:szCs w:val="20"/>
              </w:rPr>
              <w:t>or</w:t>
            </w:r>
            <w:r>
              <w:t xml:space="preserve"> </w:t>
            </w:r>
            <w:r w:rsidRPr="000F0515">
              <w:rPr>
                <w:rFonts w:cs="Arial"/>
                <w:szCs w:val="20"/>
              </w:rPr>
              <w:t>the storage of liquid gas</w:t>
            </w:r>
            <w:r>
              <w:rPr>
                <w:rFonts w:cs="Arial"/>
                <w:szCs w:val="20"/>
              </w:rPr>
              <w:t xml:space="preserve"> which (if regasified) would be suitable for such conveyance</w:t>
            </w:r>
            <w:r>
              <w:rPr>
                <w:rStyle w:val="FootnoteReference"/>
                <w:rFonts w:cs="Arial"/>
                <w:szCs w:val="20"/>
              </w:rPr>
              <w:footnoteReference w:id="6"/>
            </w:r>
            <w:r w:rsidRPr="000F0515">
              <w:rPr>
                <w:rFonts w:cs="Arial"/>
                <w:szCs w:val="20"/>
              </w:rPr>
              <w:t>.</w:t>
            </w:r>
            <w:r>
              <w:rPr>
                <w:rFonts w:cs="Arial"/>
                <w:szCs w:val="20"/>
              </w:rPr>
              <w:t xml:space="preserve"> Since we understand that the gas will be stored in gaseous form and in tanks above ground (and not in strata), the rules will not apply.</w:t>
            </w:r>
            <w:r w:rsidRPr="000F0515">
              <w:rPr>
                <w:rFonts w:cs="Arial"/>
                <w:szCs w:val="20"/>
              </w:rPr>
              <w:t xml:space="preserve"> </w:t>
            </w:r>
            <w:r w:rsidRPr="00D971AA">
              <w:rPr>
                <w:rFonts w:cs="Arial"/>
                <w:szCs w:val="20"/>
              </w:rPr>
              <w:t xml:space="preserve"> </w:t>
            </w:r>
          </w:p>
        </w:tc>
      </w:tr>
      <w:tr w:rsidR="00265510" w:rsidRPr="00C658D9" w14:paraId="0E6D4D3A" w14:textId="77777777" w:rsidTr="00C63EC3">
        <w:tc>
          <w:tcPr>
            <w:tcW w:w="426" w:type="dxa"/>
            <w:tcMar>
              <w:top w:w="0" w:type="dxa"/>
              <w:left w:w="108" w:type="dxa"/>
              <w:bottom w:w="0" w:type="dxa"/>
              <w:right w:w="108" w:type="dxa"/>
            </w:tcMar>
          </w:tcPr>
          <w:p w14:paraId="46D0C65F" w14:textId="77777777" w:rsidR="00265510" w:rsidRPr="00C658D9" w:rsidRDefault="00265510" w:rsidP="00265510">
            <w:pPr>
              <w:pStyle w:val="ListParagraph"/>
              <w:numPr>
                <w:ilvl w:val="0"/>
                <w:numId w:val="15"/>
              </w:numPr>
              <w:spacing w:line="240" w:lineRule="auto"/>
              <w:contextualSpacing w:val="0"/>
              <w:jc w:val="both"/>
              <w:rPr>
                <w:rFonts w:cs="Arial"/>
                <w:szCs w:val="20"/>
              </w:rPr>
            </w:pPr>
          </w:p>
        </w:tc>
        <w:tc>
          <w:tcPr>
            <w:tcW w:w="3231" w:type="dxa"/>
            <w:tcMar>
              <w:top w:w="0" w:type="dxa"/>
              <w:left w:w="108" w:type="dxa"/>
              <w:bottom w:w="0" w:type="dxa"/>
              <w:right w:w="108" w:type="dxa"/>
            </w:tcMar>
          </w:tcPr>
          <w:p w14:paraId="52570F37" w14:textId="77777777" w:rsidR="00265510" w:rsidRDefault="00265510" w:rsidP="00C63EC3">
            <w:pPr>
              <w:pStyle w:val="ListParagraph"/>
              <w:ind w:left="0"/>
              <w:jc w:val="both"/>
              <w:rPr>
                <w:rFonts w:cs="Arial"/>
                <w:b/>
                <w:i/>
                <w:szCs w:val="20"/>
              </w:rPr>
            </w:pPr>
            <w:r w:rsidRPr="003312C7">
              <w:rPr>
                <w:rFonts w:cs="Arial"/>
                <w:b/>
                <w:i/>
                <w:szCs w:val="20"/>
              </w:rPr>
              <w:t>Gas Act (implementing the provisions of the Gas Directive 2009/73/EC)</w:t>
            </w:r>
          </w:p>
          <w:p w14:paraId="70EF8F9D" w14:textId="77777777" w:rsidR="00265510" w:rsidRDefault="00265510" w:rsidP="00C63EC3">
            <w:pPr>
              <w:pStyle w:val="ListParagraph"/>
              <w:ind w:left="0"/>
              <w:jc w:val="both"/>
              <w:rPr>
                <w:rFonts w:cs="Arial"/>
                <w:b/>
                <w:i/>
                <w:szCs w:val="20"/>
              </w:rPr>
            </w:pPr>
          </w:p>
          <w:p w14:paraId="316563AF" w14:textId="77777777" w:rsidR="00265510" w:rsidRPr="00CF59AB" w:rsidRDefault="00265510" w:rsidP="00C63EC3">
            <w:pPr>
              <w:pStyle w:val="ListParagraph"/>
              <w:ind w:left="0"/>
              <w:jc w:val="both"/>
              <w:rPr>
                <w:rFonts w:cs="Arial"/>
                <w:szCs w:val="20"/>
              </w:rPr>
            </w:pPr>
            <w:r w:rsidRPr="00CF59AB">
              <w:rPr>
                <w:rFonts w:cs="Arial"/>
                <w:szCs w:val="20"/>
              </w:rPr>
              <w:lastRenderedPageBreak/>
              <w:t>Whether the unbundling regime applies to the proposed project structure.</w:t>
            </w:r>
          </w:p>
        </w:tc>
        <w:tc>
          <w:tcPr>
            <w:tcW w:w="11057" w:type="dxa"/>
            <w:tcMar>
              <w:top w:w="0" w:type="dxa"/>
              <w:left w:w="108" w:type="dxa"/>
              <w:bottom w:w="0" w:type="dxa"/>
              <w:right w:w="108" w:type="dxa"/>
            </w:tcMar>
          </w:tcPr>
          <w:p w14:paraId="19AE0EE9" w14:textId="77777777" w:rsidR="00265510" w:rsidRDefault="00265510" w:rsidP="00C63EC3">
            <w:pPr>
              <w:pStyle w:val="ListParagraph"/>
              <w:ind w:left="0"/>
              <w:jc w:val="both"/>
              <w:rPr>
                <w:rFonts w:cs="Arial"/>
                <w:szCs w:val="20"/>
              </w:rPr>
            </w:pPr>
            <w:r w:rsidRPr="003312C7">
              <w:rPr>
                <w:rFonts w:cs="Arial"/>
                <w:szCs w:val="20"/>
              </w:rPr>
              <w:lastRenderedPageBreak/>
              <w:t xml:space="preserve">The unbundling regime </w:t>
            </w:r>
            <w:r>
              <w:rPr>
                <w:rFonts w:cs="Arial"/>
                <w:szCs w:val="20"/>
              </w:rPr>
              <w:t xml:space="preserve">does not </w:t>
            </w:r>
            <w:r w:rsidRPr="003312C7">
              <w:rPr>
                <w:rFonts w:cs="Arial"/>
                <w:szCs w:val="20"/>
              </w:rPr>
              <w:t xml:space="preserve">apply </w:t>
            </w:r>
            <w:r>
              <w:rPr>
                <w:rFonts w:cs="Arial"/>
                <w:szCs w:val="20"/>
              </w:rPr>
              <w:t xml:space="preserve">given that ScGN does not carry out the transmission of gas. </w:t>
            </w:r>
          </w:p>
          <w:p w14:paraId="457ECE6C" w14:textId="77777777" w:rsidR="00265510" w:rsidRDefault="00265510" w:rsidP="00C63EC3">
            <w:pPr>
              <w:pStyle w:val="ListParagraph"/>
              <w:ind w:left="0"/>
              <w:jc w:val="both"/>
              <w:rPr>
                <w:rFonts w:cs="Arial"/>
                <w:b/>
                <w:bCs/>
                <w:i/>
                <w:iCs/>
                <w:szCs w:val="20"/>
              </w:rPr>
            </w:pPr>
          </w:p>
          <w:p w14:paraId="2CC1CD8B" w14:textId="77777777" w:rsidR="00265510" w:rsidRPr="003312C7" w:rsidRDefault="00265510" w:rsidP="00C63EC3">
            <w:pPr>
              <w:pStyle w:val="ListParagraph"/>
              <w:ind w:left="0"/>
              <w:jc w:val="both"/>
              <w:rPr>
                <w:rFonts w:cs="Arial"/>
                <w:b/>
                <w:bCs/>
                <w:i/>
                <w:iCs/>
                <w:szCs w:val="20"/>
              </w:rPr>
            </w:pPr>
            <w:r w:rsidRPr="003312C7">
              <w:rPr>
                <w:rFonts w:cs="Arial"/>
                <w:b/>
                <w:bCs/>
                <w:i/>
                <w:iCs/>
                <w:szCs w:val="20"/>
              </w:rPr>
              <w:t>Detail:</w:t>
            </w:r>
          </w:p>
          <w:p w14:paraId="21F70BD7" w14:textId="77777777" w:rsidR="00265510" w:rsidRDefault="00265510" w:rsidP="00C63EC3">
            <w:pPr>
              <w:pStyle w:val="ListParagraph"/>
              <w:ind w:left="0"/>
              <w:jc w:val="both"/>
              <w:rPr>
                <w:rFonts w:cs="Arial"/>
                <w:szCs w:val="20"/>
              </w:rPr>
            </w:pPr>
            <w:r w:rsidRPr="003312C7">
              <w:rPr>
                <w:rFonts w:cs="Arial"/>
                <w:szCs w:val="20"/>
              </w:rPr>
              <w:lastRenderedPageBreak/>
              <w:t>In summary, the unbundling regime under the Gas Directive (as implemented in the Gas Act) provides for the separation of gas 'producers and suppliers' from the operation of transmission networks</w:t>
            </w:r>
            <w:r>
              <w:rPr>
                <w:rStyle w:val="FootnoteReference"/>
                <w:rFonts w:cs="Arial"/>
                <w:szCs w:val="20"/>
              </w:rPr>
              <w:footnoteReference w:id="7"/>
            </w:r>
            <w:r w:rsidRPr="003312C7">
              <w:rPr>
                <w:rFonts w:cs="Arial"/>
                <w:szCs w:val="20"/>
              </w:rPr>
              <w:t xml:space="preserve">. </w:t>
            </w:r>
          </w:p>
          <w:p w14:paraId="1D8DEF61" w14:textId="77777777" w:rsidR="00265510" w:rsidRDefault="00265510" w:rsidP="00C63EC3">
            <w:pPr>
              <w:pStyle w:val="ListParagraph"/>
              <w:ind w:left="0"/>
              <w:jc w:val="both"/>
              <w:rPr>
                <w:rFonts w:cs="Arial"/>
                <w:szCs w:val="20"/>
              </w:rPr>
            </w:pPr>
          </w:p>
          <w:p w14:paraId="69251F86" w14:textId="77777777" w:rsidR="00265510" w:rsidRDefault="00265510" w:rsidP="00C63EC3">
            <w:pPr>
              <w:pStyle w:val="ListParagraph"/>
              <w:ind w:left="0"/>
              <w:jc w:val="both"/>
              <w:rPr>
                <w:rFonts w:cs="Arial"/>
                <w:szCs w:val="20"/>
              </w:rPr>
            </w:pPr>
            <w:r>
              <w:rPr>
                <w:rFonts w:cs="Arial"/>
                <w:szCs w:val="20"/>
              </w:rPr>
              <w:t>There are two key elements to consider:</w:t>
            </w:r>
          </w:p>
          <w:p w14:paraId="503735DD" w14:textId="77777777" w:rsidR="00265510" w:rsidRDefault="00265510" w:rsidP="00C63EC3">
            <w:pPr>
              <w:pStyle w:val="ListParagraph"/>
              <w:ind w:left="0"/>
              <w:jc w:val="both"/>
              <w:rPr>
                <w:rFonts w:cs="Arial"/>
                <w:szCs w:val="20"/>
              </w:rPr>
            </w:pPr>
          </w:p>
          <w:p w14:paraId="711A457C" w14:textId="77777777" w:rsidR="00265510" w:rsidRDefault="00265510" w:rsidP="00C63EC3">
            <w:pPr>
              <w:pStyle w:val="ListParagraph"/>
              <w:ind w:left="0"/>
              <w:jc w:val="both"/>
              <w:rPr>
                <w:rFonts w:cs="Arial"/>
                <w:szCs w:val="20"/>
              </w:rPr>
            </w:pPr>
            <w:r>
              <w:rPr>
                <w:rFonts w:cs="Arial"/>
                <w:szCs w:val="20"/>
              </w:rPr>
              <w:t>(a) is ScGN required to be certified as independent from 'producers and suppliers' under the Gas Act; and</w:t>
            </w:r>
          </w:p>
          <w:p w14:paraId="17E89CF6" w14:textId="77777777" w:rsidR="00265510" w:rsidRDefault="00265510" w:rsidP="00C63EC3">
            <w:pPr>
              <w:pStyle w:val="ListParagraph"/>
              <w:ind w:left="0"/>
              <w:jc w:val="both"/>
              <w:rPr>
                <w:rFonts w:cs="Arial"/>
                <w:szCs w:val="20"/>
              </w:rPr>
            </w:pPr>
            <w:r>
              <w:rPr>
                <w:rFonts w:cs="Arial"/>
                <w:szCs w:val="20"/>
              </w:rPr>
              <w:t>(b) if so, is ScGN suitably independent/ unbundled from 'producers and suppliers'.</w:t>
            </w:r>
          </w:p>
          <w:p w14:paraId="51DA4708" w14:textId="77777777" w:rsidR="00265510" w:rsidRDefault="00265510" w:rsidP="00C63EC3">
            <w:pPr>
              <w:pStyle w:val="ListParagraph"/>
              <w:ind w:left="0"/>
              <w:jc w:val="both"/>
              <w:rPr>
                <w:rFonts w:cs="Arial"/>
                <w:szCs w:val="20"/>
              </w:rPr>
            </w:pPr>
          </w:p>
          <w:p w14:paraId="3DE3EA8D" w14:textId="77777777" w:rsidR="00265510" w:rsidRDefault="00265510" w:rsidP="00C63EC3">
            <w:pPr>
              <w:pStyle w:val="ListParagraph"/>
              <w:ind w:left="0"/>
              <w:jc w:val="both"/>
              <w:rPr>
                <w:rFonts w:cs="Arial"/>
                <w:szCs w:val="20"/>
              </w:rPr>
            </w:pPr>
            <w:r>
              <w:rPr>
                <w:rFonts w:cs="Arial"/>
                <w:szCs w:val="20"/>
              </w:rPr>
              <w:t xml:space="preserve">Turning to point (b) first, the definition of 'producer and supplier' covers an entity which produces any gas which is suitable for conveyance through pipes to premises (as SGN Futures will do) provided that it also meets one of three different requirements: (i) it requires a licence for gas supply or shipping; (ii) it would do so if those activities were carried out in GB; or (iii) the producer has a </w:t>
            </w:r>
            <w:r w:rsidRPr="00194D20">
              <w:rPr>
                <w:rFonts w:cs="Arial"/>
                <w:szCs w:val="20"/>
              </w:rPr>
              <w:t>relationship with a certified person/ applicant</w:t>
            </w:r>
            <w:r>
              <w:rPr>
                <w:rFonts w:cs="Arial"/>
                <w:szCs w:val="20"/>
              </w:rPr>
              <w:t xml:space="preserve"> (this would be ScGN)</w:t>
            </w:r>
            <w:r w:rsidRPr="00194D20">
              <w:rPr>
                <w:rFonts w:cs="Arial"/>
                <w:szCs w:val="20"/>
              </w:rPr>
              <w:t xml:space="preserve"> which might lead that person to discriminate in the producer's favour</w:t>
            </w:r>
            <w:r>
              <w:rPr>
                <w:rStyle w:val="FootnoteReference"/>
                <w:rFonts w:cs="Arial"/>
                <w:szCs w:val="20"/>
              </w:rPr>
              <w:footnoteReference w:id="8"/>
            </w:r>
            <w:r>
              <w:rPr>
                <w:rFonts w:cs="Arial"/>
                <w:szCs w:val="20"/>
              </w:rPr>
              <w:t>. Under Option 1, SGN Futures would be producing gas and, although it would not require a supply or shipper licence or be carrying out equivalent activities outside GB, it could arguably benefit from favourable treatment discrimination by affiliate ScGN. So, limb (b) is satisfied.</w:t>
            </w:r>
          </w:p>
          <w:p w14:paraId="6BAA0B98" w14:textId="77777777" w:rsidR="00265510" w:rsidRDefault="00265510" w:rsidP="00C63EC3">
            <w:pPr>
              <w:pStyle w:val="ListParagraph"/>
              <w:ind w:left="0"/>
              <w:jc w:val="both"/>
              <w:rPr>
                <w:rFonts w:cs="Arial"/>
                <w:szCs w:val="20"/>
              </w:rPr>
            </w:pPr>
          </w:p>
          <w:p w14:paraId="758BC764" w14:textId="77777777" w:rsidR="00265510" w:rsidRPr="003312C7" w:rsidRDefault="00265510" w:rsidP="00C63EC3">
            <w:pPr>
              <w:pStyle w:val="ListParagraph"/>
              <w:ind w:left="0"/>
              <w:jc w:val="both"/>
              <w:rPr>
                <w:rFonts w:cs="Arial"/>
                <w:szCs w:val="20"/>
              </w:rPr>
            </w:pPr>
            <w:r>
              <w:rPr>
                <w:rFonts w:cs="Arial"/>
                <w:szCs w:val="20"/>
              </w:rPr>
              <w:t>It is limb (a) where the test falls down. The requirement is only for gas transporters who carry out the 'transmission of gas' (meaning "t</w:t>
            </w:r>
            <w:r w:rsidRPr="007C3C7B">
              <w:rPr>
                <w:rFonts w:cs="Arial"/>
                <w:szCs w:val="20"/>
              </w:rPr>
              <w:t xml:space="preserve">he transport of natural gas through a network, which mainly contains high-pressure pipelines, other than an upstream pipeline network and other than the part of high-pressure pipelines primarily used in the context of local distribution of natural gas, with a view to its delivery to </w:t>
            </w:r>
            <w:r w:rsidRPr="007C3C7B">
              <w:rPr>
                <w:rFonts w:cs="Arial"/>
                <w:szCs w:val="20"/>
              </w:rPr>
              <w:lastRenderedPageBreak/>
              <w:t>customers, but not including supply</w:t>
            </w:r>
            <w:r>
              <w:rPr>
                <w:rFonts w:cs="Arial"/>
                <w:szCs w:val="20"/>
              </w:rPr>
              <w:t>").</w:t>
            </w:r>
            <w:r>
              <w:rPr>
                <w:rStyle w:val="FootnoteReference"/>
                <w:rFonts w:cs="Arial"/>
                <w:szCs w:val="20"/>
              </w:rPr>
              <w:footnoteReference w:id="9"/>
            </w:r>
            <w:r>
              <w:rPr>
                <w:rFonts w:cs="Arial"/>
                <w:szCs w:val="20"/>
              </w:rPr>
              <w:t xml:space="preserve"> As such, the requirement relates to a TSO rather than a DNO such as ScGN. This means that, regardless of whether limb (b) is satisfied, the unbundling certification requirement does not apply.  </w:t>
            </w:r>
          </w:p>
        </w:tc>
      </w:tr>
      <w:tr w:rsidR="00265510" w:rsidRPr="00C658D9" w14:paraId="7FD5A35E" w14:textId="77777777" w:rsidTr="00C63EC3">
        <w:tc>
          <w:tcPr>
            <w:tcW w:w="426" w:type="dxa"/>
            <w:tcMar>
              <w:top w:w="0" w:type="dxa"/>
              <w:left w:w="108" w:type="dxa"/>
              <w:bottom w:w="0" w:type="dxa"/>
              <w:right w:w="108" w:type="dxa"/>
            </w:tcMar>
          </w:tcPr>
          <w:p w14:paraId="12387454" w14:textId="77777777" w:rsidR="00265510" w:rsidRPr="00C658D9" w:rsidRDefault="00265510" w:rsidP="00265510">
            <w:pPr>
              <w:pStyle w:val="ListParagraph"/>
              <w:numPr>
                <w:ilvl w:val="0"/>
                <w:numId w:val="15"/>
              </w:numPr>
              <w:spacing w:line="240" w:lineRule="auto"/>
              <w:contextualSpacing w:val="0"/>
              <w:jc w:val="both"/>
              <w:rPr>
                <w:rFonts w:cs="Arial"/>
                <w:szCs w:val="20"/>
              </w:rPr>
            </w:pPr>
          </w:p>
        </w:tc>
        <w:tc>
          <w:tcPr>
            <w:tcW w:w="3231" w:type="dxa"/>
            <w:tcMar>
              <w:top w:w="0" w:type="dxa"/>
              <w:left w:w="108" w:type="dxa"/>
              <w:bottom w:w="0" w:type="dxa"/>
              <w:right w:w="108" w:type="dxa"/>
            </w:tcMar>
          </w:tcPr>
          <w:p w14:paraId="1AD36E38" w14:textId="77777777" w:rsidR="00265510" w:rsidRDefault="00265510" w:rsidP="00C63EC3">
            <w:pPr>
              <w:pStyle w:val="ListParagraph"/>
              <w:ind w:left="0"/>
              <w:jc w:val="both"/>
              <w:rPr>
                <w:rFonts w:cs="Arial"/>
                <w:b/>
                <w:i/>
                <w:szCs w:val="20"/>
              </w:rPr>
            </w:pPr>
            <w:r w:rsidRPr="003536E5">
              <w:rPr>
                <w:rFonts w:cs="Arial"/>
                <w:b/>
                <w:i/>
                <w:szCs w:val="20"/>
              </w:rPr>
              <w:t>Electricity Act and the Electricity (Class Exemption from the Requirement for a Licence) Order 2001</w:t>
            </w:r>
          </w:p>
          <w:p w14:paraId="3C381A8F" w14:textId="77777777" w:rsidR="00265510" w:rsidRDefault="00265510" w:rsidP="00C63EC3">
            <w:pPr>
              <w:pStyle w:val="ListParagraph"/>
              <w:ind w:left="0"/>
              <w:jc w:val="both"/>
              <w:rPr>
                <w:rFonts w:cs="Arial"/>
                <w:b/>
                <w:i/>
                <w:szCs w:val="20"/>
              </w:rPr>
            </w:pPr>
          </w:p>
          <w:p w14:paraId="4F5FACFA" w14:textId="77777777" w:rsidR="00265510" w:rsidRPr="00CF59AB" w:rsidRDefault="00265510" w:rsidP="00C63EC3">
            <w:pPr>
              <w:pStyle w:val="ListParagraph"/>
              <w:ind w:left="0"/>
              <w:jc w:val="both"/>
              <w:rPr>
                <w:rFonts w:cs="Arial"/>
                <w:szCs w:val="20"/>
              </w:rPr>
            </w:pPr>
            <w:r w:rsidRPr="00CF59AB">
              <w:rPr>
                <w:rFonts w:cs="Arial"/>
                <w:szCs w:val="20"/>
              </w:rPr>
              <w:t>Whether an additional licence/ derogation will be required by ScGN or SGN Futures in respect of the provision of electricity to the electrolyser.</w:t>
            </w:r>
          </w:p>
        </w:tc>
        <w:tc>
          <w:tcPr>
            <w:tcW w:w="11057" w:type="dxa"/>
            <w:tcMar>
              <w:top w:w="0" w:type="dxa"/>
              <w:left w:w="108" w:type="dxa"/>
              <w:bottom w:w="0" w:type="dxa"/>
              <w:right w:w="108" w:type="dxa"/>
            </w:tcMar>
          </w:tcPr>
          <w:p w14:paraId="247BC22C" w14:textId="77777777" w:rsidR="00265510" w:rsidRDefault="00265510" w:rsidP="00C63EC3">
            <w:pPr>
              <w:pStyle w:val="ListParagraph"/>
              <w:ind w:left="0"/>
              <w:jc w:val="both"/>
              <w:rPr>
                <w:rFonts w:cs="Arial"/>
                <w:szCs w:val="20"/>
              </w:rPr>
            </w:pPr>
            <w:r>
              <w:rPr>
                <w:rFonts w:cs="Arial"/>
                <w:szCs w:val="20"/>
              </w:rPr>
              <w:t xml:space="preserve">Neither ScGN nor SGN Futures will require a licence or exemption in relation to the Electricity Act. ORE Catapult will be generating, distributing and supplying electricity to SGN. However, it should be able to rely on an exemption in each case. </w:t>
            </w:r>
          </w:p>
          <w:p w14:paraId="3AD4D32C" w14:textId="77777777" w:rsidR="00265510" w:rsidRDefault="00265510" w:rsidP="00C63EC3">
            <w:pPr>
              <w:pStyle w:val="ListParagraph"/>
              <w:ind w:left="0"/>
              <w:jc w:val="both"/>
              <w:rPr>
                <w:rFonts w:cs="Arial"/>
                <w:szCs w:val="20"/>
              </w:rPr>
            </w:pPr>
          </w:p>
          <w:p w14:paraId="11B619E0" w14:textId="77777777" w:rsidR="00265510" w:rsidRDefault="00265510" w:rsidP="00C63EC3">
            <w:pPr>
              <w:pStyle w:val="ListParagraph"/>
              <w:ind w:left="0"/>
              <w:jc w:val="both"/>
              <w:rPr>
                <w:rFonts w:cs="Arial"/>
                <w:szCs w:val="20"/>
              </w:rPr>
            </w:pPr>
          </w:p>
          <w:p w14:paraId="120B6684" w14:textId="77777777" w:rsidR="00265510" w:rsidRDefault="00265510" w:rsidP="00C63EC3">
            <w:pPr>
              <w:pStyle w:val="ListParagraph"/>
              <w:ind w:left="0"/>
              <w:jc w:val="both"/>
              <w:rPr>
                <w:rFonts w:cs="Arial"/>
                <w:szCs w:val="20"/>
              </w:rPr>
            </w:pPr>
          </w:p>
          <w:p w14:paraId="5A689C03" w14:textId="77777777" w:rsidR="00265510" w:rsidRPr="003312C7" w:rsidRDefault="00265510" w:rsidP="00C63EC3">
            <w:pPr>
              <w:pStyle w:val="ListParagraph"/>
              <w:ind w:left="0"/>
              <w:jc w:val="both"/>
              <w:rPr>
                <w:rFonts w:cs="Arial"/>
                <w:b/>
                <w:i/>
                <w:szCs w:val="20"/>
              </w:rPr>
            </w:pPr>
            <w:r w:rsidRPr="003312C7">
              <w:rPr>
                <w:rFonts w:cs="Arial"/>
                <w:b/>
                <w:i/>
                <w:szCs w:val="20"/>
              </w:rPr>
              <w:t>Detail:</w:t>
            </w:r>
          </w:p>
          <w:p w14:paraId="7A35F28F" w14:textId="77777777" w:rsidR="00265510" w:rsidRDefault="00265510" w:rsidP="00C63EC3">
            <w:pPr>
              <w:pStyle w:val="ListParagraph"/>
              <w:ind w:left="0"/>
              <w:jc w:val="both"/>
              <w:rPr>
                <w:rFonts w:cs="Arial"/>
                <w:szCs w:val="20"/>
              </w:rPr>
            </w:pPr>
          </w:p>
          <w:p w14:paraId="02A73F21" w14:textId="77777777" w:rsidR="00265510" w:rsidRPr="008B494D" w:rsidRDefault="00265510" w:rsidP="00C63EC3">
            <w:pPr>
              <w:spacing w:line="240" w:lineRule="auto"/>
              <w:rPr>
                <w:rFonts w:cs="Arial"/>
              </w:rPr>
            </w:pPr>
            <w:r>
              <w:rPr>
                <w:rFonts w:cs="Arial"/>
              </w:rPr>
              <w:t xml:space="preserve">The </w:t>
            </w:r>
            <w:r w:rsidRPr="008B494D">
              <w:rPr>
                <w:rFonts w:cs="Arial"/>
              </w:rPr>
              <w:t>following</w:t>
            </w:r>
            <w:r>
              <w:rPr>
                <w:rFonts w:cs="Arial"/>
              </w:rPr>
              <w:t xml:space="preserve"> are</w:t>
            </w:r>
            <w:r w:rsidRPr="008B494D">
              <w:rPr>
                <w:rFonts w:cs="Arial"/>
              </w:rPr>
              <w:t xml:space="preserve"> licensable activities under the Electricity Act 1989: </w:t>
            </w:r>
          </w:p>
          <w:p w14:paraId="652D8D1C" w14:textId="77777777" w:rsidR="00265510" w:rsidRPr="000C2027" w:rsidRDefault="00265510" w:rsidP="00C63EC3">
            <w:pPr>
              <w:pStyle w:val="ListParagraph"/>
              <w:jc w:val="both"/>
              <w:rPr>
                <w:rFonts w:cs="Arial"/>
                <w:szCs w:val="20"/>
              </w:rPr>
            </w:pPr>
          </w:p>
          <w:p w14:paraId="1F8B46E4" w14:textId="77777777" w:rsidR="00265510" w:rsidRPr="000C2027" w:rsidRDefault="00265510" w:rsidP="00C63EC3">
            <w:pPr>
              <w:pStyle w:val="ListParagraph"/>
              <w:ind w:left="0"/>
              <w:jc w:val="both"/>
              <w:rPr>
                <w:rFonts w:cs="Arial"/>
                <w:szCs w:val="20"/>
              </w:rPr>
            </w:pPr>
            <w:r w:rsidRPr="000C2027">
              <w:rPr>
                <w:rFonts w:cs="Arial"/>
                <w:szCs w:val="20"/>
              </w:rPr>
              <w:t>(a) generation of electricity for the purposes of giving a supply to any premises or enabling supply to be given;</w:t>
            </w:r>
          </w:p>
          <w:p w14:paraId="3D2B4988" w14:textId="77777777" w:rsidR="00265510" w:rsidRPr="000C2027" w:rsidRDefault="00265510" w:rsidP="00C63EC3">
            <w:pPr>
              <w:pStyle w:val="ListParagraph"/>
              <w:ind w:left="0"/>
              <w:jc w:val="both"/>
              <w:rPr>
                <w:rFonts w:cs="Arial"/>
                <w:szCs w:val="20"/>
              </w:rPr>
            </w:pPr>
            <w:r w:rsidRPr="000C2027">
              <w:rPr>
                <w:rFonts w:cs="Arial"/>
                <w:szCs w:val="20"/>
              </w:rPr>
              <w:t>(b) participating in the transmission of electricity for that purpose;</w:t>
            </w:r>
          </w:p>
          <w:p w14:paraId="40B0C2CB" w14:textId="77777777" w:rsidR="00265510" w:rsidRPr="000C2027" w:rsidRDefault="00265510" w:rsidP="00C63EC3">
            <w:pPr>
              <w:pStyle w:val="ListParagraph"/>
              <w:ind w:left="0"/>
              <w:jc w:val="both"/>
              <w:rPr>
                <w:rFonts w:cs="Arial"/>
                <w:szCs w:val="20"/>
              </w:rPr>
            </w:pPr>
            <w:r w:rsidRPr="000C2027">
              <w:rPr>
                <w:rFonts w:cs="Arial"/>
                <w:szCs w:val="20"/>
              </w:rPr>
              <w:t>(c) distributing electricity for that purpose;</w:t>
            </w:r>
          </w:p>
          <w:p w14:paraId="582DBE29" w14:textId="77777777" w:rsidR="00265510" w:rsidRPr="000C2027" w:rsidRDefault="00265510" w:rsidP="00C63EC3">
            <w:pPr>
              <w:pStyle w:val="ListParagraph"/>
              <w:ind w:left="0"/>
              <w:jc w:val="both"/>
              <w:rPr>
                <w:rFonts w:cs="Arial"/>
                <w:szCs w:val="20"/>
              </w:rPr>
            </w:pPr>
            <w:r w:rsidRPr="000C2027">
              <w:rPr>
                <w:rFonts w:cs="Arial"/>
                <w:szCs w:val="20"/>
              </w:rPr>
              <w:t>(d) supply</w:t>
            </w:r>
            <w:r>
              <w:rPr>
                <w:rFonts w:cs="Arial"/>
                <w:szCs w:val="20"/>
              </w:rPr>
              <w:t>ing electricity to any premises;</w:t>
            </w:r>
          </w:p>
          <w:p w14:paraId="6DE5119E" w14:textId="77777777" w:rsidR="00265510" w:rsidRPr="000C2027" w:rsidRDefault="00265510" w:rsidP="00C63EC3">
            <w:pPr>
              <w:pStyle w:val="ListParagraph"/>
              <w:ind w:left="0"/>
              <w:jc w:val="both"/>
              <w:rPr>
                <w:rFonts w:cs="Arial"/>
                <w:szCs w:val="20"/>
              </w:rPr>
            </w:pPr>
            <w:r w:rsidRPr="000C2027">
              <w:rPr>
                <w:rFonts w:cs="Arial"/>
                <w:szCs w:val="20"/>
              </w:rPr>
              <w:t>(e) participating in the operation of an electricity interconnector; and</w:t>
            </w:r>
          </w:p>
          <w:p w14:paraId="07E1DBBA" w14:textId="77777777" w:rsidR="00265510" w:rsidRPr="000C2027" w:rsidRDefault="00265510" w:rsidP="00C63EC3">
            <w:pPr>
              <w:pStyle w:val="ListParagraph"/>
              <w:ind w:left="0"/>
              <w:jc w:val="both"/>
              <w:rPr>
                <w:rFonts w:cs="Arial"/>
                <w:szCs w:val="20"/>
              </w:rPr>
            </w:pPr>
            <w:r w:rsidRPr="000C2027">
              <w:rPr>
                <w:rFonts w:cs="Arial"/>
                <w:szCs w:val="20"/>
              </w:rPr>
              <w:t>(f) providing smart meter communications services</w:t>
            </w:r>
            <w:r>
              <w:rPr>
                <w:rStyle w:val="FootnoteReference"/>
                <w:rFonts w:cs="Arial"/>
                <w:szCs w:val="20"/>
              </w:rPr>
              <w:footnoteReference w:id="10"/>
            </w:r>
            <w:r w:rsidRPr="000C2027">
              <w:rPr>
                <w:rFonts w:cs="Arial"/>
                <w:szCs w:val="20"/>
              </w:rPr>
              <w:t>.</w:t>
            </w:r>
          </w:p>
          <w:p w14:paraId="7EB735D3" w14:textId="77777777" w:rsidR="00265510" w:rsidRDefault="00265510" w:rsidP="00C63EC3">
            <w:pPr>
              <w:pStyle w:val="ListParagraph"/>
              <w:ind w:left="0"/>
              <w:jc w:val="both"/>
              <w:rPr>
                <w:rFonts w:cs="Arial"/>
                <w:szCs w:val="20"/>
              </w:rPr>
            </w:pPr>
          </w:p>
          <w:p w14:paraId="5598D5E3" w14:textId="77777777" w:rsidR="00265510" w:rsidRDefault="00265510" w:rsidP="00C63EC3">
            <w:pPr>
              <w:pStyle w:val="ListParagraph"/>
              <w:ind w:left="0"/>
              <w:jc w:val="both"/>
              <w:rPr>
                <w:rFonts w:cs="Arial"/>
                <w:szCs w:val="20"/>
              </w:rPr>
            </w:pPr>
            <w:r>
              <w:rPr>
                <w:rFonts w:cs="Arial"/>
                <w:szCs w:val="20"/>
              </w:rPr>
              <w:t xml:space="preserve">Activities (e) and (f) are not relevant. </w:t>
            </w:r>
          </w:p>
          <w:p w14:paraId="63525794" w14:textId="77777777" w:rsidR="00265510" w:rsidRDefault="00265510" w:rsidP="00C63EC3">
            <w:pPr>
              <w:pStyle w:val="ListParagraph"/>
              <w:ind w:left="0"/>
              <w:jc w:val="both"/>
              <w:rPr>
                <w:rFonts w:cs="Arial"/>
                <w:szCs w:val="20"/>
              </w:rPr>
            </w:pPr>
          </w:p>
          <w:p w14:paraId="68F6BB1B" w14:textId="77777777" w:rsidR="00265510" w:rsidRDefault="00265510" w:rsidP="00C63EC3">
            <w:pPr>
              <w:pStyle w:val="ListParagraph"/>
              <w:ind w:left="0"/>
              <w:jc w:val="both"/>
              <w:rPr>
                <w:rFonts w:cs="Arial"/>
                <w:szCs w:val="20"/>
              </w:rPr>
            </w:pPr>
            <w:r>
              <w:rPr>
                <w:rFonts w:cs="Arial"/>
                <w:szCs w:val="20"/>
              </w:rPr>
              <w:t>In respect of the remaining activities, the key general point is that neither SGN Futures nor ScGN appear to be carrying out any of these activities. It will instead be for ORE Catapult to determine whether it requires a licence or can benefit from an exemption in each case. To work through each activity, and how it would apply to ORE Catapult, in turn:</w:t>
            </w:r>
          </w:p>
          <w:p w14:paraId="5C74DBB1" w14:textId="77777777" w:rsidR="00265510" w:rsidRDefault="00265510" w:rsidP="00C63EC3">
            <w:pPr>
              <w:pStyle w:val="ListParagraph"/>
              <w:ind w:left="0"/>
              <w:jc w:val="both"/>
              <w:rPr>
                <w:rFonts w:cs="Arial"/>
                <w:szCs w:val="20"/>
              </w:rPr>
            </w:pPr>
          </w:p>
          <w:p w14:paraId="0A1CE9D3" w14:textId="77777777" w:rsidR="00265510" w:rsidRDefault="00265510" w:rsidP="00C63EC3">
            <w:pPr>
              <w:pStyle w:val="ListParagraph"/>
              <w:ind w:left="0"/>
              <w:jc w:val="both"/>
              <w:rPr>
                <w:rFonts w:cs="Arial"/>
                <w:szCs w:val="20"/>
              </w:rPr>
            </w:pPr>
            <w:r>
              <w:rPr>
                <w:rFonts w:cs="Arial"/>
                <w:szCs w:val="20"/>
              </w:rPr>
              <w:t>(a) although there will be generation of electricity, ORE will be exempt</w:t>
            </w:r>
            <w:r w:rsidRPr="009F7A60">
              <w:rPr>
                <w:rFonts w:cs="Arial"/>
                <w:szCs w:val="20"/>
              </w:rPr>
              <w:t xml:space="preserve"> </w:t>
            </w:r>
            <w:r>
              <w:rPr>
                <w:rFonts w:cs="Arial"/>
                <w:szCs w:val="20"/>
              </w:rPr>
              <w:t>as a 'small generator'. The relevant exemption exempts persons who do not at any time provide more electricity than: (i) 10 megawatts, or (ii) 50 megawatts (for a generating station with a declared net capacity of less than 100 megawatts). In each case, these limits disregard power supplied to a single consumer who occupies premises on the same site as the generating station and consumes all the electricity provided at those premises. As noted below, the definition of premises being on the same site is wide – including adjoining premises, or premises with a road, railway or watercourse in between - so it may be that this exemption is triggered by the fact that SGN Futures receives all electricity on premises on the same site. However, we do not need to look that far in this case. The ORE turbine is noted to be a 7MW turbine, so will be exempt (as below 10MW)</w:t>
            </w:r>
            <w:r>
              <w:rPr>
                <w:rStyle w:val="FootnoteReference"/>
                <w:rFonts w:cs="Arial"/>
                <w:szCs w:val="20"/>
              </w:rPr>
              <w:footnoteReference w:id="11"/>
            </w:r>
            <w:r>
              <w:rPr>
                <w:rFonts w:cs="Arial"/>
                <w:szCs w:val="20"/>
              </w:rPr>
              <w:t>;</w:t>
            </w:r>
          </w:p>
          <w:p w14:paraId="1242F2EF" w14:textId="77777777" w:rsidR="00265510" w:rsidRDefault="00265510" w:rsidP="00C63EC3">
            <w:pPr>
              <w:pStyle w:val="ListParagraph"/>
              <w:ind w:left="0"/>
              <w:jc w:val="both"/>
              <w:rPr>
                <w:rFonts w:cs="Arial"/>
                <w:szCs w:val="20"/>
              </w:rPr>
            </w:pPr>
          </w:p>
          <w:p w14:paraId="2D6E85E7" w14:textId="77777777" w:rsidR="00265510" w:rsidRDefault="00265510" w:rsidP="00C63EC3">
            <w:pPr>
              <w:pStyle w:val="ListParagraph"/>
              <w:ind w:left="0"/>
              <w:jc w:val="both"/>
              <w:rPr>
                <w:rFonts w:cs="Arial"/>
                <w:szCs w:val="20"/>
              </w:rPr>
            </w:pPr>
            <w:r>
              <w:rPr>
                <w:rFonts w:cs="Arial"/>
                <w:szCs w:val="20"/>
              </w:rPr>
              <w:t xml:space="preserve">(b) </w:t>
            </w:r>
            <w:r w:rsidRPr="009F7A60">
              <w:rPr>
                <w:rFonts w:cs="Arial"/>
                <w:szCs w:val="20"/>
              </w:rPr>
              <w:t xml:space="preserve">there will not be any transmission of </w:t>
            </w:r>
            <w:r w:rsidRPr="00090636">
              <w:rPr>
                <w:rFonts w:cs="Arial"/>
                <w:szCs w:val="20"/>
              </w:rPr>
              <w:t>electricity through the national transmission system;</w:t>
            </w:r>
            <w:r>
              <w:rPr>
                <w:rFonts w:cs="Arial"/>
                <w:szCs w:val="20"/>
              </w:rPr>
              <w:t xml:space="preserve"> </w:t>
            </w:r>
          </w:p>
          <w:p w14:paraId="0413C8E9" w14:textId="77777777" w:rsidR="00265510" w:rsidRDefault="00265510" w:rsidP="00C63EC3">
            <w:pPr>
              <w:pStyle w:val="ListParagraph"/>
              <w:ind w:left="0"/>
              <w:jc w:val="both"/>
              <w:rPr>
                <w:rFonts w:cs="Arial"/>
                <w:szCs w:val="20"/>
              </w:rPr>
            </w:pPr>
          </w:p>
          <w:p w14:paraId="060F4BE5" w14:textId="77777777" w:rsidR="00265510" w:rsidRDefault="00265510" w:rsidP="00C63EC3">
            <w:pPr>
              <w:pStyle w:val="ListParagraph"/>
              <w:ind w:left="0"/>
              <w:jc w:val="both"/>
              <w:rPr>
                <w:rFonts w:cs="Arial"/>
                <w:szCs w:val="20"/>
              </w:rPr>
            </w:pPr>
            <w:r w:rsidRPr="00090636">
              <w:rPr>
                <w:rFonts w:cs="Arial"/>
                <w:szCs w:val="20"/>
              </w:rPr>
              <w:t>(c) although the electricity will be 'distributed' by means of a private wire to the electrolyser, it will not be supplied to domestic customers (so benefits from a class exemption)</w:t>
            </w:r>
            <w:r>
              <w:rPr>
                <w:rStyle w:val="FootnoteReference"/>
                <w:rFonts w:cs="Arial"/>
                <w:szCs w:val="20"/>
              </w:rPr>
              <w:footnoteReference w:id="12"/>
            </w:r>
            <w:r w:rsidRPr="00090636">
              <w:rPr>
                <w:rFonts w:cs="Arial"/>
                <w:szCs w:val="20"/>
              </w:rPr>
              <w:t>;</w:t>
            </w:r>
          </w:p>
          <w:p w14:paraId="13DF3AFA" w14:textId="77777777" w:rsidR="00265510" w:rsidRDefault="00265510" w:rsidP="00C63EC3">
            <w:pPr>
              <w:pStyle w:val="ListParagraph"/>
              <w:ind w:left="0"/>
              <w:jc w:val="both"/>
              <w:rPr>
                <w:rFonts w:cs="Arial"/>
                <w:szCs w:val="20"/>
              </w:rPr>
            </w:pPr>
          </w:p>
          <w:p w14:paraId="75E657CB" w14:textId="77777777" w:rsidR="00265510" w:rsidRPr="002C287D" w:rsidRDefault="00265510" w:rsidP="00C63EC3">
            <w:pPr>
              <w:pStyle w:val="ListParagraph"/>
              <w:ind w:left="0"/>
              <w:jc w:val="both"/>
              <w:rPr>
                <w:rFonts w:cs="Arial"/>
                <w:szCs w:val="20"/>
              </w:rPr>
            </w:pPr>
            <w:r>
              <w:rPr>
                <w:rFonts w:cs="Arial"/>
                <w:szCs w:val="20"/>
              </w:rPr>
              <w:lastRenderedPageBreak/>
              <w:t xml:space="preserve">(d) </w:t>
            </w:r>
            <w:r w:rsidRPr="009F7A60">
              <w:rPr>
                <w:rFonts w:cs="Arial"/>
                <w:szCs w:val="20"/>
              </w:rPr>
              <w:t xml:space="preserve">although there will be a supply of electricity, it </w:t>
            </w:r>
            <w:r>
              <w:rPr>
                <w:rFonts w:cs="Arial"/>
                <w:szCs w:val="20"/>
              </w:rPr>
              <w:t>will</w:t>
            </w:r>
            <w:r w:rsidRPr="009F7A60">
              <w:rPr>
                <w:rFonts w:cs="Arial"/>
                <w:szCs w:val="20"/>
              </w:rPr>
              <w:t xml:space="preserve"> be at the same premises</w:t>
            </w:r>
            <w:r>
              <w:rPr>
                <w:rFonts w:cs="Arial"/>
                <w:szCs w:val="20"/>
              </w:rPr>
              <w:t xml:space="preserve"> and/or </w:t>
            </w:r>
            <w:r w:rsidRPr="009F7A60">
              <w:rPr>
                <w:rFonts w:cs="Arial"/>
                <w:szCs w:val="20"/>
              </w:rPr>
              <w:t>over a private wire</w:t>
            </w:r>
            <w:r>
              <w:rPr>
                <w:rFonts w:cs="Arial"/>
                <w:szCs w:val="20"/>
              </w:rPr>
              <w:t xml:space="preserve"> (and will again benefit from a class exemption). To explain further: there is an exemption for a supplier which only supplies electricity: (1) which it generates itself and/or obtains via a licensed supplier; (2) to a consumer who (i) receives at least a third of the output of the generating station, (ii) receives the supply either at premises on the same site </w:t>
            </w:r>
            <w:r w:rsidRPr="00E24019">
              <w:rPr>
                <w:rFonts w:cs="Arial"/>
                <w:b/>
                <w:szCs w:val="20"/>
              </w:rPr>
              <w:t>or</w:t>
            </w:r>
            <w:r>
              <w:rPr>
                <w:rFonts w:cs="Arial"/>
                <w:szCs w:val="20"/>
              </w:rPr>
              <w:t xml:space="preserve"> via private wires, and (iii) consumes all electricity provided by the supplier at the premises in question. We understand that this will apply to SGN's consumption of electricity, which it will receive via private wire from ORE Catapult. It is worth noting that the concept of premises being on the same site is a wide one – the premises can also be immediately adjoining each other, or separated from each other only by a road, railway or watercourse or by other premises occupied by the consumer</w:t>
            </w:r>
            <w:r>
              <w:rPr>
                <w:rStyle w:val="FootnoteReference"/>
                <w:rFonts w:cs="Arial"/>
                <w:szCs w:val="20"/>
              </w:rPr>
              <w:footnoteReference w:id="13"/>
            </w:r>
            <w:r>
              <w:rPr>
                <w:rFonts w:cs="Arial"/>
                <w:szCs w:val="20"/>
              </w:rPr>
              <w:t xml:space="preserve">.  </w:t>
            </w:r>
            <w:r w:rsidRPr="00114374">
              <w:rPr>
                <w:rFonts w:cs="Arial"/>
                <w:b/>
                <w:i/>
                <w:szCs w:val="20"/>
              </w:rPr>
              <w:t xml:space="preserve"> </w:t>
            </w:r>
          </w:p>
          <w:p w14:paraId="20C2F1D2" w14:textId="77777777" w:rsidR="00265510" w:rsidRDefault="00265510" w:rsidP="00C63EC3">
            <w:pPr>
              <w:pStyle w:val="ListParagraph"/>
              <w:ind w:left="0"/>
              <w:jc w:val="both"/>
              <w:rPr>
                <w:rFonts w:cs="Arial"/>
                <w:szCs w:val="20"/>
              </w:rPr>
            </w:pPr>
          </w:p>
          <w:p w14:paraId="71C3CE7E" w14:textId="77777777" w:rsidR="00265510" w:rsidRPr="00C658D9" w:rsidRDefault="00265510" w:rsidP="00C63EC3">
            <w:pPr>
              <w:pStyle w:val="ListParagraph"/>
              <w:ind w:left="0"/>
              <w:jc w:val="both"/>
              <w:rPr>
                <w:rFonts w:cs="Arial"/>
                <w:szCs w:val="20"/>
              </w:rPr>
            </w:pPr>
            <w:r w:rsidRPr="00096A5C">
              <w:rPr>
                <w:rFonts w:cs="Arial"/>
                <w:szCs w:val="20"/>
              </w:rPr>
              <w:t>If the planned execution of the project changes (e.g. the location of the elect</w:t>
            </w:r>
            <w:r>
              <w:rPr>
                <w:rFonts w:cs="Arial"/>
                <w:szCs w:val="20"/>
              </w:rPr>
              <w:t>r</w:t>
            </w:r>
            <w:r w:rsidRPr="00096A5C">
              <w:rPr>
                <w:rFonts w:cs="Arial"/>
                <w:szCs w:val="20"/>
              </w:rPr>
              <w:t>olyser</w:t>
            </w:r>
            <w:r>
              <w:rPr>
                <w:rFonts w:cs="Arial"/>
                <w:szCs w:val="20"/>
              </w:rPr>
              <w:t>, or private wire arrangements</w:t>
            </w:r>
            <w:r w:rsidRPr="00096A5C">
              <w:rPr>
                <w:rFonts w:cs="Arial"/>
                <w:szCs w:val="20"/>
              </w:rPr>
              <w:t>) the</w:t>
            </w:r>
            <w:r>
              <w:rPr>
                <w:rFonts w:cs="Arial"/>
                <w:szCs w:val="20"/>
              </w:rPr>
              <w:t xml:space="preserve"> activities and </w:t>
            </w:r>
            <w:r w:rsidRPr="00096A5C">
              <w:rPr>
                <w:rFonts w:cs="Arial"/>
                <w:szCs w:val="20"/>
              </w:rPr>
              <w:t>exemptions will be reassessed</w:t>
            </w:r>
            <w:r>
              <w:rPr>
                <w:rFonts w:cs="Arial"/>
                <w:szCs w:val="20"/>
              </w:rPr>
              <w:t xml:space="preserve">. </w:t>
            </w:r>
          </w:p>
        </w:tc>
      </w:tr>
      <w:tr w:rsidR="00265510" w:rsidRPr="00C658D9" w14:paraId="3EFFF72B" w14:textId="77777777" w:rsidTr="00C63EC3">
        <w:tc>
          <w:tcPr>
            <w:tcW w:w="426" w:type="dxa"/>
            <w:tcMar>
              <w:top w:w="0" w:type="dxa"/>
              <w:left w:w="108" w:type="dxa"/>
              <w:bottom w:w="0" w:type="dxa"/>
              <w:right w:w="108" w:type="dxa"/>
            </w:tcMar>
          </w:tcPr>
          <w:p w14:paraId="41E9470F" w14:textId="77777777" w:rsidR="00265510" w:rsidRPr="00C658D9" w:rsidRDefault="00265510" w:rsidP="00265510">
            <w:pPr>
              <w:pStyle w:val="ListParagraph"/>
              <w:numPr>
                <w:ilvl w:val="0"/>
                <w:numId w:val="15"/>
              </w:numPr>
              <w:spacing w:line="240" w:lineRule="auto"/>
              <w:contextualSpacing w:val="0"/>
              <w:jc w:val="both"/>
              <w:rPr>
                <w:rFonts w:cs="Arial"/>
                <w:szCs w:val="20"/>
              </w:rPr>
            </w:pPr>
          </w:p>
        </w:tc>
        <w:tc>
          <w:tcPr>
            <w:tcW w:w="3231" w:type="dxa"/>
            <w:tcMar>
              <w:top w:w="0" w:type="dxa"/>
              <w:left w:w="108" w:type="dxa"/>
              <w:bottom w:w="0" w:type="dxa"/>
              <w:right w:w="108" w:type="dxa"/>
            </w:tcMar>
          </w:tcPr>
          <w:p w14:paraId="2D57D24F" w14:textId="77777777" w:rsidR="00265510" w:rsidRDefault="00265510" w:rsidP="00C63EC3">
            <w:pPr>
              <w:pStyle w:val="ListParagraph"/>
              <w:ind w:left="0"/>
              <w:jc w:val="both"/>
              <w:rPr>
                <w:rFonts w:cs="Arial"/>
                <w:b/>
                <w:i/>
                <w:szCs w:val="20"/>
              </w:rPr>
            </w:pPr>
            <w:r w:rsidRPr="003536E5">
              <w:rPr>
                <w:rFonts w:cs="Arial"/>
                <w:b/>
                <w:i/>
                <w:szCs w:val="20"/>
              </w:rPr>
              <w:t xml:space="preserve">Licence requirements </w:t>
            </w:r>
          </w:p>
          <w:p w14:paraId="1D2BDB98" w14:textId="77777777" w:rsidR="00265510" w:rsidRDefault="00265510" w:rsidP="00C63EC3">
            <w:pPr>
              <w:pStyle w:val="ListParagraph"/>
              <w:ind w:left="0"/>
              <w:jc w:val="both"/>
              <w:rPr>
                <w:rFonts w:cs="Arial"/>
                <w:b/>
                <w:i/>
                <w:szCs w:val="20"/>
              </w:rPr>
            </w:pPr>
          </w:p>
          <w:p w14:paraId="36942738" w14:textId="77777777" w:rsidR="00265510" w:rsidRPr="00CF59AB" w:rsidRDefault="00265510" w:rsidP="00C63EC3">
            <w:pPr>
              <w:pStyle w:val="ListParagraph"/>
              <w:ind w:left="0"/>
              <w:jc w:val="both"/>
              <w:rPr>
                <w:rFonts w:cs="Arial"/>
                <w:szCs w:val="20"/>
              </w:rPr>
            </w:pPr>
            <w:r w:rsidRPr="00CF59AB">
              <w:rPr>
                <w:rFonts w:cs="Arial"/>
                <w:szCs w:val="20"/>
              </w:rPr>
              <w:t xml:space="preserve">The restrictions/ requirements placed on ScGN under its licence, in particular in relation to: (a) restrictions on its activities and investment; (b) restrictions on its acquisition of gas or related rights and derivatives; and (c) avoiding providing </w:t>
            </w:r>
            <w:r w:rsidRPr="00CF59AB">
              <w:rPr>
                <w:rFonts w:cs="Arial"/>
                <w:szCs w:val="20"/>
              </w:rPr>
              <w:lastRenderedPageBreak/>
              <w:t>cross-subsidies or an unfair commercial advantage to related entities.</w:t>
            </w:r>
          </w:p>
        </w:tc>
        <w:tc>
          <w:tcPr>
            <w:tcW w:w="11057" w:type="dxa"/>
            <w:tcMar>
              <w:top w:w="0" w:type="dxa"/>
              <w:left w:w="108" w:type="dxa"/>
              <w:bottom w:w="0" w:type="dxa"/>
              <w:right w:w="108" w:type="dxa"/>
            </w:tcMar>
          </w:tcPr>
          <w:p w14:paraId="6CB15061" w14:textId="77777777" w:rsidR="00265510" w:rsidRDefault="00265510" w:rsidP="00C63EC3">
            <w:pPr>
              <w:pStyle w:val="ListParagraph"/>
              <w:ind w:left="0"/>
              <w:jc w:val="both"/>
              <w:rPr>
                <w:rFonts w:cs="Arial"/>
                <w:szCs w:val="20"/>
              </w:rPr>
            </w:pPr>
            <w:r w:rsidRPr="00096A5C">
              <w:rPr>
                <w:rFonts w:cs="Arial"/>
                <w:szCs w:val="20"/>
              </w:rPr>
              <w:lastRenderedPageBreak/>
              <w:t>SGN</w:t>
            </w:r>
            <w:r>
              <w:rPr>
                <w:rFonts w:cs="Arial"/>
                <w:szCs w:val="20"/>
              </w:rPr>
              <w:t xml:space="preserve"> is satisfied that it would be able to comply with its licence conditions under Option 1.</w:t>
            </w:r>
          </w:p>
          <w:p w14:paraId="69658C8D" w14:textId="77777777" w:rsidR="00265510" w:rsidRDefault="00265510" w:rsidP="00C63EC3">
            <w:pPr>
              <w:pStyle w:val="ListParagraph"/>
              <w:ind w:left="0"/>
              <w:jc w:val="both"/>
              <w:rPr>
                <w:rFonts w:cs="Arial"/>
                <w:szCs w:val="20"/>
              </w:rPr>
            </w:pPr>
          </w:p>
          <w:p w14:paraId="77CDEC0A" w14:textId="77777777" w:rsidR="00265510" w:rsidRDefault="00265510" w:rsidP="00C63EC3">
            <w:pPr>
              <w:pStyle w:val="ListParagraph"/>
              <w:ind w:left="0"/>
              <w:jc w:val="both"/>
              <w:rPr>
                <w:rFonts w:cs="Arial"/>
                <w:szCs w:val="20"/>
              </w:rPr>
            </w:pPr>
            <w:r>
              <w:rPr>
                <w:rFonts w:cs="Arial"/>
                <w:szCs w:val="20"/>
              </w:rPr>
              <w:t>The proposed structure under Option 1 has been designed to support this.  Pursuant to this SGN Futures will be an affiliate company to</w:t>
            </w:r>
            <w:r w:rsidRPr="00096A5C">
              <w:rPr>
                <w:rFonts w:cs="Arial"/>
                <w:szCs w:val="20"/>
              </w:rPr>
              <w:t xml:space="preserve"> ScGN</w:t>
            </w:r>
            <w:r>
              <w:rPr>
                <w:rFonts w:cs="Arial"/>
                <w:szCs w:val="20"/>
              </w:rPr>
              <w:t xml:space="preserve"> (and thereby not directly owned by ScGN). Further, as with all intra group agreements, an arm's length contract will be in place between ScGN and SGN Futures for the services procured by ScGN of SGN Futures and to govern the funding between the two entities. </w:t>
            </w:r>
          </w:p>
          <w:p w14:paraId="31E52E46" w14:textId="77777777" w:rsidR="00265510" w:rsidRDefault="00265510" w:rsidP="00C63EC3">
            <w:pPr>
              <w:pStyle w:val="ListParagraph"/>
              <w:ind w:left="0"/>
              <w:jc w:val="both"/>
              <w:rPr>
                <w:rFonts w:cs="Arial"/>
                <w:szCs w:val="20"/>
              </w:rPr>
            </w:pPr>
          </w:p>
          <w:p w14:paraId="402D09F9" w14:textId="77777777" w:rsidR="00265510" w:rsidRDefault="00265510" w:rsidP="00C63EC3">
            <w:pPr>
              <w:pStyle w:val="ListParagraph"/>
              <w:ind w:left="0"/>
              <w:jc w:val="both"/>
              <w:rPr>
                <w:rFonts w:cs="Arial"/>
                <w:szCs w:val="20"/>
              </w:rPr>
            </w:pPr>
            <w:r>
              <w:rPr>
                <w:rFonts w:cs="Arial"/>
                <w:szCs w:val="20"/>
              </w:rPr>
              <w:t xml:space="preserve">Given the innovative nature of hydrogen supply, SGN will work with Ofgem if any licence amendments become necessary as the project develops. </w:t>
            </w:r>
          </w:p>
          <w:p w14:paraId="1AE4676E" w14:textId="77777777" w:rsidR="00265510" w:rsidRDefault="00265510" w:rsidP="00C63EC3">
            <w:pPr>
              <w:pStyle w:val="ListParagraph"/>
              <w:ind w:left="0"/>
              <w:jc w:val="both"/>
              <w:rPr>
                <w:rFonts w:cs="Arial"/>
                <w:szCs w:val="20"/>
              </w:rPr>
            </w:pPr>
          </w:p>
          <w:p w14:paraId="4760B5DC" w14:textId="77777777" w:rsidR="00265510" w:rsidRPr="00B05346" w:rsidRDefault="00265510" w:rsidP="00C63EC3">
            <w:pPr>
              <w:pStyle w:val="ListParagraph"/>
              <w:ind w:left="0"/>
              <w:jc w:val="both"/>
              <w:rPr>
                <w:rFonts w:cs="Arial"/>
                <w:b/>
                <w:i/>
                <w:szCs w:val="20"/>
              </w:rPr>
            </w:pPr>
            <w:r w:rsidRPr="00B05346">
              <w:rPr>
                <w:rFonts w:cs="Arial"/>
                <w:b/>
                <w:i/>
                <w:szCs w:val="20"/>
              </w:rPr>
              <w:t xml:space="preserve">Detail: </w:t>
            </w:r>
          </w:p>
          <w:p w14:paraId="642D9D06" w14:textId="77777777" w:rsidR="00265510" w:rsidRDefault="00265510" w:rsidP="00C63EC3">
            <w:pPr>
              <w:pStyle w:val="ListParagraph"/>
              <w:ind w:left="0"/>
              <w:jc w:val="both"/>
              <w:rPr>
                <w:rFonts w:cs="Arial"/>
                <w:szCs w:val="20"/>
              </w:rPr>
            </w:pPr>
          </w:p>
          <w:p w14:paraId="44EDE2CB" w14:textId="77777777" w:rsidR="00265510" w:rsidRDefault="00265510" w:rsidP="00C63EC3">
            <w:pPr>
              <w:pStyle w:val="ListParagraph"/>
              <w:ind w:left="0"/>
              <w:jc w:val="both"/>
              <w:rPr>
                <w:rFonts w:cs="Arial"/>
                <w:szCs w:val="20"/>
              </w:rPr>
            </w:pPr>
            <w:r>
              <w:rPr>
                <w:rFonts w:cs="Arial"/>
                <w:szCs w:val="20"/>
              </w:rPr>
              <w:t>Looking at each licence restriction in turn:</w:t>
            </w:r>
          </w:p>
          <w:p w14:paraId="752269FF" w14:textId="77777777" w:rsidR="00265510" w:rsidRPr="00C658D9" w:rsidRDefault="00265510" w:rsidP="00C63EC3">
            <w:pPr>
              <w:pStyle w:val="ListParagraph"/>
              <w:ind w:left="0"/>
              <w:jc w:val="both"/>
              <w:rPr>
                <w:rFonts w:cs="Arial"/>
                <w:szCs w:val="20"/>
              </w:rPr>
            </w:pPr>
          </w:p>
          <w:p w14:paraId="44495D30" w14:textId="77777777" w:rsidR="00265510" w:rsidRDefault="00265510" w:rsidP="00C63EC3">
            <w:pPr>
              <w:pStyle w:val="ListParagraph"/>
              <w:ind w:left="0"/>
              <w:jc w:val="both"/>
              <w:rPr>
                <w:rFonts w:cs="Arial"/>
                <w:szCs w:val="20"/>
              </w:rPr>
            </w:pPr>
            <w:r w:rsidRPr="00C658D9">
              <w:rPr>
                <w:rFonts w:cs="Arial"/>
                <w:szCs w:val="20"/>
              </w:rPr>
              <w:t>(a)</w:t>
            </w:r>
            <w:r>
              <w:rPr>
                <w:rFonts w:cs="Arial"/>
                <w:szCs w:val="20"/>
              </w:rPr>
              <w:t xml:space="preserve"> ScGN can only carry out the activities of a gas transporter and may only directly hold shares in a body corporate if that body only carries out </w:t>
            </w:r>
            <w:r w:rsidRPr="00096A5C">
              <w:rPr>
                <w:rFonts w:cs="Arial"/>
                <w:szCs w:val="20"/>
              </w:rPr>
              <w:t>business for a 'permitted purpose'</w:t>
            </w:r>
            <w:r>
              <w:rPr>
                <w:rStyle w:val="FootnoteReference"/>
                <w:rFonts w:cs="Arial"/>
                <w:szCs w:val="20"/>
              </w:rPr>
              <w:footnoteReference w:id="14"/>
            </w:r>
            <w:r w:rsidRPr="00096A5C">
              <w:rPr>
                <w:rFonts w:cs="Arial"/>
                <w:szCs w:val="20"/>
              </w:rPr>
              <w:t xml:space="preserve"> </w:t>
            </w:r>
            <w:r>
              <w:rPr>
                <w:rFonts w:cs="Arial"/>
                <w:szCs w:val="20"/>
              </w:rPr>
              <w:t>.</w:t>
            </w:r>
          </w:p>
          <w:p w14:paraId="4D88D686" w14:textId="77777777" w:rsidR="00265510" w:rsidRDefault="00265510" w:rsidP="00C63EC3">
            <w:pPr>
              <w:pStyle w:val="ListParagraph"/>
              <w:ind w:left="0"/>
              <w:jc w:val="both"/>
              <w:rPr>
                <w:rFonts w:cs="Arial"/>
                <w:szCs w:val="20"/>
              </w:rPr>
            </w:pPr>
          </w:p>
          <w:p w14:paraId="159AB597" w14:textId="77777777" w:rsidR="00265510" w:rsidRDefault="00265510" w:rsidP="00C63EC3">
            <w:pPr>
              <w:pStyle w:val="ListParagraph"/>
              <w:ind w:left="0"/>
              <w:jc w:val="both"/>
              <w:rPr>
                <w:rFonts w:cs="Arial"/>
                <w:szCs w:val="20"/>
              </w:rPr>
            </w:pPr>
            <w:r w:rsidRPr="00B05346">
              <w:rPr>
                <w:rFonts w:cs="Arial"/>
                <w:i/>
                <w:szCs w:val="20"/>
              </w:rPr>
              <w:t>Application</w:t>
            </w:r>
            <w:r>
              <w:rPr>
                <w:rFonts w:cs="Arial"/>
                <w:szCs w:val="20"/>
              </w:rPr>
              <w:t xml:space="preserve">: </w:t>
            </w:r>
            <w:r w:rsidRPr="00B05346">
              <w:rPr>
                <w:rFonts w:cs="Arial"/>
                <w:szCs w:val="20"/>
              </w:rPr>
              <w:t xml:space="preserve">under Option 1, ScGN would only be acting as transporter, so would be </w:t>
            </w:r>
            <w:r>
              <w:rPr>
                <w:rFonts w:cs="Arial"/>
                <w:szCs w:val="20"/>
              </w:rPr>
              <w:t xml:space="preserve">compliant with </w:t>
            </w:r>
            <w:r w:rsidRPr="009C6299">
              <w:rPr>
                <w:rFonts w:cs="Arial"/>
                <w:szCs w:val="20"/>
              </w:rPr>
              <w:t>standard special condition</w:t>
            </w:r>
            <w:r w:rsidRPr="00E62BF7">
              <w:rPr>
                <w:rFonts w:cs="Arial"/>
                <w:i/>
                <w:szCs w:val="20"/>
              </w:rPr>
              <w:t xml:space="preserve"> </w:t>
            </w:r>
            <w:r>
              <w:rPr>
                <w:rFonts w:cs="Arial"/>
                <w:szCs w:val="20"/>
              </w:rPr>
              <w:t>A32</w:t>
            </w:r>
            <w:r w:rsidRPr="00B05346">
              <w:rPr>
                <w:rFonts w:cs="Arial"/>
                <w:szCs w:val="20"/>
              </w:rPr>
              <w:t>. If a form of Option 2 was ultimately adopted which required ScGN to act as shipper, SGN is aware that it would need to consider a derogation for this</w:t>
            </w:r>
            <w:r>
              <w:rPr>
                <w:rFonts w:cs="Arial"/>
                <w:szCs w:val="20"/>
              </w:rPr>
              <w:t xml:space="preserve"> [pursuant to the definition of “permitted purpose” </w:t>
            </w:r>
            <w:r w:rsidRPr="0033005F">
              <w:rPr>
                <w:rFonts w:cs="Arial"/>
                <w:szCs w:val="20"/>
              </w:rPr>
              <w:t>standard special condition</w:t>
            </w:r>
            <w:r w:rsidRPr="00E62BF7">
              <w:rPr>
                <w:rFonts w:cs="Arial"/>
                <w:i/>
                <w:szCs w:val="20"/>
              </w:rPr>
              <w:t xml:space="preserve"> </w:t>
            </w:r>
            <w:r>
              <w:rPr>
                <w:rFonts w:cs="Arial"/>
                <w:szCs w:val="20"/>
              </w:rPr>
              <w:t xml:space="preserve">A32 and the definition of Licensed Activities under the Gas Act] </w:t>
            </w:r>
            <w:r w:rsidRPr="00B05346">
              <w:rPr>
                <w:rFonts w:cs="Arial"/>
                <w:szCs w:val="20"/>
              </w:rPr>
              <w:t xml:space="preserve">. </w:t>
            </w:r>
            <w:r>
              <w:rPr>
                <w:rFonts w:cs="Arial"/>
                <w:szCs w:val="20"/>
              </w:rPr>
              <w:t xml:space="preserve">It is not proposed that </w:t>
            </w:r>
            <w:r w:rsidRPr="00B05346">
              <w:rPr>
                <w:rFonts w:cs="Arial"/>
                <w:szCs w:val="20"/>
              </w:rPr>
              <w:t xml:space="preserve">ScGN </w:t>
            </w:r>
            <w:r>
              <w:rPr>
                <w:rFonts w:cs="Arial"/>
                <w:szCs w:val="20"/>
              </w:rPr>
              <w:t>will</w:t>
            </w:r>
            <w:r w:rsidRPr="00B05346">
              <w:rPr>
                <w:rFonts w:cs="Arial"/>
                <w:szCs w:val="20"/>
              </w:rPr>
              <w:t xml:space="preserve"> hold shares in SGN Futures, to avoid directly holding shares in a company which will be, among other things, producing gas</w:t>
            </w:r>
            <w:r>
              <w:rPr>
                <w:rStyle w:val="FootnoteReference"/>
                <w:rFonts w:cs="Arial"/>
                <w:szCs w:val="20"/>
              </w:rPr>
              <w:footnoteReference w:id="15"/>
            </w:r>
            <w:r w:rsidRPr="00B05346">
              <w:rPr>
                <w:rFonts w:cs="Arial"/>
                <w:szCs w:val="20"/>
              </w:rPr>
              <w:t>;</w:t>
            </w:r>
            <w:r>
              <w:rPr>
                <w:rFonts w:cs="Arial"/>
                <w:szCs w:val="20"/>
              </w:rPr>
              <w:t xml:space="preserve"> </w:t>
            </w:r>
          </w:p>
          <w:p w14:paraId="6B350C56" w14:textId="77777777" w:rsidR="00265510" w:rsidRDefault="00265510" w:rsidP="00C63EC3">
            <w:pPr>
              <w:pStyle w:val="ListParagraph"/>
              <w:ind w:left="0"/>
              <w:jc w:val="both"/>
              <w:rPr>
                <w:rFonts w:cs="Arial"/>
                <w:szCs w:val="20"/>
              </w:rPr>
            </w:pPr>
          </w:p>
          <w:p w14:paraId="6D273F11" w14:textId="77777777" w:rsidR="00265510" w:rsidRPr="009C6299" w:rsidRDefault="00265510" w:rsidP="00C63EC3">
            <w:pPr>
              <w:pStyle w:val="ListParagraph"/>
              <w:ind w:left="0"/>
              <w:jc w:val="both"/>
              <w:rPr>
                <w:rFonts w:cs="Arial"/>
                <w:szCs w:val="20"/>
              </w:rPr>
            </w:pPr>
            <w:r>
              <w:rPr>
                <w:rFonts w:cs="Arial"/>
                <w:szCs w:val="20"/>
              </w:rPr>
              <w:t xml:space="preserve">(b) ScGN and its affiliates cannot </w:t>
            </w:r>
            <w:r w:rsidRPr="009C6299">
              <w:rPr>
                <w:rFonts w:cs="Arial"/>
                <w:szCs w:val="20"/>
              </w:rPr>
              <w:t>purchase or acquire capacity rights, gas or gas derivatives with the intention of disposing of these to a third party</w:t>
            </w:r>
            <w:r>
              <w:rPr>
                <w:rStyle w:val="FootnoteReference"/>
                <w:rFonts w:cs="Arial"/>
                <w:szCs w:val="20"/>
              </w:rPr>
              <w:footnoteReference w:id="16"/>
            </w:r>
            <w:r w:rsidRPr="009C6299">
              <w:rPr>
                <w:rFonts w:cs="Arial"/>
                <w:szCs w:val="20"/>
              </w:rPr>
              <w:t>.</w:t>
            </w:r>
          </w:p>
          <w:p w14:paraId="15AB6AE3" w14:textId="77777777" w:rsidR="00265510" w:rsidRPr="009C6299" w:rsidRDefault="00265510" w:rsidP="00C63EC3">
            <w:pPr>
              <w:pStyle w:val="ListParagraph"/>
              <w:ind w:left="0"/>
              <w:jc w:val="both"/>
              <w:rPr>
                <w:rFonts w:cs="Arial"/>
                <w:szCs w:val="20"/>
              </w:rPr>
            </w:pPr>
          </w:p>
          <w:p w14:paraId="6C3035BE" w14:textId="77777777" w:rsidR="00265510" w:rsidRDefault="00265510" w:rsidP="00C63EC3">
            <w:pPr>
              <w:pStyle w:val="ListParagraph"/>
              <w:ind w:left="0"/>
              <w:jc w:val="both"/>
              <w:rPr>
                <w:rFonts w:cs="Arial"/>
                <w:szCs w:val="20"/>
              </w:rPr>
            </w:pPr>
            <w:r w:rsidRPr="00822FEB">
              <w:rPr>
                <w:rFonts w:cs="Arial"/>
                <w:i/>
                <w:szCs w:val="20"/>
              </w:rPr>
              <w:t>Application</w:t>
            </w:r>
            <w:r w:rsidRPr="00822FEB">
              <w:rPr>
                <w:rFonts w:cs="Arial"/>
                <w:szCs w:val="20"/>
              </w:rPr>
              <w:t xml:space="preserve">: under Option 1, SGN Futures (which we are assuming for these purposes </w:t>
            </w:r>
            <w:r w:rsidRPr="009C6299">
              <w:rPr>
                <w:rFonts w:cs="Arial"/>
                <w:szCs w:val="20"/>
              </w:rPr>
              <w:t xml:space="preserve">would be an 'affiliate' of ScGN, as </w:t>
            </w:r>
            <w:r>
              <w:rPr>
                <w:rFonts w:cs="Arial"/>
                <w:szCs w:val="20"/>
              </w:rPr>
              <w:t>they would share an ultimate parent</w:t>
            </w:r>
            <w:r w:rsidRPr="009C6299">
              <w:rPr>
                <w:rFonts w:cs="Arial"/>
                <w:szCs w:val="20"/>
              </w:rPr>
              <w:t>) would not be purchasing or acquiring gas, but producing it. ScGN</w:t>
            </w:r>
            <w:r w:rsidRPr="00B05346">
              <w:rPr>
                <w:rFonts w:cs="Arial"/>
                <w:szCs w:val="20"/>
              </w:rPr>
              <w:t xml:space="preserve"> would not be carrying out any of these activities. This restriction would only require further consideration if a version of 'Option 2' </w:t>
            </w:r>
            <w:r>
              <w:rPr>
                <w:rFonts w:cs="Arial"/>
                <w:szCs w:val="20"/>
              </w:rPr>
              <w:t xml:space="preserve">were adopted where either </w:t>
            </w:r>
            <w:r w:rsidRPr="009C6299">
              <w:rPr>
                <w:rFonts w:cs="Arial"/>
                <w:szCs w:val="20"/>
              </w:rPr>
              <w:t>ScGN or SGN Futures was acting as shipper</w:t>
            </w:r>
            <w:r>
              <w:rPr>
                <w:rFonts w:cs="Arial"/>
                <w:szCs w:val="20"/>
              </w:rPr>
              <w:t>, where they would be purchasing gas/ acquiring capacity rights</w:t>
            </w:r>
            <w:r w:rsidRPr="009C6299">
              <w:rPr>
                <w:rFonts w:cs="Arial"/>
                <w:szCs w:val="20"/>
              </w:rPr>
              <w:t>.</w:t>
            </w:r>
          </w:p>
          <w:p w14:paraId="108AAB78" w14:textId="77777777" w:rsidR="00265510" w:rsidRDefault="00265510" w:rsidP="00C63EC3">
            <w:pPr>
              <w:pStyle w:val="ListParagraph"/>
              <w:ind w:left="0"/>
              <w:jc w:val="both"/>
              <w:rPr>
                <w:rFonts w:cs="Arial"/>
                <w:szCs w:val="20"/>
              </w:rPr>
            </w:pPr>
          </w:p>
          <w:p w14:paraId="32E0CE5F" w14:textId="77777777" w:rsidR="00265510" w:rsidRDefault="00265510" w:rsidP="00C63EC3">
            <w:pPr>
              <w:pStyle w:val="ListParagraph"/>
              <w:ind w:left="0"/>
              <w:jc w:val="both"/>
              <w:rPr>
                <w:rFonts w:cs="Arial"/>
                <w:szCs w:val="20"/>
              </w:rPr>
            </w:pPr>
            <w:r>
              <w:rPr>
                <w:rFonts w:cs="Arial"/>
                <w:szCs w:val="20"/>
              </w:rPr>
              <w:t xml:space="preserve">(c) </w:t>
            </w:r>
            <w:r w:rsidRPr="00FC504E">
              <w:rPr>
                <w:rFonts w:cs="Arial"/>
                <w:szCs w:val="20"/>
              </w:rPr>
              <w:t>ScGN is prohibited from providing cros</w:t>
            </w:r>
            <w:r>
              <w:rPr>
                <w:rFonts w:cs="Arial"/>
                <w:szCs w:val="20"/>
              </w:rPr>
              <w:t>s-subsidies to, or receiving</w:t>
            </w:r>
            <w:r w:rsidRPr="00FC504E">
              <w:rPr>
                <w:rFonts w:cs="Arial"/>
                <w:szCs w:val="20"/>
              </w:rPr>
              <w:t xml:space="preserve"> any cross-subsidy from, an 'af</w:t>
            </w:r>
            <w:r>
              <w:rPr>
                <w:rFonts w:cs="Arial"/>
                <w:szCs w:val="20"/>
              </w:rPr>
              <w:t>filiate or related undertaking'</w:t>
            </w:r>
            <w:r>
              <w:rPr>
                <w:rStyle w:val="FootnoteReference"/>
                <w:rFonts w:cs="Arial"/>
                <w:szCs w:val="20"/>
              </w:rPr>
              <w:footnoteReference w:id="17"/>
            </w:r>
            <w:r>
              <w:rPr>
                <w:rFonts w:cs="Arial"/>
                <w:szCs w:val="20"/>
              </w:rPr>
              <w:t xml:space="preserve"> </w:t>
            </w:r>
            <w:r w:rsidRPr="00822FEB">
              <w:rPr>
                <w:rFonts w:cs="Arial"/>
                <w:szCs w:val="20"/>
              </w:rPr>
              <w:t>.</w:t>
            </w:r>
          </w:p>
          <w:p w14:paraId="7559D9B1" w14:textId="77777777" w:rsidR="00265510" w:rsidRDefault="00265510" w:rsidP="00C63EC3">
            <w:pPr>
              <w:pStyle w:val="ListParagraph"/>
              <w:ind w:left="0"/>
              <w:jc w:val="both"/>
              <w:rPr>
                <w:rFonts w:cs="Arial"/>
                <w:szCs w:val="20"/>
              </w:rPr>
            </w:pPr>
          </w:p>
          <w:p w14:paraId="13014A93" w14:textId="77777777" w:rsidR="00265510" w:rsidRDefault="00265510" w:rsidP="00C63EC3">
            <w:pPr>
              <w:pStyle w:val="ListParagraph"/>
              <w:ind w:left="0"/>
              <w:jc w:val="both"/>
              <w:rPr>
                <w:rFonts w:cs="Arial"/>
                <w:szCs w:val="20"/>
              </w:rPr>
            </w:pPr>
            <w:r w:rsidRPr="00EA4DE4">
              <w:rPr>
                <w:rFonts w:cs="Arial"/>
                <w:i/>
                <w:szCs w:val="20"/>
              </w:rPr>
              <w:t>Application</w:t>
            </w:r>
            <w:r w:rsidRPr="00EA4DE4">
              <w:rPr>
                <w:rFonts w:cs="Arial"/>
                <w:szCs w:val="20"/>
              </w:rPr>
              <w:t>: since the NIC funding would be payable to ScGN, but an element of will be paid to SGN Futures for services provided to ScGN under the NIC project, a contract will  be put in place between the two to facilitate this. This contract will be on arm's length terms; will protect against  any cross-subsidy and to reflect the requirements of the NIC;</w:t>
            </w:r>
          </w:p>
          <w:p w14:paraId="339692D7" w14:textId="77777777" w:rsidR="00265510" w:rsidRDefault="00265510" w:rsidP="00C63EC3">
            <w:pPr>
              <w:pStyle w:val="ListParagraph"/>
              <w:ind w:left="0"/>
              <w:jc w:val="both"/>
              <w:rPr>
                <w:rFonts w:cs="Arial"/>
                <w:szCs w:val="20"/>
              </w:rPr>
            </w:pPr>
          </w:p>
          <w:p w14:paraId="328C06BE" w14:textId="77777777" w:rsidR="00265510" w:rsidRDefault="00265510" w:rsidP="00C63EC3">
            <w:pPr>
              <w:pStyle w:val="ListParagraph"/>
              <w:ind w:left="0"/>
              <w:jc w:val="both"/>
              <w:rPr>
                <w:rFonts w:cs="Arial"/>
                <w:szCs w:val="20"/>
              </w:rPr>
            </w:pPr>
            <w:r>
              <w:rPr>
                <w:rFonts w:cs="Arial"/>
                <w:szCs w:val="20"/>
              </w:rPr>
              <w:t>(d) ScGN is required to conduct its business so that neither it nor any affiliate/ related undertaking (among others) obtains an unfair commercial advantage</w:t>
            </w:r>
            <w:r>
              <w:rPr>
                <w:rStyle w:val="FootnoteReference"/>
                <w:rFonts w:cs="Arial"/>
                <w:szCs w:val="20"/>
              </w:rPr>
              <w:footnoteReference w:id="18"/>
            </w:r>
            <w:r>
              <w:rPr>
                <w:rFonts w:cs="Arial"/>
                <w:szCs w:val="20"/>
              </w:rPr>
              <w:t xml:space="preserve"> .</w:t>
            </w:r>
          </w:p>
          <w:p w14:paraId="40EB692F" w14:textId="77777777" w:rsidR="00265510" w:rsidRDefault="00265510" w:rsidP="00C63EC3">
            <w:pPr>
              <w:pStyle w:val="ListParagraph"/>
              <w:ind w:left="0"/>
              <w:jc w:val="both"/>
              <w:rPr>
                <w:rFonts w:cs="Arial"/>
                <w:szCs w:val="20"/>
              </w:rPr>
            </w:pPr>
          </w:p>
          <w:p w14:paraId="222F18D3" w14:textId="77777777" w:rsidR="00265510" w:rsidRDefault="00265510" w:rsidP="00C63EC3">
            <w:pPr>
              <w:pStyle w:val="ListParagraph"/>
              <w:ind w:left="0"/>
              <w:jc w:val="both"/>
              <w:rPr>
                <w:rFonts w:cs="Arial"/>
                <w:szCs w:val="20"/>
              </w:rPr>
            </w:pPr>
            <w:r w:rsidRPr="00B05346">
              <w:rPr>
                <w:rFonts w:cs="Arial"/>
                <w:i/>
                <w:szCs w:val="20"/>
              </w:rPr>
              <w:t>Application</w:t>
            </w:r>
            <w:r>
              <w:rPr>
                <w:rFonts w:cs="Arial"/>
                <w:szCs w:val="20"/>
              </w:rPr>
              <w:t xml:space="preserve">: as noted above, the agreement between SGN Futures and ScGN will be on arm's length terms. Contracts with other parties, in particular the third party shipper, will be on industry standard/ market terms. </w:t>
            </w:r>
          </w:p>
          <w:p w14:paraId="03D82DF3" w14:textId="77777777" w:rsidR="00265510" w:rsidRDefault="00265510" w:rsidP="00C63EC3">
            <w:pPr>
              <w:pStyle w:val="ListParagraph"/>
              <w:ind w:left="0"/>
              <w:jc w:val="both"/>
              <w:rPr>
                <w:rFonts w:cs="Arial"/>
                <w:szCs w:val="20"/>
              </w:rPr>
            </w:pPr>
          </w:p>
          <w:p w14:paraId="176767D8" w14:textId="77777777" w:rsidR="00265510" w:rsidRDefault="00265510" w:rsidP="00C63EC3">
            <w:pPr>
              <w:pStyle w:val="ListParagraph"/>
              <w:ind w:left="0"/>
              <w:jc w:val="both"/>
              <w:rPr>
                <w:rFonts w:cs="Arial"/>
                <w:szCs w:val="20"/>
              </w:rPr>
            </w:pPr>
            <w:r>
              <w:rPr>
                <w:rFonts w:cs="Arial"/>
                <w:szCs w:val="20"/>
              </w:rPr>
              <w:t xml:space="preserve">As is clear from the above, Option 1 (which is SGN's favoured approach) would be simper to carry out in light of the licence requirements than Option 2. </w:t>
            </w:r>
          </w:p>
          <w:p w14:paraId="75079585" w14:textId="77777777" w:rsidR="00265510" w:rsidRPr="00C658D9" w:rsidRDefault="00265510" w:rsidP="00C63EC3">
            <w:pPr>
              <w:pStyle w:val="ListParagraph"/>
              <w:ind w:left="0"/>
              <w:jc w:val="both"/>
              <w:rPr>
                <w:rFonts w:cs="Arial"/>
                <w:szCs w:val="20"/>
              </w:rPr>
            </w:pPr>
          </w:p>
        </w:tc>
      </w:tr>
      <w:tr w:rsidR="00265510" w:rsidRPr="00C658D9" w14:paraId="55536207" w14:textId="77777777" w:rsidTr="00C63EC3">
        <w:tc>
          <w:tcPr>
            <w:tcW w:w="426" w:type="dxa"/>
            <w:tcMar>
              <w:top w:w="0" w:type="dxa"/>
              <w:left w:w="108" w:type="dxa"/>
              <w:bottom w:w="0" w:type="dxa"/>
              <w:right w:w="108" w:type="dxa"/>
            </w:tcMar>
          </w:tcPr>
          <w:p w14:paraId="7CB9FD2A" w14:textId="77777777" w:rsidR="00265510" w:rsidRPr="00C658D9" w:rsidRDefault="00265510" w:rsidP="00265510">
            <w:pPr>
              <w:pStyle w:val="ListParagraph"/>
              <w:numPr>
                <w:ilvl w:val="0"/>
                <w:numId w:val="15"/>
              </w:numPr>
              <w:spacing w:line="240" w:lineRule="auto"/>
              <w:contextualSpacing w:val="0"/>
              <w:jc w:val="both"/>
              <w:rPr>
                <w:rFonts w:cs="Arial"/>
                <w:szCs w:val="20"/>
              </w:rPr>
            </w:pPr>
          </w:p>
        </w:tc>
        <w:tc>
          <w:tcPr>
            <w:tcW w:w="3231" w:type="dxa"/>
            <w:tcMar>
              <w:top w:w="0" w:type="dxa"/>
              <w:left w:w="108" w:type="dxa"/>
              <w:bottom w:w="0" w:type="dxa"/>
              <w:right w:w="108" w:type="dxa"/>
            </w:tcMar>
          </w:tcPr>
          <w:p w14:paraId="06323E94" w14:textId="77777777" w:rsidR="00265510" w:rsidRDefault="00265510" w:rsidP="00C63EC3">
            <w:pPr>
              <w:pStyle w:val="ListParagraph"/>
              <w:ind w:left="0"/>
              <w:jc w:val="both"/>
              <w:rPr>
                <w:rFonts w:cs="Arial"/>
                <w:szCs w:val="20"/>
              </w:rPr>
            </w:pPr>
            <w:r w:rsidRPr="003536E5">
              <w:rPr>
                <w:rFonts w:cs="Arial"/>
                <w:b/>
                <w:i/>
                <w:szCs w:val="20"/>
              </w:rPr>
              <w:t>Gas Safety (Management) Regulations 1996</w:t>
            </w:r>
            <w:r w:rsidRPr="00BF4320">
              <w:rPr>
                <w:rFonts w:cs="Arial"/>
                <w:szCs w:val="20"/>
              </w:rPr>
              <w:t xml:space="preserve"> </w:t>
            </w:r>
            <w:r>
              <w:rPr>
                <w:rFonts w:cs="Arial"/>
                <w:szCs w:val="20"/>
              </w:rPr>
              <w:t>(</w:t>
            </w:r>
            <w:r w:rsidRPr="00BF4320">
              <w:rPr>
                <w:rFonts w:cs="Arial"/>
                <w:b/>
                <w:szCs w:val="20"/>
              </w:rPr>
              <w:t>GS(M) R</w:t>
            </w:r>
            <w:r>
              <w:rPr>
                <w:rFonts w:cs="Arial"/>
                <w:szCs w:val="20"/>
              </w:rPr>
              <w:t>)</w:t>
            </w:r>
          </w:p>
          <w:p w14:paraId="5097733B" w14:textId="77777777" w:rsidR="00265510" w:rsidRDefault="00265510" w:rsidP="00C63EC3">
            <w:pPr>
              <w:pStyle w:val="ListParagraph"/>
              <w:ind w:left="0"/>
              <w:jc w:val="both"/>
              <w:rPr>
                <w:rFonts w:cs="Arial"/>
                <w:szCs w:val="20"/>
              </w:rPr>
            </w:pPr>
          </w:p>
          <w:p w14:paraId="5D2C7280" w14:textId="77777777" w:rsidR="00265510" w:rsidRPr="00C658D9" w:rsidRDefault="00265510" w:rsidP="00C63EC3">
            <w:pPr>
              <w:pStyle w:val="ListParagraph"/>
              <w:ind w:left="0"/>
              <w:jc w:val="both"/>
              <w:rPr>
                <w:rFonts w:cs="Arial"/>
                <w:szCs w:val="20"/>
              </w:rPr>
            </w:pPr>
            <w:r w:rsidRPr="00CF59AB">
              <w:rPr>
                <w:rFonts w:cs="Arial"/>
                <w:szCs w:val="20"/>
              </w:rPr>
              <w:lastRenderedPageBreak/>
              <w:t>The application of the GS(M)R to both the new hydrogen and existing (natural gas) networks.</w:t>
            </w:r>
          </w:p>
        </w:tc>
        <w:tc>
          <w:tcPr>
            <w:tcW w:w="11057" w:type="dxa"/>
            <w:tcMar>
              <w:top w:w="0" w:type="dxa"/>
              <w:left w:w="108" w:type="dxa"/>
              <w:bottom w:w="0" w:type="dxa"/>
              <w:right w:w="108" w:type="dxa"/>
            </w:tcMar>
          </w:tcPr>
          <w:p w14:paraId="0D319110" w14:textId="77777777" w:rsidR="00265510" w:rsidRDefault="00265510" w:rsidP="00C63EC3">
            <w:pPr>
              <w:pStyle w:val="ListParagraph"/>
              <w:ind w:left="0"/>
              <w:jc w:val="both"/>
              <w:rPr>
                <w:rFonts w:cs="Arial"/>
                <w:szCs w:val="20"/>
              </w:rPr>
            </w:pPr>
            <w:r>
              <w:rPr>
                <w:rFonts w:cs="Arial"/>
                <w:szCs w:val="20"/>
              </w:rPr>
              <w:lastRenderedPageBreak/>
              <w:t xml:space="preserve">SGN's intention is that the existing gas network will remain in place without modifications and that a new hydrogen network will be established. </w:t>
            </w:r>
            <w:r w:rsidRPr="00373210">
              <w:rPr>
                <w:rFonts w:cs="Arial"/>
                <w:szCs w:val="20"/>
              </w:rPr>
              <w:t xml:space="preserve">The networks are intended to operate </w:t>
            </w:r>
            <w:r>
              <w:rPr>
                <w:rFonts w:cs="Arial"/>
                <w:szCs w:val="20"/>
              </w:rPr>
              <w:t>in parallel</w:t>
            </w:r>
            <w:r w:rsidRPr="00373210">
              <w:rPr>
                <w:rFonts w:cs="Arial"/>
                <w:szCs w:val="20"/>
              </w:rPr>
              <w:t>, to offer flexibility to customers to 'opt in' and switch back if desired. This enables SGN to test a new hydrogen network without putting customers at any disadvantage.</w:t>
            </w:r>
          </w:p>
          <w:p w14:paraId="4196D041" w14:textId="77777777" w:rsidR="00265510" w:rsidRDefault="00265510" w:rsidP="00C63EC3">
            <w:pPr>
              <w:pStyle w:val="ListParagraph"/>
              <w:ind w:left="0"/>
              <w:jc w:val="both"/>
              <w:rPr>
                <w:rFonts w:cs="Arial"/>
                <w:szCs w:val="20"/>
              </w:rPr>
            </w:pPr>
          </w:p>
          <w:p w14:paraId="51C0255B" w14:textId="77777777" w:rsidR="00265510" w:rsidRDefault="00265510" w:rsidP="00C63EC3">
            <w:pPr>
              <w:pStyle w:val="ListParagraph"/>
              <w:ind w:left="0"/>
              <w:jc w:val="both"/>
              <w:rPr>
                <w:rFonts w:cs="Arial"/>
                <w:szCs w:val="20"/>
              </w:rPr>
            </w:pPr>
            <w:r>
              <w:rPr>
                <w:rFonts w:cs="Arial"/>
                <w:szCs w:val="20"/>
              </w:rPr>
              <w:t>The parallel networks will also have regulatory advantages, enabling SGN to supply customers without having to amend its safety case for the existing network or obtain an exemption from the gas composition requirements of the GS(M)R for the new network.</w:t>
            </w:r>
          </w:p>
          <w:p w14:paraId="5365E26F" w14:textId="77777777" w:rsidR="00265510" w:rsidRDefault="00265510" w:rsidP="00C63EC3">
            <w:pPr>
              <w:pStyle w:val="ListParagraph"/>
              <w:ind w:left="0"/>
              <w:jc w:val="both"/>
              <w:rPr>
                <w:rFonts w:cs="Arial"/>
                <w:szCs w:val="20"/>
              </w:rPr>
            </w:pPr>
          </w:p>
          <w:p w14:paraId="06AC9604" w14:textId="77777777" w:rsidR="00265510" w:rsidRDefault="00265510" w:rsidP="00C63EC3">
            <w:pPr>
              <w:pStyle w:val="ListParagraph"/>
              <w:ind w:left="0"/>
              <w:jc w:val="both"/>
              <w:rPr>
                <w:rFonts w:cs="Arial"/>
                <w:szCs w:val="20"/>
              </w:rPr>
            </w:pPr>
            <w:r>
              <w:rPr>
                <w:rFonts w:cs="Arial"/>
                <w:szCs w:val="20"/>
              </w:rPr>
              <w:t>SGN is conscious that, in excluding hydrogen, the definition of gas in GS(M)R sits uncomfortably alongside the Gas Act and that this definition may need to be updated in due course. If that is the case, SGN will apply to the Health and Safety Executive (HSE) for an exemption from the gas content standards in GS(M)R in accordance with the mechanism therein.</w:t>
            </w:r>
          </w:p>
          <w:p w14:paraId="2603DB31" w14:textId="77777777" w:rsidR="00265510" w:rsidRDefault="00265510" w:rsidP="00C63EC3">
            <w:pPr>
              <w:pStyle w:val="ListParagraph"/>
              <w:ind w:left="0"/>
              <w:jc w:val="both"/>
              <w:rPr>
                <w:rFonts w:cs="Arial"/>
                <w:szCs w:val="20"/>
              </w:rPr>
            </w:pPr>
          </w:p>
          <w:p w14:paraId="7CFCA211" w14:textId="77777777" w:rsidR="00265510" w:rsidRDefault="00265510" w:rsidP="00C63EC3">
            <w:pPr>
              <w:pStyle w:val="ListParagraph"/>
              <w:ind w:left="0"/>
              <w:jc w:val="both"/>
              <w:rPr>
                <w:rFonts w:cs="Arial"/>
                <w:szCs w:val="20"/>
              </w:rPr>
            </w:pPr>
            <w:r w:rsidRPr="00373210">
              <w:rPr>
                <w:rFonts w:cs="Arial"/>
                <w:szCs w:val="20"/>
              </w:rPr>
              <w:t>In the meantime, in relation to the new network, SGN will continue to operate in the spirit of GS(M)R and to comply in full with its licence conditions in relation to dealing with emergencies and gas escapes.</w:t>
            </w:r>
          </w:p>
          <w:p w14:paraId="02E25A05" w14:textId="77777777" w:rsidR="00265510" w:rsidRDefault="00265510" w:rsidP="00C63EC3">
            <w:pPr>
              <w:pStyle w:val="ListParagraph"/>
              <w:ind w:left="0"/>
              <w:jc w:val="both"/>
              <w:rPr>
                <w:rFonts w:cs="Arial"/>
                <w:szCs w:val="20"/>
              </w:rPr>
            </w:pPr>
          </w:p>
          <w:p w14:paraId="40A41E66" w14:textId="77777777" w:rsidR="00265510" w:rsidRPr="00B05346" w:rsidRDefault="00265510" w:rsidP="00C63EC3">
            <w:pPr>
              <w:pStyle w:val="ListParagraph"/>
              <w:ind w:left="0"/>
              <w:jc w:val="both"/>
              <w:rPr>
                <w:rFonts w:cs="Arial"/>
                <w:b/>
                <w:i/>
                <w:szCs w:val="20"/>
              </w:rPr>
            </w:pPr>
            <w:r w:rsidRPr="00B05346">
              <w:rPr>
                <w:rFonts w:cs="Arial"/>
                <w:b/>
                <w:i/>
                <w:szCs w:val="20"/>
              </w:rPr>
              <w:t>Detail:</w:t>
            </w:r>
          </w:p>
          <w:p w14:paraId="732F0BD1" w14:textId="77777777" w:rsidR="00265510" w:rsidRDefault="00265510" w:rsidP="00C63EC3">
            <w:pPr>
              <w:pStyle w:val="ListParagraph"/>
              <w:ind w:left="0"/>
              <w:jc w:val="both"/>
              <w:rPr>
                <w:rFonts w:cs="Arial"/>
                <w:szCs w:val="20"/>
              </w:rPr>
            </w:pPr>
          </w:p>
          <w:p w14:paraId="6EE53CD2" w14:textId="77777777" w:rsidR="00265510" w:rsidRDefault="00265510" w:rsidP="00C63EC3">
            <w:pPr>
              <w:pStyle w:val="ListParagraph"/>
              <w:ind w:left="0"/>
              <w:jc w:val="both"/>
              <w:rPr>
                <w:rFonts w:cs="Arial"/>
                <w:szCs w:val="20"/>
              </w:rPr>
            </w:pPr>
            <w:r w:rsidRPr="00373210">
              <w:rPr>
                <w:rFonts w:cs="Arial"/>
                <w:b/>
                <w:i/>
                <w:szCs w:val="20"/>
              </w:rPr>
              <w:t>No change to the existing network</w:t>
            </w:r>
            <w:r>
              <w:rPr>
                <w:rFonts w:cs="Arial"/>
                <w:szCs w:val="20"/>
              </w:rPr>
              <w:t>: T</w:t>
            </w:r>
            <w:r w:rsidRPr="00373210">
              <w:rPr>
                <w:rFonts w:cs="Arial"/>
                <w:szCs w:val="20"/>
              </w:rPr>
              <w:t xml:space="preserve">he GS(M)R includes a requirement for a safety case, to be updated where appropriate and re-submitted to the HSE if any changes </w:t>
            </w:r>
            <w:r>
              <w:rPr>
                <w:rFonts w:cs="Arial"/>
                <w:szCs w:val="20"/>
              </w:rPr>
              <w:t xml:space="preserve">to the network </w:t>
            </w:r>
            <w:r w:rsidRPr="00373210">
              <w:rPr>
                <w:rFonts w:cs="Arial"/>
                <w:szCs w:val="20"/>
              </w:rPr>
              <w:t xml:space="preserve">will have a material effect on the safety case. </w:t>
            </w:r>
            <w:r>
              <w:rPr>
                <w:rFonts w:cs="Arial"/>
                <w:szCs w:val="20"/>
              </w:rPr>
              <w:t>However, no changes to the existing network are planned, so no update to the HSE is required</w:t>
            </w:r>
            <w:r>
              <w:rPr>
                <w:rStyle w:val="FootnoteReference"/>
                <w:rFonts w:cs="Arial"/>
                <w:szCs w:val="20"/>
              </w:rPr>
              <w:footnoteReference w:id="19"/>
            </w:r>
            <w:r>
              <w:rPr>
                <w:rFonts w:cs="Arial"/>
                <w:szCs w:val="20"/>
              </w:rPr>
              <w:t>.</w:t>
            </w:r>
          </w:p>
          <w:p w14:paraId="6B5B33B5" w14:textId="77777777" w:rsidR="00265510" w:rsidRDefault="00265510" w:rsidP="00C63EC3">
            <w:pPr>
              <w:pStyle w:val="ListParagraph"/>
              <w:ind w:left="0"/>
              <w:jc w:val="both"/>
              <w:rPr>
                <w:rFonts w:cs="Arial"/>
                <w:szCs w:val="20"/>
              </w:rPr>
            </w:pPr>
            <w:r w:rsidRPr="0055287F">
              <w:rPr>
                <w:rFonts w:cs="Arial"/>
                <w:szCs w:val="20"/>
              </w:rPr>
              <w:t xml:space="preserve">The fact that the existing network will remain unchanged also means that </w:t>
            </w:r>
            <w:r>
              <w:rPr>
                <w:rFonts w:cs="Arial"/>
                <w:szCs w:val="20"/>
              </w:rPr>
              <w:t xml:space="preserve">the </w:t>
            </w:r>
            <w:r w:rsidRPr="0055287F">
              <w:rPr>
                <w:rFonts w:cs="Arial"/>
                <w:szCs w:val="20"/>
              </w:rPr>
              <w:t xml:space="preserve">approval </w:t>
            </w:r>
            <w:r>
              <w:rPr>
                <w:rFonts w:cs="Arial"/>
                <w:szCs w:val="20"/>
              </w:rPr>
              <w:t xml:space="preserve">of customers of the existing network </w:t>
            </w:r>
            <w:r w:rsidRPr="0055287F">
              <w:rPr>
                <w:rFonts w:cs="Arial"/>
                <w:szCs w:val="20"/>
              </w:rPr>
              <w:t xml:space="preserve">will not </w:t>
            </w:r>
            <w:r>
              <w:rPr>
                <w:rFonts w:cs="Arial"/>
                <w:szCs w:val="20"/>
              </w:rPr>
              <w:t xml:space="preserve">be required. </w:t>
            </w:r>
          </w:p>
          <w:p w14:paraId="24DB847E" w14:textId="77777777" w:rsidR="00265510" w:rsidRDefault="00265510" w:rsidP="00C63EC3">
            <w:pPr>
              <w:pStyle w:val="ListParagraph"/>
              <w:ind w:left="0"/>
              <w:jc w:val="both"/>
              <w:rPr>
                <w:rFonts w:cs="Arial"/>
                <w:szCs w:val="20"/>
              </w:rPr>
            </w:pPr>
          </w:p>
          <w:p w14:paraId="1476923E" w14:textId="77777777" w:rsidR="00265510" w:rsidRDefault="00265510" w:rsidP="00C63EC3">
            <w:pPr>
              <w:pStyle w:val="ListParagraph"/>
              <w:ind w:left="0"/>
              <w:jc w:val="both"/>
              <w:rPr>
                <w:rFonts w:cs="Arial"/>
                <w:szCs w:val="20"/>
              </w:rPr>
            </w:pPr>
            <w:r w:rsidRPr="00373210">
              <w:rPr>
                <w:rFonts w:cs="Arial"/>
                <w:b/>
                <w:i/>
                <w:szCs w:val="20"/>
              </w:rPr>
              <w:lastRenderedPageBreak/>
              <w:t>New network</w:t>
            </w:r>
            <w:r>
              <w:rPr>
                <w:rFonts w:cs="Arial"/>
                <w:szCs w:val="20"/>
              </w:rPr>
              <w:t>: The GS(M)R does not currently cover hydrogen, since it is not a substance in gaseous state which consists wholly or mainly of methane</w:t>
            </w:r>
            <w:r>
              <w:rPr>
                <w:rStyle w:val="FootnoteReference"/>
                <w:rFonts w:cs="Arial"/>
                <w:szCs w:val="20"/>
              </w:rPr>
              <w:footnoteReference w:id="20"/>
            </w:r>
            <w:r>
              <w:rPr>
                <w:rFonts w:cs="Arial"/>
                <w:szCs w:val="20"/>
              </w:rPr>
              <w:t xml:space="preserve"> (this discrepancy against the Gas Act 1986 is probably a result of the fact that GS(M)R was made under a different piece of legislation - the Health and Safety at Work Act 1974). </w:t>
            </w:r>
            <w:r w:rsidRPr="00ED007D">
              <w:rPr>
                <w:rFonts w:cs="Arial"/>
                <w:szCs w:val="20"/>
              </w:rPr>
              <w:t>SGN wil</w:t>
            </w:r>
            <w:r>
              <w:rPr>
                <w:rFonts w:cs="Arial"/>
                <w:szCs w:val="20"/>
              </w:rPr>
              <w:t xml:space="preserve">l therefore not be required to meet the requirements of the GS(M)R </w:t>
            </w:r>
            <w:r w:rsidRPr="00ED007D">
              <w:rPr>
                <w:rFonts w:cs="Arial"/>
                <w:szCs w:val="20"/>
              </w:rPr>
              <w:t>in relation to the new network</w:t>
            </w:r>
            <w:r>
              <w:rPr>
                <w:rFonts w:cs="Arial"/>
                <w:szCs w:val="20"/>
              </w:rPr>
              <w:t xml:space="preserve"> (</w:t>
            </w:r>
            <w:r w:rsidRPr="00ED007D">
              <w:rPr>
                <w:rFonts w:cs="Arial"/>
                <w:szCs w:val="20"/>
              </w:rPr>
              <w:t>in particular</w:t>
            </w:r>
            <w:r>
              <w:rPr>
                <w:rFonts w:cs="Arial"/>
                <w:szCs w:val="20"/>
              </w:rPr>
              <w:t>, it will not be required to</w:t>
            </w:r>
            <w:r w:rsidRPr="00ED007D">
              <w:rPr>
                <w:rFonts w:cs="Arial"/>
                <w:szCs w:val="20"/>
              </w:rPr>
              <w:t xml:space="preserve"> compile a safety case or meet the gas content stan</w:t>
            </w:r>
            <w:r>
              <w:rPr>
                <w:rFonts w:cs="Arial"/>
                <w:szCs w:val="20"/>
              </w:rPr>
              <w:t>dards)</w:t>
            </w:r>
            <w:r w:rsidRPr="00ED007D">
              <w:rPr>
                <w:rFonts w:cs="Arial"/>
                <w:szCs w:val="20"/>
              </w:rPr>
              <w:t>.</w:t>
            </w:r>
          </w:p>
          <w:p w14:paraId="23D51E68" w14:textId="77777777" w:rsidR="00265510" w:rsidRDefault="00265510" w:rsidP="00C63EC3">
            <w:pPr>
              <w:pStyle w:val="ListParagraph"/>
              <w:ind w:left="0"/>
              <w:jc w:val="both"/>
              <w:rPr>
                <w:rFonts w:cs="Arial"/>
                <w:szCs w:val="20"/>
              </w:rPr>
            </w:pPr>
          </w:p>
          <w:p w14:paraId="41FC3301" w14:textId="77777777" w:rsidR="00265510" w:rsidRDefault="00265510" w:rsidP="00C63EC3">
            <w:pPr>
              <w:pStyle w:val="ListParagraph"/>
              <w:ind w:left="0"/>
              <w:jc w:val="both"/>
              <w:rPr>
                <w:rFonts w:cs="Arial"/>
                <w:szCs w:val="20"/>
              </w:rPr>
            </w:pPr>
            <w:r>
              <w:rPr>
                <w:rFonts w:cs="Arial"/>
                <w:szCs w:val="20"/>
              </w:rPr>
              <w:t xml:space="preserve">However, SGN is conscious that the GS(M)R definition of 'gas' (in excluding hydrogen) sits uncomfortably alongside that under the Gas Act, and that the GS(M)R may need to be updated to reflect this. </w:t>
            </w:r>
            <w:r w:rsidRPr="00373210">
              <w:rPr>
                <w:rFonts w:cs="Arial"/>
                <w:szCs w:val="20"/>
              </w:rPr>
              <w:t>If the GS(M)R is updated to cover hydrogen, SGN notes that it would have to obtain an exemption (under regulation 11 of the GS(M)R) from the gas content/ characterisation standards in Schedule 3 (with potentially two alternative industry standards being introduced depending on the percentage of hydrogen involved).</w:t>
            </w:r>
          </w:p>
          <w:p w14:paraId="033D8230" w14:textId="77777777" w:rsidR="00265510" w:rsidRDefault="00265510" w:rsidP="00C63EC3">
            <w:pPr>
              <w:pStyle w:val="ListParagraph"/>
              <w:ind w:left="0"/>
              <w:jc w:val="both"/>
              <w:rPr>
                <w:rFonts w:cs="Arial"/>
                <w:szCs w:val="20"/>
              </w:rPr>
            </w:pPr>
          </w:p>
          <w:p w14:paraId="69B8103A" w14:textId="77777777" w:rsidR="00265510" w:rsidRPr="00C658D9" w:rsidRDefault="00265510" w:rsidP="00C63EC3">
            <w:pPr>
              <w:pStyle w:val="ListParagraph"/>
              <w:ind w:left="0"/>
              <w:jc w:val="both"/>
              <w:rPr>
                <w:rFonts w:cs="Arial"/>
                <w:szCs w:val="20"/>
              </w:rPr>
            </w:pPr>
            <w:r w:rsidRPr="00B341DE">
              <w:rPr>
                <w:rFonts w:cs="Arial"/>
                <w:b/>
                <w:i/>
                <w:szCs w:val="20"/>
              </w:rPr>
              <w:t>Safety paramount</w:t>
            </w:r>
            <w:r>
              <w:rPr>
                <w:rFonts w:cs="Arial"/>
                <w:szCs w:val="20"/>
              </w:rPr>
              <w:t xml:space="preserve">: In the meantime, the safety of its customers remains paramount and, even though the GS(M)R does not currently apply to the new network, </w:t>
            </w:r>
            <w:r w:rsidRPr="00B341DE">
              <w:rPr>
                <w:rFonts w:cs="Arial"/>
                <w:szCs w:val="20"/>
              </w:rPr>
              <w:t>SGN will in any case operate H100 Fife</w:t>
            </w:r>
            <w:r>
              <w:rPr>
                <w:rFonts w:cs="Arial"/>
                <w:szCs w:val="20"/>
              </w:rPr>
              <w:t xml:space="preserve"> in the spirit of the GS(M) R. F</w:t>
            </w:r>
            <w:r w:rsidRPr="00B341DE">
              <w:rPr>
                <w:rFonts w:cs="Arial"/>
                <w:szCs w:val="20"/>
              </w:rPr>
              <w:t>or example</w:t>
            </w:r>
            <w:r>
              <w:rPr>
                <w:rFonts w:cs="Arial"/>
                <w:szCs w:val="20"/>
              </w:rPr>
              <w:t>, SGN will ensure</w:t>
            </w:r>
            <w:r w:rsidRPr="00B341DE">
              <w:rPr>
                <w:rFonts w:cs="Arial"/>
                <w:szCs w:val="20"/>
              </w:rPr>
              <w:t xml:space="preserve"> </w:t>
            </w:r>
            <w:r>
              <w:rPr>
                <w:rFonts w:cs="Arial"/>
                <w:szCs w:val="20"/>
              </w:rPr>
              <w:t>the safe management of gas flow</w:t>
            </w:r>
            <w:r w:rsidRPr="00B341DE">
              <w:rPr>
                <w:rFonts w:cs="Arial"/>
                <w:szCs w:val="20"/>
              </w:rPr>
              <w:t xml:space="preserve"> and putting in place arrangements for dealing with gas escape and emergencies. Similar arrangements are in fact already required under </w:t>
            </w:r>
            <w:r>
              <w:rPr>
                <w:rFonts w:cs="Arial"/>
                <w:szCs w:val="20"/>
              </w:rPr>
              <w:t>ScGN's</w:t>
            </w:r>
            <w:r w:rsidRPr="00B341DE">
              <w:rPr>
                <w:rFonts w:cs="Arial"/>
                <w:szCs w:val="20"/>
              </w:rPr>
              <w:t xml:space="preserve"> licence. In particular, condition 6 provides for the establishmen</w:t>
            </w:r>
            <w:r>
              <w:rPr>
                <w:rFonts w:cs="Arial"/>
                <w:szCs w:val="20"/>
              </w:rPr>
              <w:t>t of a manned telephone service for emergencies and how ScGN</w:t>
            </w:r>
            <w:r w:rsidRPr="00B341DE">
              <w:rPr>
                <w:rFonts w:cs="Arial"/>
                <w:szCs w:val="20"/>
              </w:rPr>
              <w:t xml:space="preserve"> must act in preventing a gas escape</w:t>
            </w:r>
            <w:r>
              <w:rPr>
                <w:rStyle w:val="FootnoteReference"/>
                <w:rFonts w:cs="Arial"/>
                <w:szCs w:val="20"/>
              </w:rPr>
              <w:footnoteReference w:id="21"/>
            </w:r>
            <w:r w:rsidRPr="00B341DE">
              <w:rPr>
                <w:rFonts w:cs="Arial"/>
                <w:szCs w:val="20"/>
              </w:rPr>
              <w:t>.</w:t>
            </w:r>
          </w:p>
        </w:tc>
      </w:tr>
      <w:tr w:rsidR="00265510" w:rsidRPr="00C658D9" w14:paraId="6CF72FAC" w14:textId="77777777" w:rsidTr="00C63EC3">
        <w:tc>
          <w:tcPr>
            <w:tcW w:w="426" w:type="dxa"/>
            <w:tcMar>
              <w:top w:w="0" w:type="dxa"/>
              <w:left w:w="108" w:type="dxa"/>
              <w:bottom w:w="0" w:type="dxa"/>
              <w:right w:w="108" w:type="dxa"/>
            </w:tcMar>
          </w:tcPr>
          <w:p w14:paraId="7AE49908" w14:textId="77777777" w:rsidR="00265510" w:rsidRPr="00C658D9" w:rsidRDefault="00265510" w:rsidP="00265510">
            <w:pPr>
              <w:pStyle w:val="ListParagraph"/>
              <w:numPr>
                <w:ilvl w:val="0"/>
                <w:numId w:val="15"/>
              </w:numPr>
              <w:spacing w:line="240" w:lineRule="auto"/>
              <w:contextualSpacing w:val="0"/>
              <w:jc w:val="both"/>
              <w:rPr>
                <w:rFonts w:cs="Arial"/>
                <w:szCs w:val="20"/>
              </w:rPr>
            </w:pPr>
          </w:p>
        </w:tc>
        <w:tc>
          <w:tcPr>
            <w:tcW w:w="3231" w:type="dxa"/>
            <w:tcMar>
              <w:top w:w="0" w:type="dxa"/>
              <w:left w:w="108" w:type="dxa"/>
              <w:bottom w:w="0" w:type="dxa"/>
              <w:right w:w="108" w:type="dxa"/>
            </w:tcMar>
          </w:tcPr>
          <w:p w14:paraId="2ECFB6BA" w14:textId="77777777" w:rsidR="00265510" w:rsidRDefault="00265510" w:rsidP="00C63EC3">
            <w:pPr>
              <w:pStyle w:val="ListParagraph"/>
              <w:ind w:left="0"/>
              <w:jc w:val="both"/>
              <w:rPr>
                <w:rFonts w:cs="Arial"/>
                <w:b/>
                <w:i/>
                <w:szCs w:val="20"/>
              </w:rPr>
            </w:pPr>
            <w:r w:rsidRPr="003536E5">
              <w:rPr>
                <w:rFonts w:cs="Arial"/>
                <w:b/>
                <w:i/>
                <w:szCs w:val="20"/>
              </w:rPr>
              <w:t>Uniform Network Code</w:t>
            </w:r>
          </w:p>
          <w:p w14:paraId="71A1C9EB" w14:textId="77777777" w:rsidR="00265510" w:rsidRDefault="00265510" w:rsidP="00C63EC3">
            <w:pPr>
              <w:pStyle w:val="ListParagraph"/>
              <w:ind w:left="0"/>
              <w:jc w:val="both"/>
              <w:rPr>
                <w:rFonts w:cs="Arial"/>
                <w:b/>
                <w:i/>
                <w:szCs w:val="20"/>
              </w:rPr>
            </w:pPr>
          </w:p>
          <w:p w14:paraId="66CC4018" w14:textId="77777777" w:rsidR="00265510" w:rsidRPr="00CF59AB" w:rsidRDefault="00265510" w:rsidP="00C63EC3">
            <w:pPr>
              <w:pStyle w:val="ListParagraph"/>
              <w:ind w:left="0"/>
              <w:jc w:val="both"/>
              <w:rPr>
                <w:rFonts w:cs="Arial"/>
                <w:szCs w:val="20"/>
              </w:rPr>
            </w:pPr>
            <w:r w:rsidRPr="00CF59AB">
              <w:rPr>
                <w:rFonts w:cs="Arial"/>
                <w:szCs w:val="20"/>
              </w:rPr>
              <w:lastRenderedPageBreak/>
              <w:t>Whether any amendments are required to the Uniform Network Code.</w:t>
            </w:r>
          </w:p>
        </w:tc>
        <w:tc>
          <w:tcPr>
            <w:tcW w:w="11057" w:type="dxa"/>
            <w:tcMar>
              <w:top w:w="0" w:type="dxa"/>
              <w:left w:w="108" w:type="dxa"/>
              <w:bottom w:w="0" w:type="dxa"/>
              <w:right w:w="108" w:type="dxa"/>
            </w:tcMar>
          </w:tcPr>
          <w:p w14:paraId="44C3BF25" w14:textId="77777777" w:rsidR="00265510" w:rsidRDefault="00265510" w:rsidP="00C63EC3">
            <w:pPr>
              <w:pStyle w:val="ListParagraph"/>
              <w:ind w:left="0"/>
              <w:jc w:val="both"/>
              <w:rPr>
                <w:rFonts w:cs="Arial"/>
                <w:szCs w:val="20"/>
              </w:rPr>
            </w:pPr>
            <w:r>
              <w:rPr>
                <w:rFonts w:cs="Arial"/>
                <w:szCs w:val="20"/>
              </w:rPr>
              <w:lastRenderedPageBreak/>
              <w:t xml:space="preserve">SGN recognises that amendments to the UNC (e.g. the gas composition requirements) are likely to be required, but that the nature of the required amendments will become clearer as the project progresses. SGN will effect such amendments using the modification procedure in the usual way. </w:t>
            </w:r>
          </w:p>
          <w:p w14:paraId="2488D3E5" w14:textId="77777777" w:rsidR="00265510" w:rsidRDefault="00265510" w:rsidP="00C63EC3">
            <w:pPr>
              <w:pStyle w:val="ListParagraph"/>
              <w:ind w:left="0"/>
              <w:jc w:val="both"/>
              <w:rPr>
                <w:rFonts w:cs="Arial"/>
                <w:b/>
                <w:i/>
                <w:szCs w:val="20"/>
              </w:rPr>
            </w:pPr>
          </w:p>
          <w:p w14:paraId="3035CFC9" w14:textId="77777777" w:rsidR="00265510" w:rsidRDefault="00265510" w:rsidP="00C63EC3">
            <w:pPr>
              <w:pStyle w:val="ListParagraph"/>
              <w:ind w:left="0"/>
              <w:jc w:val="both"/>
              <w:rPr>
                <w:rFonts w:cs="Arial"/>
                <w:szCs w:val="20"/>
              </w:rPr>
            </w:pPr>
            <w:r w:rsidRPr="00B05346">
              <w:rPr>
                <w:rFonts w:cs="Arial"/>
                <w:b/>
                <w:i/>
                <w:szCs w:val="20"/>
              </w:rPr>
              <w:lastRenderedPageBreak/>
              <w:t>Detail</w:t>
            </w:r>
            <w:r>
              <w:rPr>
                <w:rFonts w:cs="Arial"/>
                <w:szCs w:val="20"/>
              </w:rPr>
              <w:t>:</w:t>
            </w:r>
          </w:p>
          <w:p w14:paraId="1B711276" w14:textId="77777777" w:rsidR="00265510" w:rsidRDefault="00265510" w:rsidP="00C63EC3">
            <w:pPr>
              <w:pStyle w:val="ListParagraph"/>
              <w:ind w:left="0"/>
              <w:jc w:val="both"/>
              <w:rPr>
                <w:rFonts w:cs="Arial"/>
                <w:szCs w:val="20"/>
              </w:rPr>
            </w:pPr>
          </w:p>
          <w:p w14:paraId="5BDDF46F" w14:textId="77777777" w:rsidR="00265510" w:rsidRPr="00C658D9" w:rsidRDefault="00265510" w:rsidP="00C63EC3">
            <w:pPr>
              <w:pStyle w:val="ListParagraph"/>
              <w:ind w:left="0"/>
              <w:jc w:val="both"/>
              <w:rPr>
                <w:rFonts w:cs="Arial"/>
                <w:szCs w:val="20"/>
              </w:rPr>
            </w:pPr>
            <w:r>
              <w:rPr>
                <w:rFonts w:cs="Arial"/>
                <w:szCs w:val="20"/>
              </w:rPr>
              <w:t>Given the wide scope of the Code, we note that amendments will likely be required as the project develops. Given some of the other regulatory issues we have explored in this document, we would note as initial points of interest the gas composition requirements</w:t>
            </w:r>
            <w:r>
              <w:rPr>
                <w:rStyle w:val="FootnoteReference"/>
                <w:rFonts w:cs="Arial"/>
                <w:szCs w:val="20"/>
              </w:rPr>
              <w:footnoteReference w:id="22"/>
            </w:r>
            <w:r>
              <w:rPr>
                <w:rFonts w:cs="Arial"/>
                <w:szCs w:val="20"/>
              </w:rPr>
              <w:t xml:space="preserve"> and LDZ shrinkage provisions</w:t>
            </w:r>
            <w:r>
              <w:rPr>
                <w:rStyle w:val="FootnoteReference"/>
                <w:rFonts w:cs="Arial"/>
                <w:szCs w:val="20"/>
              </w:rPr>
              <w:footnoteReference w:id="23"/>
            </w:r>
            <w:r>
              <w:rPr>
                <w:rFonts w:cs="Arial"/>
                <w:szCs w:val="20"/>
              </w:rPr>
              <w:t xml:space="preserve"> (please see our comments above at row 1). We do not consider that this should delay matters at this point, but it will require further consideration as the project progresses.</w:t>
            </w:r>
          </w:p>
        </w:tc>
      </w:tr>
      <w:tr w:rsidR="00265510" w:rsidRPr="00C658D9" w14:paraId="6B65FF24" w14:textId="77777777" w:rsidTr="00C63EC3">
        <w:tc>
          <w:tcPr>
            <w:tcW w:w="426" w:type="dxa"/>
            <w:tcMar>
              <w:top w:w="0" w:type="dxa"/>
              <w:left w:w="108" w:type="dxa"/>
              <w:bottom w:w="0" w:type="dxa"/>
              <w:right w:w="108" w:type="dxa"/>
            </w:tcMar>
          </w:tcPr>
          <w:p w14:paraId="61ECC228" w14:textId="77777777" w:rsidR="00265510" w:rsidRPr="00C658D9" w:rsidRDefault="00265510" w:rsidP="00265510">
            <w:pPr>
              <w:pStyle w:val="ListParagraph"/>
              <w:numPr>
                <w:ilvl w:val="0"/>
                <w:numId w:val="15"/>
              </w:numPr>
              <w:spacing w:line="240" w:lineRule="auto"/>
              <w:contextualSpacing w:val="0"/>
              <w:jc w:val="both"/>
              <w:rPr>
                <w:rFonts w:cs="Arial"/>
                <w:szCs w:val="20"/>
              </w:rPr>
            </w:pPr>
          </w:p>
        </w:tc>
        <w:tc>
          <w:tcPr>
            <w:tcW w:w="3231" w:type="dxa"/>
            <w:tcMar>
              <w:top w:w="0" w:type="dxa"/>
              <w:left w:w="108" w:type="dxa"/>
              <w:bottom w:w="0" w:type="dxa"/>
              <w:right w:w="108" w:type="dxa"/>
            </w:tcMar>
          </w:tcPr>
          <w:p w14:paraId="52E16F4B" w14:textId="77777777" w:rsidR="00265510" w:rsidRDefault="00265510" w:rsidP="00C63EC3">
            <w:pPr>
              <w:pStyle w:val="ListParagraph"/>
              <w:ind w:left="0"/>
              <w:jc w:val="both"/>
              <w:rPr>
                <w:rFonts w:cs="Arial"/>
                <w:b/>
                <w:i/>
                <w:szCs w:val="20"/>
              </w:rPr>
            </w:pPr>
            <w:r w:rsidRPr="003536E5">
              <w:rPr>
                <w:rFonts w:cs="Arial"/>
                <w:b/>
                <w:i/>
                <w:szCs w:val="20"/>
              </w:rPr>
              <w:t xml:space="preserve">Funding </w:t>
            </w:r>
          </w:p>
          <w:p w14:paraId="2D776644" w14:textId="77777777" w:rsidR="00265510" w:rsidRDefault="00265510" w:rsidP="00C63EC3">
            <w:pPr>
              <w:pStyle w:val="ListParagraph"/>
              <w:ind w:left="0"/>
              <w:jc w:val="both"/>
              <w:rPr>
                <w:rFonts w:cs="Arial"/>
                <w:b/>
                <w:i/>
                <w:szCs w:val="20"/>
              </w:rPr>
            </w:pPr>
          </w:p>
          <w:p w14:paraId="589B0642" w14:textId="77777777" w:rsidR="00265510" w:rsidRPr="00CF59AB" w:rsidRDefault="00265510" w:rsidP="00C63EC3">
            <w:pPr>
              <w:pStyle w:val="ListParagraph"/>
              <w:ind w:left="0"/>
              <w:jc w:val="both"/>
              <w:rPr>
                <w:rFonts w:cs="Arial"/>
                <w:szCs w:val="20"/>
              </w:rPr>
            </w:pPr>
            <w:r w:rsidRPr="00CF59AB">
              <w:rPr>
                <w:rFonts w:cs="Arial"/>
                <w:szCs w:val="20"/>
              </w:rPr>
              <w:t>How sources of funding will be classed and ringfenced, in particular how NIC funding will be used.</w:t>
            </w:r>
          </w:p>
        </w:tc>
        <w:tc>
          <w:tcPr>
            <w:tcW w:w="11057" w:type="dxa"/>
            <w:tcMar>
              <w:top w:w="0" w:type="dxa"/>
              <w:left w:w="108" w:type="dxa"/>
              <w:bottom w:w="0" w:type="dxa"/>
              <w:right w:w="108" w:type="dxa"/>
            </w:tcMar>
          </w:tcPr>
          <w:p w14:paraId="4E4BFDB9" w14:textId="77777777" w:rsidR="00265510" w:rsidRDefault="00265510" w:rsidP="00C63EC3">
            <w:pPr>
              <w:pStyle w:val="ListParagraph"/>
              <w:ind w:left="0"/>
              <w:jc w:val="both"/>
              <w:rPr>
                <w:rFonts w:cs="Arial"/>
                <w:szCs w:val="20"/>
              </w:rPr>
            </w:pPr>
            <w:r>
              <w:rPr>
                <w:rFonts w:cs="Arial"/>
                <w:szCs w:val="20"/>
              </w:rPr>
              <w:t>A</w:t>
            </w:r>
            <w:r w:rsidRPr="00CA371A">
              <w:rPr>
                <w:rFonts w:cs="Arial"/>
                <w:szCs w:val="20"/>
              </w:rPr>
              <w:t>s the funding position matures</w:t>
            </w:r>
            <w:r>
              <w:rPr>
                <w:rFonts w:cs="Arial"/>
                <w:szCs w:val="20"/>
              </w:rPr>
              <w:t>, the</w:t>
            </w:r>
            <w:r w:rsidRPr="00CA371A">
              <w:rPr>
                <w:rFonts w:cs="Arial"/>
                <w:szCs w:val="20"/>
              </w:rPr>
              <w:t xml:space="preserve"> documentation will reflect that. </w:t>
            </w:r>
            <w:r>
              <w:rPr>
                <w:rFonts w:cs="Arial"/>
                <w:szCs w:val="20"/>
              </w:rPr>
              <w:t xml:space="preserve">Any NIC funding will be ring fenced </w:t>
            </w:r>
            <w:r w:rsidRPr="00CA371A">
              <w:rPr>
                <w:rFonts w:cs="Arial"/>
                <w:szCs w:val="20"/>
              </w:rPr>
              <w:t xml:space="preserve">and it will be made clear </w:t>
            </w:r>
            <w:r>
              <w:rPr>
                <w:rFonts w:cs="Arial"/>
                <w:szCs w:val="20"/>
              </w:rPr>
              <w:t xml:space="preserve">that the </w:t>
            </w:r>
            <w:r w:rsidRPr="00CA371A">
              <w:rPr>
                <w:rFonts w:cs="Arial"/>
                <w:szCs w:val="20"/>
              </w:rPr>
              <w:t>pass down</w:t>
            </w:r>
            <w:r>
              <w:rPr>
                <w:rFonts w:cs="Arial"/>
                <w:szCs w:val="20"/>
              </w:rPr>
              <w:t xml:space="preserve"> of funds will be subject to the requirements of the NIC.</w:t>
            </w:r>
          </w:p>
          <w:p w14:paraId="545183B0" w14:textId="77777777" w:rsidR="00265510" w:rsidRDefault="00265510" w:rsidP="00C63EC3">
            <w:pPr>
              <w:pStyle w:val="ListParagraph"/>
              <w:ind w:left="0"/>
              <w:jc w:val="both"/>
              <w:rPr>
                <w:rFonts w:cs="Arial"/>
                <w:szCs w:val="20"/>
              </w:rPr>
            </w:pPr>
          </w:p>
          <w:p w14:paraId="5635DCD7" w14:textId="77777777" w:rsidR="00265510" w:rsidRPr="00C658D9" w:rsidRDefault="00265510" w:rsidP="00C63EC3">
            <w:pPr>
              <w:pStyle w:val="ListParagraph"/>
              <w:ind w:left="0"/>
              <w:jc w:val="both"/>
              <w:rPr>
                <w:rFonts w:cs="Arial"/>
                <w:szCs w:val="20"/>
              </w:rPr>
            </w:pPr>
            <w:r w:rsidRPr="005323AA">
              <w:rPr>
                <w:rFonts w:cs="Arial"/>
                <w:szCs w:val="20"/>
              </w:rPr>
              <w:t>SGN</w:t>
            </w:r>
            <w:r>
              <w:rPr>
                <w:rFonts w:cs="Arial"/>
                <w:szCs w:val="20"/>
              </w:rPr>
              <w:t xml:space="preserve"> understands that the NIC is not state aid (given that it is part of an existing regulatory mechanism, RIIO), but</w:t>
            </w:r>
            <w:r w:rsidRPr="005323AA">
              <w:rPr>
                <w:rFonts w:cs="Arial"/>
                <w:szCs w:val="20"/>
              </w:rPr>
              <w:t xml:space="preserve"> is conscious of the need to assess </w:t>
            </w:r>
            <w:r>
              <w:rPr>
                <w:rFonts w:cs="Arial"/>
                <w:szCs w:val="20"/>
              </w:rPr>
              <w:t>whether</w:t>
            </w:r>
            <w:r w:rsidRPr="005323AA">
              <w:rPr>
                <w:rFonts w:cs="Arial"/>
                <w:szCs w:val="20"/>
              </w:rPr>
              <w:t xml:space="preserve"> the Scottish government funding could be considered state aid and will take further advice on </w:t>
            </w:r>
            <w:r>
              <w:rPr>
                <w:rFonts w:cs="Arial"/>
                <w:szCs w:val="20"/>
              </w:rPr>
              <w:t>how to approach this funding</w:t>
            </w:r>
            <w:r w:rsidRPr="005323AA">
              <w:rPr>
                <w:rFonts w:cs="Arial"/>
                <w:szCs w:val="20"/>
              </w:rPr>
              <w:t xml:space="preserve"> as the project progresses</w:t>
            </w:r>
            <w:r>
              <w:rPr>
                <w:rFonts w:cs="Arial"/>
                <w:szCs w:val="20"/>
              </w:rPr>
              <w:t>.</w:t>
            </w:r>
          </w:p>
        </w:tc>
      </w:tr>
      <w:tr w:rsidR="00265510" w:rsidRPr="00C658D9" w14:paraId="40519449" w14:textId="77777777" w:rsidTr="00C63EC3">
        <w:tc>
          <w:tcPr>
            <w:tcW w:w="426" w:type="dxa"/>
            <w:tcMar>
              <w:top w:w="0" w:type="dxa"/>
              <w:left w:w="108" w:type="dxa"/>
              <w:bottom w:w="0" w:type="dxa"/>
              <w:right w:w="108" w:type="dxa"/>
            </w:tcMar>
          </w:tcPr>
          <w:p w14:paraId="42F9FC84" w14:textId="77777777" w:rsidR="00265510" w:rsidRPr="00C658D9" w:rsidRDefault="00265510" w:rsidP="00265510">
            <w:pPr>
              <w:pStyle w:val="ListParagraph"/>
              <w:numPr>
                <w:ilvl w:val="0"/>
                <w:numId w:val="15"/>
              </w:numPr>
              <w:spacing w:line="240" w:lineRule="auto"/>
              <w:contextualSpacing w:val="0"/>
              <w:jc w:val="both"/>
              <w:rPr>
                <w:rFonts w:cs="Arial"/>
                <w:szCs w:val="20"/>
              </w:rPr>
            </w:pPr>
          </w:p>
        </w:tc>
        <w:tc>
          <w:tcPr>
            <w:tcW w:w="3231" w:type="dxa"/>
            <w:tcMar>
              <w:top w:w="0" w:type="dxa"/>
              <w:left w:w="108" w:type="dxa"/>
              <w:bottom w:w="0" w:type="dxa"/>
              <w:right w:w="108" w:type="dxa"/>
            </w:tcMar>
          </w:tcPr>
          <w:p w14:paraId="0B593849" w14:textId="77777777" w:rsidR="00265510" w:rsidRDefault="00265510" w:rsidP="00C63EC3">
            <w:pPr>
              <w:pStyle w:val="ListParagraph"/>
              <w:ind w:left="0"/>
              <w:jc w:val="both"/>
              <w:rPr>
                <w:rFonts w:cs="Arial"/>
                <w:b/>
                <w:i/>
                <w:szCs w:val="20"/>
              </w:rPr>
            </w:pPr>
            <w:r w:rsidRPr="003536E5">
              <w:rPr>
                <w:rFonts w:cs="Arial"/>
                <w:b/>
                <w:i/>
                <w:szCs w:val="20"/>
              </w:rPr>
              <w:t>Planning</w:t>
            </w:r>
          </w:p>
          <w:p w14:paraId="78D1044F" w14:textId="77777777" w:rsidR="00265510" w:rsidRDefault="00265510" w:rsidP="00C63EC3">
            <w:pPr>
              <w:pStyle w:val="ListParagraph"/>
              <w:ind w:left="0"/>
              <w:jc w:val="both"/>
              <w:rPr>
                <w:rFonts w:cs="Arial"/>
                <w:b/>
                <w:i/>
                <w:szCs w:val="20"/>
              </w:rPr>
            </w:pPr>
          </w:p>
          <w:p w14:paraId="059F48F5" w14:textId="77777777" w:rsidR="00265510" w:rsidRPr="00CF59AB" w:rsidRDefault="00265510" w:rsidP="00C63EC3">
            <w:pPr>
              <w:pStyle w:val="ListParagraph"/>
              <w:ind w:left="0"/>
              <w:jc w:val="both"/>
              <w:rPr>
                <w:rFonts w:cs="Arial"/>
                <w:szCs w:val="20"/>
              </w:rPr>
            </w:pPr>
            <w:r w:rsidRPr="00CF59AB">
              <w:rPr>
                <w:rFonts w:cs="Arial"/>
                <w:szCs w:val="20"/>
              </w:rPr>
              <w:t>What planning permission and consents will be required and the time that should be allowed for these.</w:t>
            </w:r>
          </w:p>
        </w:tc>
        <w:tc>
          <w:tcPr>
            <w:tcW w:w="11057" w:type="dxa"/>
            <w:tcMar>
              <w:top w:w="0" w:type="dxa"/>
              <w:left w:w="108" w:type="dxa"/>
              <w:bottom w:w="0" w:type="dxa"/>
              <w:right w:w="108" w:type="dxa"/>
            </w:tcMar>
          </w:tcPr>
          <w:p w14:paraId="4ABE9507" w14:textId="77777777" w:rsidR="00265510" w:rsidRDefault="00265510" w:rsidP="00C63EC3">
            <w:pPr>
              <w:pStyle w:val="ListParagraph"/>
              <w:ind w:left="0"/>
              <w:jc w:val="both"/>
              <w:rPr>
                <w:rFonts w:cs="Arial"/>
                <w:szCs w:val="20"/>
              </w:rPr>
            </w:pPr>
            <w:r>
              <w:rPr>
                <w:rFonts w:cs="Arial"/>
                <w:szCs w:val="20"/>
              </w:rPr>
              <w:t>SGN's plan for the project contains sufficient time to obtain the necessary planning permissions and consents.</w:t>
            </w:r>
          </w:p>
          <w:p w14:paraId="0C6805F6" w14:textId="77777777" w:rsidR="00265510" w:rsidRDefault="00265510" w:rsidP="00C63EC3">
            <w:pPr>
              <w:pStyle w:val="ListParagraph"/>
              <w:ind w:left="0"/>
              <w:jc w:val="both"/>
              <w:rPr>
                <w:rFonts w:cs="Arial"/>
                <w:szCs w:val="20"/>
              </w:rPr>
            </w:pPr>
          </w:p>
          <w:p w14:paraId="0DB96EBC" w14:textId="77777777" w:rsidR="00265510" w:rsidRDefault="00265510" w:rsidP="00C63EC3">
            <w:pPr>
              <w:pStyle w:val="ListParagraph"/>
              <w:ind w:left="0"/>
              <w:jc w:val="both"/>
              <w:rPr>
                <w:rFonts w:cs="Arial"/>
                <w:szCs w:val="20"/>
              </w:rPr>
            </w:pPr>
            <w:r w:rsidRPr="00681C3A">
              <w:rPr>
                <w:rFonts w:cs="Arial"/>
                <w:b/>
                <w:i/>
                <w:szCs w:val="20"/>
              </w:rPr>
              <w:t>Detail</w:t>
            </w:r>
            <w:r>
              <w:rPr>
                <w:rFonts w:cs="Arial"/>
                <w:szCs w:val="20"/>
              </w:rPr>
              <w:t xml:space="preserve">: </w:t>
            </w:r>
          </w:p>
          <w:p w14:paraId="1DD9D6E6" w14:textId="77777777" w:rsidR="00265510" w:rsidRDefault="00265510" w:rsidP="00C63EC3">
            <w:pPr>
              <w:pStyle w:val="ListParagraph"/>
              <w:ind w:left="0"/>
              <w:jc w:val="both"/>
              <w:rPr>
                <w:rFonts w:cs="Arial"/>
                <w:szCs w:val="20"/>
              </w:rPr>
            </w:pPr>
          </w:p>
          <w:p w14:paraId="4915FCA9" w14:textId="77777777" w:rsidR="00265510" w:rsidRDefault="00265510" w:rsidP="00C63EC3">
            <w:pPr>
              <w:pStyle w:val="ListParagraph"/>
              <w:ind w:left="0"/>
              <w:jc w:val="both"/>
              <w:rPr>
                <w:rFonts w:cs="Arial"/>
                <w:szCs w:val="20"/>
              </w:rPr>
            </w:pPr>
            <w:r>
              <w:rPr>
                <w:rFonts w:cs="Arial"/>
                <w:szCs w:val="20"/>
              </w:rPr>
              <w:t>SGN has considered the planning applications and consents required and plans to ensure that:</w:t>
            </w:r>
          </w:p>
          <w:p w14:paraId="6B8AC7B1" w14:textId="77777777" w:rsidR="00265510" w:rsidRDefault="00265510" w:rsidP="00C63EC3">
            <w:pPr>
              <w:pStyle w:val="ListParagraph"/>
              <w:ind w:left="0"/>
              <w:jc w:val="both"/>
              <w:rPr>
                <w:rFonts w:cs="Arial"/>
                <w:szCs w:val="20"/>
              </w:rPr>
            </w:pPr>
          </w:p>
          <w:p w14:paraId="461BCB82" w14:textId="77777777" w:rsidR="00265510" w:rsidRDefault="00265510" w:rsidP="00C63EC3">
            <w:pPr>
              <w:pStyle w:val="ListParagraph"/>
              <w:ind w:left="0"/>
              <w:jc w:val="both"/>
              <w:rPr>
                <w:rFonts w:cs="Arial"/>
                <w:szCs w:val="20"/>
              </w:rPr>
            </w:pPr>
            <w:r>
              <w:rPr>
                <w:rFonts w:cs="Arial"/>
                <w:szCs w:val="20"/>
              </w:rPr>
              <w:t>(a) sufficient time is provided for to complete the statutory process for a major planning application and to obtain the hazardous substance and related consents;</w:t>
            </w:r>
          </w:p>
          <w:p w14:paraId="335B1DF5" w14:textId="77777777" w:rsidR="00265510" w:rsidRDefault="00265510" w:rsidP="00C63EC3">
            <w:pPr>
              <w:pStyle w:val="ListParagraph"/>
              <w:ind w:left="0"/>
              <w:jc w:val="both"/>
              <w:rPr>
                <w:rFonts w:cs="Arial"/>
                <w:szCs w:val="20"/>
              </w:rPr>
            </w:pPr>
          </w:p>
          <w:p w14:paraId="499910C7" w14:textId="77777777" w:rsidR="00265510" w:rsidRDefault="00265510" w:rsidP="00C63EC3">
            <w:pPr>
              <w:pStyle w:val="ListParagraph"/>
              <w:ind w:left="0"/>
              <w:jc w:val="both"/>
              <w:rPr>
                <w:rFonts w:cs="Arial"/>
                <w:szCs w:val="20"/>
              </w:rPr>
            </w:pPr>
            <w:r>
              <w:rPr>
                <w:rFonts w:cs="Arial"/>
                <w:szCs w:val="20"/>
              </w:rPr>
              <w:t>(b) its agreement with OREC takes into account the lifespan of the consent for the demonstration turbine (the wind turbine is</w:t>
            </w:r>
            <w:r>
              <w:t xml:space="preserve"> </w:t>
            </w:r>
            <w:r w:rsidRPr="00897389">
              <w:rPr>
                <w:rFonts w:cs="Arial"/>
                <w:szCs w:val="20"/>
              </w:rPr>
              <w:t>consented to operate until 2029</w:t>
            </w:r>
            <w:r>
              <w:rPr>
                <w:rFonts w:cs="Arial"/>
                <w:szCs w:val="20"/>
              </w:rPr>
              <w:t>);</w:t>
            </w:r>
          </w:p>
          <w:p w14:paraId="102574CB" w14:textId="77777777" w:rsidR="00265510" w:rsidRDefault="00265510" w:rsidP="00C63EC3">
            <w:pPr>
              <w:pStyle w:val="ListParagraph"/>
              <w:ind w:left="0"/>
              <w:jc w:val="both"/>
              <w:rPr>
                <w:rFonts w:cs="Arial"/>
                <w:szCs w:val="20"/>
              </w:rPr>
            </w:pPr>
          </w:p>
          <w:p w14:paraId="07FE42B3" w14:textId="77777777" w:rsidR="00265510" w:rsidRPr="00C658D9" w:rsidRDefault="00265510" w:rsidP="00C63EC3">
            <w:pPr>
              <w:pStyle w:val="ListParagraph"/>
              <w:ind w:left="0"/>
              <w:jc w:val="both"/>
              <w:rPr>
                <w:rFonts w:cs="Arial"/>
                <w:szCs w:val="20"/>
              </w:rPr>
            </w:pPr>
            <w:r>
              <w:rPr>
                <w:rFonts w:cs="Arial"/>
                <w:szCs w:val="20"/>
              </w:rPr>
              <w:t xml:space="preserve">(c) further legal and/or consultancy advice is taken where required to ensure that all environment requirements are complied with/ documents provided. </w:t>
            </w:r>
          </w:p>
        </w:tc>
      </w:tr>
      <w:tr w:rsidR="00265510" w:rsidRPr="00C658D9" w14:paraId="64E3666D" w14:textId="77777777" w:rsidTr="00C63EC3">
        <w:tc>
          <w:tcPr>
            <w:tcW w:w="426" w:type="dxa"/>
            <w:tcMar>
              <w:top w:w="0" w:type="dxa"/>
              <w:left w:w="108" w:type="dxa"/>
              <w:bottom w:w="0" w:type="dxa"/>
              <w:right w:w="108" w:type="dxa"/>
            </w:tcMar>
          </w:tcPr>
          <w:p w14:paraId="14B28465" w14:textId="77777777" w:rsidR="00265510" w:rsidRPr="00C658D9" w:rsidRDefault="00265510" w:rsidP="00265510">
            <w:pPr>
              <w:pStyle w:val="ListParagraph"/>
              <w:numPr>
                <w:ilvl w:val="0"/>
                <w:numId w:val="15"/>
              </w:numPr>
              <w:spacing w:line="240" w:lineRule="auto"/>
              <w:contextualSpacing w:val="0"/>
              <w:jc w:val="both"/>
              <w:rPr>
                <w:rFonts w:cs="Arial"/>
                <w:szCs w:val="20"/>
              </w:rPr>
            </w:pPr>
          </w:p>
        </w:tc>
        <w:tc>
          <w:tcPr>
            <w:tcW w:w="3231" w:type="dxa"/>
            <w:tcMar>
              <w:top w:w="0" w:type="dxa"/>
              <w:left w:w="108" w:type="dxa"/>
              <w:bottom w:w="0" w:type="dxa"/>
              <w:right w:w="108" w:type="dxa"/>
            </w:tcMar>
          </w:tcPr>
          <w:p w14:paraId="1F8DE24C" w14:textId="77777777" w:rsidR="00265510" w:rsidRDefault="00265510" w:rsidP="00C63EC3">
            <w:pPr>
              <w:pStyle w:val="ListParagraph"/>
              <w:ind w:left="0"/>
              <w:jc w:val="both"/>
              <w:rPr>
                <w:rFonts w:cs="Arial"/>
                <w:b/>
                <w:i/>
                <w:szCs w:val="20"/>
              </w:rPr>
            </w:pPr>
            <w:r w:rsidRPr="003536E5">
              <w:rPr>
                <w:rFonts w:cs="Arial"/>
                <w:b/>
                <w:i/>
                <w:szCs w:val="20"/>
              </w:rPr>
              <w:t>Treating customers fairly – supplier licence conditions</w:t>
            </w:r>
          </w:p>
          <w:p w14:paraId="212F3BA7" w14:textId="77777777" w:rsidR="00265510" w:rsidRDefault="00265510" w:rsidP="00C63EC3">
            <w:pPr>
              <w:pStyle w:val="ListParagraph"/>
              <w:ind w:left="0"/>
              <w:jc w:val="both"/>
              <w:rPr>
                <w:rFonts w:cs="Arial"/>
                <w:b/>
                <w:i/>
                <w:szCs w:val="20"/>
              </w:rPr>
            </w:pPr>
          </w:p>
          <w:p w14:paraId="2C10386E" w14:textId="77777777" w:rsidR="00265510" w:rsidRPr="00CF59AB" w:rsidRDefault="00265510" w:rsidP="00C63EC3">
            <w:pPr>
              <w:pStyle w:val="ListParagraph"/>
              <w:ind w:left="0"/>
              <w:jc w:val="both"/>
              <w:rPr>
                <w:rFonts w:cs="Arial"/>
                <w:szCs w:val="20"/>
              </w:rPr>
            </w:pPr>
            <w:r w:rsidRPr="00CF59AB">
              <w:rPr>
                <w:rFonts w:cs="Arial"/>
                <w:szCs w:val="20"/>
              </w:rPr>
              <w:t>Whether customer consent could be required to switch to hydrogen.</w:t>
            </w:r>
          </w:p>
        </w:tc>
        <w:tc>
          <w:tcPr>
            <w:tcW w:w="11057" w:type="dxa"/>
            <w:tcMar>
              <w:top w:w="0" w:type="dxa"/>
              <w:left w:w="108" w:type="dxa"/>
              <w:bottom w:w="0" w:type="dxa"/>
              <w:right w:w="108" w:type="dxa"/>
            </w:tcMar>
          </w:tcPr>
          <w:p w14:paraId="0551A7BC" w14:textId="77777777" w:rsidR="00265510" w:rsidRDefault="00265510" w:rsidP="00C63EC3">
            <w:pPr>
              <w:pStyle w:val="ListParagraph"/>
              <w:ind w:left="0"/>
              <w:jc w:val="both"/>
              <w:rPr>
                <w:rFonts w:cs="Arial"/>
                <w:szCs w:val="20"/>
              </w:rPr>
            </w:pPr>
            <w:r>
              <w:rPr>
                <w:rFonts w:cs="Arial"/>
                <w:szCs w:val="20"/>
              </w:rPr>
              <w:t>It is SGN's intention to obtain customer consent to the switch and this will also be required under the licence conditions of the various licensed suppliers. SGN is also conscious of the need to ensure that the arrangements do not breach ScGN's obligations under its transporter licence to avoid it, any affiliate or any supplier obtaining any unfair commercial advantage.</w:t>
            </w:r>
          </w:p>
          <w:p w14:paraId="289C8D9F" w14:textId="77777777" w:rsidR="00265510" w:rsidRDefault="00265510" w:rsidP="00C63EC3">
            <w:pPr>
              <w:pStyle w:val="ListParagraph"/>
              <w:ind w:left="0"/>
              <w:jc w:val="both"/>
              <w:rPr>
                <w:rFonts w:cs="Arial"/>
                <w:szCs w:val="20"/>
              </w:rPr>
            </w:pPr>
          </w:p>
          <w:p w14:paraId="18F1DAB1" w14:textId="77777777" w:rsidR="00265510" w:rsidRDefault="00265510" w:rsidP="00C63EC3">
            <w:pPr>
              <w:pStyle w:val="ListParagraph"/>
              <w:ind w:left="0"/>
              <w:jc w:val="both"/>
              <w:rPr>
                <w:rFonts w:cs="Arial"/>
                <w:szCs w:val="20"/>
              </w:rPr>
            </w:pPr>
          </w:p>
          <w:p w14:paraId="115F682F" w14:textId="77777777" w:rsidR="00265510" w:rsidRDefault="00265510" w:rsidP="00C63EC3">
            <w:pPr>
              <w:pStyle w:val="ListParagraph"/>
              <w:ind w:left="0"/>
              <w:jc w:val="both"/>
              <w:rPr>
                <w:rFonts w:cs="Arial"/>
                <w:szCs w:val="20"/>
              </w:rPr>
            </w:pPr>
          </w:p>
          <w:p w14:paraId="142C892D" w14:textId="77777777" w:rsidR="00265510" w:rsidRDefault="00265510" w:rsidP="00C63EC3">
            <w:pPr>
              <w:pStyle w:val="ListParagraph"/>
              <w:ind w:left="0"/>
              <w:jc w:val="both"/>
              <w:rPr>
                <w:rFonts w:cs="Arial"/>
                <w:szCs w:val="20"/>
              </w:rPr>
            </w:pPr>
          </w:p>
          <w:p w14:paraId="0B973C5F" w14:textId="77777777" w:rsidR="00265510" w:rsidRPr="00681C3A" w:rsidRDefault="00265510" w:rsidP="00C63EC3">
            <w:pPr>
              <w:pStyle w:val="ListParagraph"/>
              <w:ind w:left="0"/>
              <w:jc w:val="both"/>
              <w:rPr>
                <w:rFonts w:cs="Arial"/>
                <w:b/>
                <w:i/>
                <w:szCs w:val="20"/>
              </w:rPr>
            </w:pPr>
            <w:r w:rsidRPr="00681C3A">
              <w:rPr>
                <w:rFonts w:cs="Arial"/>
                <w:b/>
                <w:i/>
                <w:szCs w:val="20"/>
              </w:rPr>
              <w:t xml:space="preserve">Detail: </w:t>
            </w:r>
          </w:p>
          <w:p w14:paraId="43F3C4C1" w14:textId="77777777" w:rsidR="00265510" w:rsidRDefault="00265510" w:rsidP="00C63EC3">
            <w:pPr>
              <w:pStyle w:val="ListParagraph"/>
              <w:ind w:left="0"/>
              <w:jc w:val="both"/>
              <w:rPr>
                <w:rFonts w:cs="Arial"/>
                <w:szCs w:val="20"/>
              </w:rPr>
            </w:pPr>
          </w:p>
          <w:p w14:paraId="79CFFB73" w14:textId="77777777" w:rsidR="00265510" w:rsidRDefault="00265510" w:rsidP="00C63EC3">
            <w:pPr>
              <w:pStyle w:val="ListParagraph"/>
              <w:ind w:left="0"/>
              <w:jc w:val="both"/>
              <w:rPr>
                <w:rFonts w:cs="Arial"/>
                <w:szCs w:val="20"/>
              </w:rPr>
            </w:pPr>
            <w:r>
              <w:rPr>
                <w:rFonts w:cs="Arial"/>
                <w:szCs w:val="20"/>
              </w:rPr>
              <w:t>It</w:t>
            </w:r>
            <w:r w:rsidRPr="0082083D">
              <w:rPr>
                <w:rFonts w:cs="Arial"/>
                <w:szCs w:val="20"/>
              </w:rPr>
              <w:t xml:space="preserve"> is intended that end customers will receive the supply of the hydrogen through their current supplier (or another supplier if they so choose). The contractual relationship will therefore be between the supplier and the customer and will be governed by the terms of that contra</w:t>
            </w:r>
            <w:r>
              <w:rPr>
                <w:rFonts w:cs="Arial"/>
                <w:szCs w:val="20"/>
              </w:rPr>
              <w:t>ct and the supplier's licence. T</w:t>
            </w:r>
            <w:r w:rsidRPr="0082083D">
              <w:rPr>
                <w:rFonts w:cs="Arial"/>
                <w:szCs w:val="20"/>
              </w:rPr>
              <w:t>he supply licences would contain (as part of the standard terms) requirements to treat domestic customer</w:t>
            </w:r>
            <w:r>
              <w:rPr>
                <w:rFonts w:cs="Arial"/>
                <w:szCs w:val="20"/>
              </w:rPr>
              <w:t>s</w:t>
            </w:r>
            <w:r w:rsidRPr="0082083D">
              <w:rPr>
                <w:rFonts w:cs="Arial"/>
                <w:szCs w:val="20"/>
              </w:rPr>
              <w:t xml:space="preserve"> fairly</w:t>
            </w:r>
            <w:r>
              <w:rPr>
                <w:rStyle w:val="FootnoteReference"/>
                <w:rFonts w:cs="Arial"/>
                <w:szCs w:val="20"/>
              </w:rPr>
              <w:footnoteReference w:id="24"/>
            </w:r>
            <w:r w:rsidRPr="0082083D">
              <w:rPr>
                <w:rFonts w:cs="Arial"/>
                <w:szCs w:val="20"/>
              </w:rPr>
              <w:t xml:space="preserve"> and to provide them with sufficient information to make informed decisions about their supply. Changes to the </w:t>
            </w:r>
            <w:r w:rsidRPr="0082083D">
              <w:rPr>
                <w:rFonts w:cs="Arial"/>
                <w:szCs w:val="20"/>
              </w:rPr>
              <w:lastRenderedPageBreak/>
              <w:t>contract terms will also have to be communicated. For example, the supplier cannot increase charges or unilaterally vary any other terms in a way which is to the disadvantage of the domestic customer</w:t>
            </w:r>
            <w:r>
              <w:rPr>
                <w:rStyle w:val="FootnoteReference"/>
                <w:rFonts w:cs="Arial"/>
                <w:szCs w:val="20"/>
              </w:rPr>
              <w:footnoteReference w:id="25"/>
            </w:r>
            <w:r w:rsidRPr="0082083D">
              <w:rPr>
                <w:rFonts w:cs="Arial"/>
                <w:szCs w:val="20"/>
              </w:rPr>
              <w:t>.</w:t>
            </w:r>
          </w:p>
          <w:p w14:paraId="3AEE54BA" w14:textId="77777777" w:rsidR="00265510" w:rsidRDefault="00265510" w:rsidP="00C63EC3">
            <w:pPr>
              <w:pStyle w:val="ListParagraph"/>
              <w:ind w:left="0"/>
              <w:jc w:val="both"/>
              <w:rPr>
                <w:rFonts w:cs="Arial"/>
                <w:szCs w:val="20"/>
              </w:rPr>
            </w:pPr>
          </w:p>
          <w:p w14:paraId="6435376A" w14:textId="77777777" w:rsidR="00265510" w:rsidRDefault="00265510" w:rsidP="00C63EC3">
            <w:pPr>
              <w:pStyle w:val="ListParagraph"/>
              <w:ind w:left="0"/>
              <w:jc w:val="both"/>
              <w:rPr>
                <w:rFonts w:cs="Arial"/>
                <w:szCs w:val="20"/>
              </w:rPr>
            </w:pPr>
            <w:r w:rsidRPr="00603C30">
              <w:rPr>
                <w:rFonts w:cs="Arial"/>
                <w:szCs w:val="20"/>
              </w:rPr>
              <w:t xml:space="preserve">In line with these principles, SGN is aware that customer consent will be required to ensure that customers can make an informed choice about taking on a supply of hydrogen (including, for example, whether they </w:t>
            </w:r>
            <w:r w:rsidRPr="003E0906">
              <w:rPr>
                <w:rFonts w:cs="Arial"/>
                <w:szCs w:val="20"/>
              </w:rPr>
              <w:t xml:space="preserve">have the correct appliances) and are aware of any changes to the charges and other terms (even though these are not intended to be to their detriment). Practically speaking, SGN plans to engage with </w:t>
            </w:r>
            <w:r w:rsidRPr="00375B18">
              <w:rPr>
                <w:rFonts w:cs="Arial"/>
                <w:szCs w:val="20"/>
              </w:rPr>
              <w:t xml:space="preserve">customers at the demonstration facility, including showing customers how the hydrogen specific appliances work and making arrangements for customers to </w:t>
            </w:r>
            <w:r w:rsidRPr="00603C30">
              <w:rPr>
                <w:rFonts w:cs="Arial"/>
                <w:szCs w:val="20"/>
              </w:rPr>
              <w:t>buy/ exchange appliances.</w:t>
            </w:r>
          </w:p>
          <w:p w14:paraId="689BC129" w14:textId="77777777" w:rsidR="00265510" w:rsidRDefault="00265510" w:rsidP="00C63EC3">
            <w:pPr>
              <w:pStyle w:val="ListParagraph"/>
              <w:ind w:left="0"/>
              <w:jc w:val="both"/>
              <w:rPr>
                <w:rFonts w:cs="Arial"/>
                <w:szCs w:val="20"/>
              </w:rPr>
            </w:pPr>
          </w:p>
          <w:p w14:paraId="3A4E3210" w14:textId="77777777" w:rsidR="00265510" w:rsidRPr="00C658D9" w:rsidRDefault="00265510" w:rsidP="00C63EC3">
            <w:pPr>
              <w:pStyle w:val="ListParagraph"/>
              <w:ind w:left="0"/>
              <w:jc w:val="both"/>
              <w:rPr>
                <w:rFonts w:cs="Arial"/>
                <w:szCs w:val="20"/>
              </w:rPr>
            </w:pPr>
            <w:r>
              <w:rPr>
                <w:rFonts w:cs="Arial"/>
                <w:szCs w:val="20"/>
              </w:rPr>
              <w:t>SGN will also ensure, via its agreements with the suppliers, that neither SGN nor the supplier obtains an unfair commercial advantage over the consumer</w:t>
            </w:r>
            <w:r>
              <w:rPr>
                <w:rStyle w:val="FootnoteReference"/>
                <w:rFonts w:cs="Arial"/>
                <w:szCs w:val="20"/>
              </w:rPr>
              <w:footnoteReference w:id="26"/>
            </w:r>
            <w:r>
              <w:rPr>
                <w:rFonts w:cs="Arial"/>
                <w:szCs w:val="20"/>
              </w:rPr>
              <w:t xml:space="preserve">, the intention of the project being to allow customers to 'opt in' if they wish but without any detriment to customers (for example, their prices will not rise). </w:t>
            </w:r>
          </w:p>
        </w:tc>
      </w:tr>
      <w:tr w:rsidR="00265510" w:rsidRPr="00C658D9" w14:paraId="4DEB977D" w14:textId="77777777" w:rsidTr="00C63EC3">
        <w:tc>
          <w:tcPr>
            <w:tcW w:w="426" w:type="dxa"/>
            <w:tcMar>
              <w:top w:w="0" w:type="dxa"/>
              <w:left w:w="108" w:type="dxa"/>
              <w:bottom w:w="0" w:type="dxa"/>
              <w:right w:w="108" w:type="dxa"/>
            </w:tcMar>
          </w:tcPr>
          <w:p w14:paraId="02DD62E8" w14:textId="77777777" w:rsidR="00265510" w:rsidRPr="00C658D9" w:rsidRDefault="00265510" w:rsidP="00265510">
            <w:pPr>
              <w:pStyle w:val="ListParagraph"/>
              <w:numPr>
                <w:ilvl w:val="0"/>
                <w:numId w:val="15"/>
              </w:numPr>
              <w:spacing w:line="240" w:lineRule="auto"/>
              <w:contextualSpacing w:val="0"/>
              <w:jc w:val="both"/>
              <w:rPr>
                <w:rFonts w:cs="Arial"/>
                <w:szCs w:val="20"/>
              </w:rPr>
            </w:pPr>
          </w:p>
        </w:tc>
        <w:tc>
          <w:tcPr>
            <w:tcW w:w="3231" w:type="dxa"/>
            <w:tcMar>
              <w:top w:w="0" w:type="dxa"/>
              <w:left w:w="108" w:type="dxa"/>
              <w:bottom w:w="0" w:type="dxa"/>
              <w:right w:w="108" w:type="dxa"/>
            </w:tcMar>
          </w:tcPr>
          <w:p w14:paraId="022802B3" w14:textId="77777777" w:rsidR="00265510" w:rsidRDefault="00265510" w:rsidP="00C63EC3">
            <w:pPr>
              <w:pStyle w:val="ListParagraph"/>
              <w:ind w:left="0"/>
              <w:jc w:val="both"/>
              <w:rPr>
                <w:rFonts w:cs="Arial"/>
                <w:b/>
                <w:i/>
                <w:szCs w:val="20"/>
              </w:rPr>
            </w:pPr>
            <w:r w:rsidRPr="003536E5">
              <w:rPr>
                <w:rFonts w:cs="Arial"/>
                <w:b/>
                <w:i/>
                <w:szCs w:val="20"/>
              </w:rPr>
              <w:t>References to 'gas'</w:t>
            </w:r>
          </w:p>
          <w:p w14:paraId="53FC4B25" w14:textId="77777777" w:rsidR="00265510" w:rsidRDefault="00265510" w:rsidP="00C63EC3">
            <w:pPr>
              <w:pStyle w:val="ListParagraph"/>
              <w:ind w:left="0"/>
              <w:jc w:val="both"/>
              <w:rPr>
                <w:rFonts w:cs="Arial"/>
                <w:b/>
                <w:i/>
                <w:szCs w:val="20"/>
              </w:rPr>
            </w:pPr>
          </w:p>
          <w:p w14:paraId="10DBAB2C" w14:textId="77777777" w:rsidR="00265510" w:rsidRPr="00CF59AB" w:rsidRDefault="00265510" w:rsidP="00C63EC3">
            <w:pPr>
              <w:pStyle w:val="ListParagraph"/>
              <w:ind w:left="0"/>
              <w:jc w:val="both"/>
              <w:rPr>
                <w:rFonts w:cs="Arial"/>
                <w:szCs w:val="20"/>
              </w:rPr>
            </w:pPr>
            <w:r w:rsidRPr="00CF59AB">
              <w:rPr>
                <w:rFonts w:cs="Arial"/>
                <w:szCs w:val="20"/>
              </w:rPr>
              <w:t xml:space="preserve">Whether hydrogen would be captured under the definition of 'gas' in key legislation.  </w:t>
            </w:r>
          </w:p>
        </w:tc>
        <w:tc>
          <w:tcPr>
            <w:tcW w:w="11057" w:type="dxa"/>
            <w:tcMar>
              <w:top w:w="0" w:type="dxa"/>
              <w:left w:w="108" w:type="dxa"/>
              <w:bottom w:w="0" w:type="dxa"/>
              <w:right w:w="108" w:type="dxa"/>
            </w:tcMar>
          </w:tcPr>
          <w:p w14:paraId="564275EC" w14:textId="77777777" w:rsidR="00265510" w:rsidRDefault="00265510" w:rsidP="00C63EC3">
            <w:pPr>
              <w:pStyle w:val="ListParagraph"/>
              <w:ind w:left="0"/>
              <w:jc w:val="both"/>
              <w:rPr>
                <w:rFonts w:cs="Arial"/>
                <w:szCs w:val="20"/>
              </w:rPr>
            </w:pPr>
            <w:r>
              <w:rPr>
                <w:rFonts w:cs="Arial"/>
                <w:szCs w:val="20"/>
              </w:rPr>
              <w:t>SGN shall ensure that, where it has the same obligations in respect of hydrogen as it does for natural gas, then it will comply with these obligations in full.</w:t>
            </w:r>
          </w:p>
          <w:p w14:paraId="4EB2CEC0" w14:textId="77777777" w:rsidR="00265510" w:rsidRDefault="00265510" w:rsidP="00C63EC3">
            <w:pPr>
              <w:pStyle w:val="ListParagraph"/>
              <w:ind w:left="0"/>
              <w:jc w:val="both"/>
              <w:rPr>
                <w:rFonts w:cs="Arial"/>
                <w:szCs w:val="20"/>
              </w:rPr>
            </w:pPr>
          </w:p>
          <w:p w14:paraId="3CB28ACB" w14:textId="77777777" w:rsidR="00265510" w:rsidRPr="00681C3A" w:rsidRDefault="00265510" w:rsidP="00C63EC3">
            <w:pPr>
              <w:pStyle w:val="ListParagraph"/>
              <w:ind w:left="0"/>
              <w:jc w:val="both"/>
              <w:rPr>
                <w:rFonts w:cs="Arial"/>
                <w:b/>
                <w:i/>
                <w:szCs w:val="20"/>
              </w:rPr>
            </w:pPr>
            <w:r w:rsidRPr="00681C3A">
              <w:rPr>
                <w:rFonts w:cs="Arial"/>
                <w:b/>
                <w:i/>
                <w:szCs w:val="20"/>
              </w:rPr>
              <w:t>Detail:</w:t>
            </w:r>
          </w:p>
          <w:p w14:paraId="28836EEE" w14:textId="77777777" w:rsidR="00265510" w:rsidRDefault="00265510" w:rsidP="00C63EC3">
            <w:pPr>
              <w:pStyle w:val="ListParagraph"/>
              <w:ind w:left="0"/>
              <w:jc w:val="both"/>
              <w:rPr>
                <w:rFonts w:cs="Arial"/>
                <w:szCs w:val="20"/>
              </w:rPr>
            </w:pPr>
          </w:p>
          <w:p w14:paraId="55436A7D" w14:textId="77777777" w:rsidR="00265510" w:rsidRDefault="00265510" w:rsidP="00C63EC3">
            <w:pPr>
              <w:pStyle w:val="ListParagraph"/>
              <w:ind w:left="0"/>
              <w:jc w:val="both"/>
              <w:rPr>
                <w:rFonts w:cs="Arial"/>
                <w:szCs w:val="20"/>
              </w:rPr>
            </w:pPr>
            <w:r>
              <w:rPr>
                <w:rFonts w:cs="Arial"/>
                <w:szCs w:val="20"/>
              </w:rPr>
              <w:t>We have reviewed the following key pieces of legislation:</w:t>
            </w:r>
          </w:p>
          <w:p w14:paraId="165928EF" w14:textId="77777777" w:rsidR="00265510" w:rsidRDefault="00265510" w:rsidP="00C63EC3">
            <w:pPr>
              <w:pStyle w:val="ListParagraph"/>
              <w:ind w:left="0"/>
              <w:jc w:val="both"/>
              <w:rPr>
                <w:rFonts w:cs="Arial"/>
                <w:szCs w:val="20"/>
              </w:rPr>
            </w:pPr>
          </w:p>
          <w:p w14:paraId="75842566" w14:textId="77777777" w:rsidR="00265510" w:rsidRDefault="00265510" w:rsidP="00C63EC3">
            <w:pPr>
              <w:pStyle w:val="ListParagraph"/>
              <w:ind w:left="0"/>
              <w:jc w:val="both"/>
              <w:rPr>
                <w:rFonts w:cs="Arial"/>
                <w:szCs w:val="20"/>
              </w:rPr>
            </w:pPr>
            <w:r>
              <w:rPr>
                <w:rFonts w:cs="Arial"/>
                <w:szCs w:val="20"/>
              </w:rPr>
              <w:t>(a) Gas Act 1986 – hydrogen is caught in the definition of gas;</w:t>
            </w:r>
          </w:p>
          <w:p w14:paraId="699BAC51" w14:textId="77777777" w:rsidR="00265510" w:rsidRDefault="00265510" w:rsidP="00C63EC3">
            <w:pPr>
              <w:pStyle w:val="ListParagraph"/>
              <w:ind w:left="0"/>
              <w:jc w:val="both"/>
              <w:rPr>
                <w:rFonts w:cs="Arial"/>
                <w:szCs w:val="20"/>
              </w:rPr>
            </w:pPr>
          </w:p>
          <w:p w14:paraId="142E9FC8" w14:textId="07DED4BF" w:rsidR="00265510" w:rsidRDefault="00265510" w:rsidP="00C63EC3">
            <w:pPr>
              <w:pStyle w:val="ListParagraph"/>
              <w:ind w:left="0"/>
              <w:jc w:val="both"/>
              <w:rPr>
                <w:rFonts w:cs="Arial"/>
                <w:szCs w:val="20"/>
              </w:rPr>
            </w:pPr>
            <w:r>
              <w:rPr>
                <w:rFonts w:cs="Arial"/>
                <w:szCs w:val="20"/>
              </w:rPr>
              <w:lastRenderedPageBreak/>
              <w:t xml:space="preserve">(b) Gas Safety (Installation and Use) Regulations 1998 – 'gas' has the same meaning as in the Gas Act, save that it does not include gas which is wholly/mainly hydrogen which is used in </w:t>
            </w:r>
            <w:r w:rsidRPr="00A27804">
              <w:rPr>
                <w:rFonts w:cs="Arial"/>
                <w:szCs w:val="20"/>
              </w:rPr>
              <w:t>non-domestic premises</w:t>
            </w:r>
            <w:r>
              <w:rPr>
                <w:rFonts w:cs="Arial"/>
                <w:szCs w:val="20"/>
              </w:rPr>
              <w:t>;</w:t>
            </w:r>
          </w:p>
          <w:p w14:paraId="5BB474E6" w14:textId="77777777" w:rsidR="00265510" w:rsidRDefault="00265510" w:rsidP="00C63EC3">
            <w:pPr>
              <w:pStyle w:val="ListParagraph"/>
              <w:ind w:left="0"/>
              <w:jc w:val="both"/>
              <w:rPr>
                <w:rFonts w:cs="Arial"/>
                <w:szCs w:val="20"/>
              </w:rPr>
            </w:pPr>
          </w:p>
          <w:p w14:paraId="34F59311" w14:textId="77777777" w:rsidR="00265510" w:rsidRDefault="00265510" w:rsidP="00C63EC3">
            <w:pPr>
              <w:pStyle w:val="ListParagraph"/>
              <w:ind w:left="0"/>
              <w:jc w:val="both"/>
              <w:rPr>
                <w:rFonts w:cs="Arial"/>
                <w:szCs w:val="20"/>
              </w:rPr>
            </w:pPr>
            <w:r>
              <w:rPr>
                <w:rFonts w:cs="Arial"/>
                <w:szCs w:val="20"/>
              </w:rPr>
              <w:t>(c) the Pipelines Safety Regulations 1996 – 'gas' has the same meaning as in the Gas Act;</w:t>
            </w:r>
          </w:p>
          <w:p w14:paraId="4C17C226" w14:textId="77777777" w:rsidR="00265510" w:rsidRDefault="00265510" w:rsidP="00C63EC3">
            <w:pPr>
              <w:pStyle w:val="ListParagraph"/>
              <w:ind w:left="0"/>
              <w:jc w:val="both"/>
              <w:rPr>
                <w:rFonts w:cs="Arial"/>
                <w:szCs w:val="20"/>
              </w:rPr>
            </w:pPr>
          </w:p>
          <w:p w14:paraId="468016E1" w14:textId="77777777" w:rsidR="00265510" w:rsidRPr="00681C3A" w:rsidRDefault="00265510" w:rsidP="00C63EC3">
            <w:pPr>
              <w:pStyle w:val="ListParagraph"/>
              <w:ind w:left="0"/>
              <w:jc w:val="both"/>
              <w:rPr>
                <w:rFonts w:cs="Arial"/>
                <w:szCs w:val="20"/>
              </w:rPr>
            </w:pPr>
            <w:r>
              <w:rPr>
                <w:rFonts w:cs="Arial"/>
                <w:szCs w:val="20"/>
              </w:rPr>
              <w:t xml:space="preserve">(d) </w:t>
            </w:r>
            <w:r w:rsidRPr="00681C3A">
              <w:rPr>
                <w:rFonts w:cs="Arial"/>
                <w:szCs w:val="20"/>
              </w:rPr>
              <w:t xml:space="preserve">the Pressure Systems Safety Regulations 2000 </w:t>
            </w:r>
            <w:r>
              <w:rPr>
                <w:rFonts w:cs="Arial"/>
                <w:szCs w:val="20"/>
              </w:rPr>
              <w:t>(under the Health and Safety at Work Act 1974, rather than the Gas Act)</w:t>
            </w:r>
            <w:r w:rsidRPr="00681C3A">
              <w:rPr>
                <w:rFonts w:cs="Arial"/>
                <w:szCs w:val="20"/>
              </w:rPr>
              <w:t xml:space="preserve">– no definition of gas </w:t>
            </w:r>
            <w:r>
              <w:rPr>
                <w:rFonts w:cs="Arial"/>
                <w:szCs w:val="20"/>
              </w:rPr>
              <w:t>apparent. These regulations reference 'gas' generally under the definition of 'relevant fluid', e.g. 'a gas dissolved under pressure in a solvent contained in a porous substance at ambient temperature and which could be released from solvent without the application of heat'</w:t>
            </w:r>
            <w:r>
              <w:rPr>
                <w:rStyle w:val="FootnoteReference"/>
                <w:rFonts w:cs="Arial"/>
                <w:szCs w:val="20"/>
              </w:rPr>
              <w:footnoteReference w:id="27"/>
            </w:r>
            <w:r>
              <w:rPr>
                <w:rFonts w:cs="Arial"/>
                <w:szCs w:val="20"/>
              </w:rPr>
              <w:t>. The key question would therefore appear to be whether the 'gas' (hydrogen or otherwise) fitted the definition of relevant fluid in each case</w:t>
            </w:r>
            <w:r w:rsidRPr="00681C3A">
              <w:rPr>
                <w:rFonts w:cs="Arial"/>
                <w:szCs w:val="20"/>
              </w:rPr>
              <w:t>;</w:t>
            </w:r>
          </w:p>
          <w:p w14:paraId="3AFA7EDE" w14:textId="77777777" w:rsidR="00265510" w:rsidRPr="00681C3A" w:rsidRDefault="00265510" w:rsidP="00C63EC3">
            <w:pPr>
              <w:pStyle w:val="ListParagraph"/>
              <w:ind w:left="0"/>
              <w:jc w:val="both"/>
              <w:rPr>
                <w:rFonts w:cs="Arial"/>
                <w:szCs w:val="20"/>
              </w:rPr>
            </w:pPr>
          </w:p>
          <w:p w14:paraId="36E1EF47" w14:textId="77777777" w:rsidR="00265510" w:rsidRPr="004515B8" w:rsidRDefault="00265510" w:rsidP="00C63EC3">
            <w:pPr>
              <w:pStyle w:val="ListParagraph"/>
              <w:ind w:left="0"/>
              <w:jc w:val="both"/>
              <w:rPr>
                <w:rFonts w:cs="Arial"/>
                <w:szCs w:val="20"/>
              </w:rPr>
            </w:pPr>
            <w:r w:rsidRPr="00681C3A">
              <w:rPr>
                <w:rFonts w:cs="Arial"/>
                <w:szCs w:val="20"/>
              </w:rPr>
              <w:t xml:space="preserve">(e) </w:t>
            </w:r>
            <w:r w:rsidRPr="004515B8">
              <w:rPr>
                <w:rFonts w:cs="Arial"/>
                <w:szCs w:val="20"/>
              </w:rPr>
              <w:t>the Control of Major Accident Hazards Regulations 2015 – a definition of 'gas' is not given. However, hydrogen is specifically listed in the schedules as a 'dangerous substance'</w:t>
            </w:r>
            <w:r w:rsidRPr="004515B8">
              <w:rPr>
                <w:rStyle w:val="FootnoteReference"/>
                <w:rFonts w:cs="Arial"/>
                <w:szCs w:val="20"/>
              </w:rPr>
              <w:footnoteReference w:id="28"/>
            </w:r>
            <w:r w:rsidRPr="004515B8">
              <w:rPr>
                <w:rFonts w:cs="Arial"/>
                <w:szCs w:val="20"/>
              </w:rPr>
              <w:t>, meaning that the rules therein in relation to dangerous substances and establishments where dangerous substances are present will apply;</w:t>
            </w:r>
          </w:p>
          <w:p w14:paraId="14A54E76" w14:textId="77777777" w:rsidR="00265510" w:rsidRPr="004515B8" w:rsidRDefault="00265510" w:rsidP="00C63EC3">
            <w:pPr>
              <w:pStyle w:val="ListParagraph"/>
              <w:ind w:left="0"/>
              <w:jc w:val="both"/>
              <w:rPr>
                <w:rFonts w:cs="Arial"/>
                <w:szCs w:val="20"/>
              </w:rPr>
            </w:pPr>
          </w:p>
          <w:p w14:paraId="24BFCC47" w14:textId="77777777" w:rsidR="00265510" w:rsidRDefault="00265510" w:rsidP="00C63EC3">
            <w:pPr>
              <w:pStyle w:val="ListParagraph"/>
              <w:ind w:left="0"/>
              <w:jc w:val="both"/>
              <w:rPr>
                <w:rFonts w:cs="Arial"/>
                <w:szCs w:val="20"/>
              </w:rPr>
            </w:pPr>
            <w:r w:rsidRPr="004515B8">
              <w:rPr>
                <w:rFonts w:cs="Arial"/>
                <w:szCs w:val="20"/>
              </w:rPr>
              <w:t>(f) the Gas (Standards of Performance) Regulations 2005 – no definition of gas apparent. However, since the regulations were made pursuant to powers under the</w:t>
            </w:r>
            <w:r>
              <w:rPr>
                <w:rFonts w:cs="Arial"/>
                <w:szCs w:val="20"/>
              </w:rPr>
              <w:t xml:space="preserve"> Gas Act, the Gas Act definition should apply;</w:t>
            </w:r>
          </w:p>
          <w:p w14:paraId="6D0C773D" w14:textId="77777777" w:rsidR="00265510" w:rsidRDefault="00265510" w:rsidP="00C63EC3">
            <w:pPr>
              <w:pStyle w:val="ListParagraph"/>
              <w:ind w:left="0"/>
              <w:jc w:val="both"/>
              <w:rPr>
                <w:rFonts w:cs="Arial"/>
                <w:szCs w:val="20"/>
              </w:rPr>
            </w:pPr>
          </w:p>
          <w:p w14:paraId="124748E3" w14:textId="77777777" w:rsidR="00265510" w:rsidRDefault="00265510" w:rsidP="00C63EC3">
            <w:pPr>
              <w:pStyle w:val="ListParagraph"/>
              <w:ind w:left="0"/>
              <w:jc w:val="both"/>
              <w:rPr>
                <w:rFonts w:cs="Arial"/>
                <w:szCs w:val="20"/>
              </w:rPr>
            </w:pPr>
            <w:r>
              <w:rPr>
                <w:rFonts w:cs="Arial"/>
                <w:szCs w:val="20"/>
              </w:rPr>
              <w:t>(g) Gas Safety Rights of Entry Regulations 1996 – no definition of gas apparent. However, the regulations were made pursuant to powers under the Gas Act, the Gas Act definition should apply.</w:t>
            </w:r>
          </w:p>
          <w:p w14:paraId="53C3EB54" w14:textId="77777777" w:rsidR="00265510" w:rsidRDefault="00265510" w:rsidP="00C63EC3">
            <w:pPr>
              <w:pStyle w:val="ListParagraph"/>
              <w:ind w:left="0"/>
              <w:jc w:val="both"/>
              <w:rPr>
                <w:rFonts w:cs="Arial"/>
                <w:szCs w:val="20"/>
              </w:rPr>
            </w:pPr>
          </w:p>
          <w:p w14:paraId="1E27DE91" w14:textId="77777777" w:rsidR="00265510" w:rsidRDefault="00265510" w:rsidP="00C63EC3">
            <w:pPr>
              <w:pStyle w:val="ListParagraph"/>
              <w:ind w:left="0"/>
              <w:jc w:val="both"/>
              <w:rPr>
                <w:rFonts w:cs="Arial"/>
                <w:szCs w:val="20"/>
              </w:rPr>
            </w:pPr>
          </w:p>
          <w:p w14:paraId="7A922D79" w14:textId="77777777" w:rsidR="00265510" w:rsidRDefault="00265510" w:rsidP="00C63EC3">
            <w:pPr>
              <w:pStyle w:val="ListParagraph"/>
              <w:ind w:left="0"/>
              <w:jc w:val="both"/>
              <w:rPr>
                <w:rFonts w:cs="Arial"/>
                <w:szCs w:val="20"/>
              </w:rPr>
            </w:pPr>
            <w:r>
              <w:rPr>
                <w:rFonts w:cs="Arial"/>
                <w:szCs w:val="20"/>
              </w:rPr>
              <w:t xml:space="preserve">Where hydrogen is included, SGN would </w:t>
            </w:r>
            <w:r w:rsidRPr="006429FB">
              <w:rPr>
                <w:rFonts w:cs="Arial"/>
                <w:szCs w:val="20"/>
              </w:rPr>
              <w:t xml:space="preserve">have </w:t>
            </w:r>
            <w:r>
              <w:rPr>
                <w:rFonts w:cs="Arial"/>
                <w:szCs w:val="20"/>
              </w:rPr>
              <w:t>the same rights and obligations in respect to such gas.</w:t>
            </w:r>
          </w:p>
          <w:p w14:paraId="54E78220" w14:textId="77777777" w:rsidR="00265510" w:rsidRDefault="00265510" w:rsidP="00C63EC3">
            <w:pPr>
              <w:pStyle w:val="ListParagraph"/>
              <w:ind w:left="0"/>
              <w:jc w:val="both"/>
              <w:rPr>
                <w:rFonts w:cs="Arial"/>
                <w:szCs w:val="20"/>
              </w:rPr>
            </w:pPr>
          </w:p>
          <w:p w14:paraId="5077F98A" w14:textId="77777777" w:rsidR="00265510" w:rsidRDefault="00265510" w:rsidP="00C63EC3">
            <w:pPr>
              <w:pStyle w:val="ListParagraph"/>
              <w:ind w:left="0"/>
              <w:jc w:val="both"/>
              <w:rPr>
                <w:rFonts w:cs="Arial"/>
                <w:szCs w:val="20"/>
              </w:rPr>
            </w:pPr>
            <w:r>
              <w:rPr>
                <w:rFonts w:cs="Arial"/>
                <w:szCs w:val="20"/>
              </w:rPr>
              <w:t>Where a specific definition of 'gas' is not included within the regulations, SGN will (where relevant) assume it has the same obligations, e.g. re standards of performance where the regulations are made under the Gas Act or where otherwise consistent with the wording of the regulations.</w:t>
            </w:r>
          </w:p>
          <w:p w14:paraId="25ACFCE6" w14:textId="77777777" w:rsidR="00265510" w:rsidRDefault="00265510" w:rsidP="00C63EC3">
            <w:pPr>
              <w:pStyle w:val="ListParagraph"/>
              <w:ind w:left="0"/>
              <w:jc w:val="both"/>
              <w:rPr>
                <w:rFonts w:cs="Arial"/>
                <w:szCs w:val="20"/>
              </w:rPr>
            </w:pPr>
          </w:p>
          <w:p w14:paraId="786ECE41" w14:textId="77777777" w:rsidR="00265510" w:rsidRPr="00C658D9" w:rsidRDefault="00265510" w:rsidP="00C63EC3">
            <w:pPr>
              <w:pStyle w:val="ListParagraph"/>
              <w:ind w:left="0"/>
              <w:jc w:val="both"/>
              <w:rPr>
                <w:rFonts w:cs="Arial"/>
                <w:szCs w:val="20"/>
              </w:rPr>
            </w:pPr>
            <w:r>
              <w:rPr>
                <w:rFonts w:cs="Arial"/>
                <w:szCs w:val="20"/>
              </w:rPr>
              <w:t xml:space="preserve">For an example of where hydrogen is not included in the definition of 'gas' at all, please see our comments on the GS(M)R above. </w:t>
            </w:r>
          </w:p>
        </w:tc>
      </w:tr>
    </w:tbl>
    <w:p w14:paraId="621F6442" w14:textId="77777777" w:rsidR="00265510" w:rsidRDefault="00265510" w:rsidP="00265510">
      <w:pPr>
        <w:pStyle w:val="BodyText"/>
        <w:spacing w:line="240" w:lineRule="auto"/>
        <w:rPr>
          <w:rFonts w:ascii="Verdana" w:hAnsi="Verdana"/>
        </w:rPr>
      </w:pPr>
    </w:p>
    <w:p w14:paraId="69562D9D" w14:textId="77777777" w:rsidR="00265510" w:rsidRPr="00845D18" w:rsidRDefault="00265510" w:rsidP="00265510">
      <w:pPr>
        <w:pStyle w:val="BodyText"/>
        <w:spacing w:line="240" w:lineRule="auto"/>
        <w:rPr>
          <w:rFonts w:ascii="Verdana" w:hAnsi="Verdana"/>
        </w:rPr>
      </w:pPr>
    </w:p>
    <w:p w14:paraId="2A20C09F" w14:textId="77777777" w:rsidR="00265510" w:rsidRPr="00E3038A" w:rsidRDefault="00265510" w:rsidP="00265510">
      <w:pPr>
        <w:pStyle w:val="BodyText"/>
        <w:spacing w:line="240" w:lineRule="auto"/>
      </w:pPr>
    </w:p>
    <w:p w14:paraId="1EBB37E4" w14:textId="47257C92" w:rsidR="00404EE8" w:rsidRPr="00B11441" w:rsidRDefault="00404EE8" w:rsidP="00404EE8"/>
    <w:sectPr w:rsidR="00404EE8" w:rsidRPr="00B11441" w:rsidSect="00C63EC3">
      <w:headerReference w:type="even" r:id="rId18"/>
      <w:headerReference w:type="default" r:id="rId19"/>
      <w:footerReference w:type="even" r:id="rId20"/>
      <w:footerReference w:type="default" r:id="rId21"/>
      <w:headerReference w:type="first" r:id="rId22"/>
      <w:footerReference w:type="first" r:id="rId23"/>
      <w:pgSz w:w="16838" w:h="11906" w:orient="landscape" w:code="9"/>
      <w:pgMar w:top="1440" w:right="1440" w:bottom="1440" w:left="1440" w:header="567" w:footer="425"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E42B4" w14:textId="77777777" w:rsidR="00C63EC3" w:rsidRDefault="00C63EC3" w:rsidP="001F6E93">
      <w:r>
        <w:separator/>
      </w:r>
    </w:p>
  </w:endnote>
  <w:endnote w:type="continuationSeparator" w:id="0">
    <w:p w14:paraId="7990B215" w14:textId="77777777" w:rsidR="00C63EC3" w:rsidRDefault="00C63EC3" w:rsidP="001F6E93">
      <w:r>
        <w:continuationSeparator/>
      </w:r>
    </w:p>
  </w:endnote>
  <w:endnote w:type="continuationNotice" w:id="1">
    <w:p w14:paraId="68A51AAD" w14:textId="77777777" w:rsidR="00C63EC3" w:rsidRDefault="00C63E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58242"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9A72F8" id="_x0000_t202" coordsize="21600,21600" o:spt="202" path="m,l,21600r21600,l21600,xe">
              <v:stroke joinstyle="miter"/>
              <v:path gradientshapeok="t" o:connecttype="rect"/>
            </v:shapetype>
            <v:shape id="MSIPCM15e543789a96702be23cbf3d" o:spid="_x0000_s1026" type="#_x0000_t202" alt="{&quot;HashCode&quot;:2051471737,&quot;Height&quot;:842.0,&quot;Width&quot;:595.0,&quot;Placement&quot;:&quot;Footer&quot;,&quot;Index&quot;:&quot;Primary&quot;,&quot;Section&quot;:1,&quot;Top&quot;:0.0,&quot;Left&quot;:0.0}" style="position:absolute;margin-left:0;margin-top:805.45pt;width:59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o:allowincell="f" filled="f" stroked="f" strokeweight=".5pt">
              <v:textbox inset="20pt,0,,0">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8241"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5" name="Picture 5"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C4B92" w14:textId="77777777" w:rsidR="009E67D8" w:rsidRDefault="009E67D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8EECB" w14:textId="77777777" w:rsidR="00C63EC3" w:rsidRDefault="00C63EC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25620" w14:textId="77777777" w:rsidR="00C63EC3" w:rsidRDefault="009E016E">
    <w:pPr>
      <w:pStyle w:val="Footer"/>
    </w:pPr>
    <w:r>
      <w:rPr>
        <w:noProof/>
      </w:rPr>
      <mc:AlternateContent>
        <mc:Choice Requires="wps">
          <w:drawing>
            <wp:anchor distT="0" distB="0" distL="114300" distR="114300" simplePos="0" relativeHeight="251658243" behindDoc="0" locked="0" layoutInCell="0" allowOverlap="1" wp14:anchorId="2B761008" wp14:editId="6B51D061">
              <wp:simplePos x="0" y="0"/>
              <wp:positionH relativeFrom="page">
                <wp:posOffset>0</wp:posOffset>
              </wp:positionH>
              <wp:positionV relativeFrom="page">
                <wp:posOffset>7096125</wp:posOffset>
              </wp:positionV>
              <wp:extent cx="10692130" cy="273050"/>
              <wp:effectExtent l="0" t="0" r="0" b="12700"/>
              <wp:wrapNone/>
              <wp:docPr id="1" name="MSIPCMa095405f81bd9bf121f74b5b" descr="{&quot;HashCode&quot;:2051471737,&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C134AA" w14:textId="77777777" w:rsidR="00C63EC3" w:rsidRPr="00EA4DE4" w:rsidRDefault="009E016E" w:rsidP="00C63EC3">
                          <w:pPr>
                            <w:rPr>
                              <w:rFonts w:ascii="Calibri" w:hAnsi="Calibri" w:cs="Calibri"/>
                              <w:color w:val="000000"/>
                            </w:rPr>
                          </w:pPr>
                          <w:r w:rsidRPr="00EA4DE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B761008" id="_x0000_t202" coordsize="21600,21600" o:spt="202" path="m,l,21600r21600,l21600,xe">
              <v:stroke joinstyle="miter"/>
              <v:path gradientshapeok="t" o:connecttype="rect"/>
            </v:shapetype>
            <v:shape id="MSIPCMa095405f81bd9bf121f74b5b" o:spid="_x0000_s1027" type="#_x0000_t202" alt="{&quot;HashCode&quot;:2051471737,&quot;Height&quot;:595.0,&quot;Width&quot;:841.0,&quot;Placement&quot;:&quot;Footer&quot;,&quot;Index&quot;:&quot;Primary&quot;,&quot;Section&quot;:1,&quot;Top&quot;:0.0,&quot;Left&quot;:0.0}" style="position:absolute;margin-left:0;margin-top:558.75pt;width:841.9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hffIQMAAD8GAAAOAAAAZHJzL2Uyb0RvYy54bWysVEtv4zYQvhfofyB46KmOHpEfcuMsEgdu&#10;A3h3DThFzpRERUQlUkvSsdLF/vd+pKjsZttDUfRCDmeG8/xmrt4NXUueuTZCyQ1NLmJKuCxVJeTT&#10;hv7+sJutKDGWyYq1SvINfeGGvrv+8Yerc7/mqWpUW3FNYESa9bnf0Mbafh1Fpmx4x8yF6rmEsFa6&#10;YxZP/RRVmp1hvWujNI4X0Vnpqteq5MaAezcK6bW3X9e8tB/r2nBL2g1FbNaf2p+FO6PrK7Z+0qxv&#10;RBnCYP8hio4JCaevpu6YZeSkxd9MdaLUyqjaXpSqi1Rdi5L7HJBNEn+XzbFhPfe5oDimfy2T+f/M&#10;lh+eD5qICr2jRLIOLXp/vD9s37M4n2fxvF4lRZUXdZIm9TIr5gUlFTclKvj5p08nZX/5jZlmqyo+&#10;vtZpPE+yZbK8XP4c5Fw8NTZI5/n8Ig6CR1HZJvBXGZAT+IeWlbzjcvozquyUslyPdFC8lxUfgoHx&#10;OmjRMf3yRusICACbQS8Jfx9UHzjxq+M9ryefYH5x0Dj3Zo0KHXvUyA63anBlCnwDpuv4UOvO3egl&#10;gRwge3kFFh8sKd2neJGnySVkJYTp8jKee+hFX7/32thfueqIIzZUI2wPKPa8NxYuoTqpOG9S7UTb&#10;evS2kpw3dHEJk28k+NFKx0EUsBGoEZWf8yTN4ts0n+0Wq+Us22XzWb6MV7M4yW/zRZzl2d3ui7OX&#10;ZOtGVBWXeyH5NCFJ9u8QGGZ1xLafkTehGtWKyuXhYnPZbVtNnhlGtQAI/nCVRhLfaEVvw/FiZDfd&#10;PsvINW1sjqPsUAwB36Fxhape0E+tUGZ0xPTlTsD3nhl7YBrTDyY2mv2Io24VaqsCRUmj9J//xHf6&#10;KAmklJyxTTbUfDoxzSlp7yXGNcUsxbBr/QuE9kSeZBkexcSVp26rkD5mEWF50unadiJrrbpHbLwb&#10;5w4iJks4Rb0mcmvxggAbs+Q3N57GpumZ3ctjXzrTU7Efhkem+4A3izJ+UNPCYevvYDfqup9S3Zys&#10;qoXHpCvwWE60wD2wpXwzwkZ1a/Dbt9f6uvev/wIAAP//AwBQSwMEFAAGAAgAAAAhAI493V/fAAAA&#10;CwEAAA8AAABkcnMvZG93bnJldi54bWxMj8FOwzAQRO9I/IO1SNyoE1BDCXGqqlKR4IBK6Ae48ZKk&#10;xOvIdtrw92xOcNyZ0ey8Yj3ZXpzRh86RgnSRgECqnemoUXD43N2tQISoyejeESr4wQDr8vqq0Llx&#10;F/rAcxUbwSUUcq2gjXHIpQx1i1aHhRuQ2Pty3urIp2+k8frC5baX90mSSas74g+tHnDbYv1djVbB&#10;Bsc0vPa700t3qPZvp/fozfZJqdubafMMIuIU/8Iwz+fpUPKmoxvJBNErYJDIapo+LkHMfrZ6YJbj&#10;rGXJEmRZyP8M5S8AAAD//wMAUEsBAi0AFAAGAAgAAAAhALaDOJL+AAAA4QEAABMAAAAAAAAAAAAA&#10;AAAAAAAAAFtDb250ZW50X1R5cGVzXS54bWxQSwECLQAUAAYACAAAACEAOP0h/9YAAACUAQAACwAA&#10;AAAAAAAAAAAAAAAvAQAAX3JlbHMvLnJlbHNQSwECLQAUAAYACAAAACEA2ZYX3yEDAAA/BgAADgAA&#10;AAAAAAAAAAAAAAAuAgAAZHJzL2Uyb0RvYy54bWxQSwECLQAUAAYACAAAACEAjj3dX98AAAALAQAA&#10;DwAAAAAAAAAAAAAAAAB7BQAAZHJzL2Rvd25yZXYueG1sUEsFBgAAAAAEAAQA8wAAAIcGAAAAAA==&#10;" o:allowincell="f" filled="f" stroked="f" strokeweight=".5pt">
              <v:textbox inset="20pt,0,,0">
                <w:txbxContent>
                  <w:p w14:paraId="70C134AA" w14:textId="77777777" w:rsidR="00C63EC3" w:rsidRPr="00EA4DE4" w:rsidRDefault="009E016E" w:rsidP="00C63EC3">
                    <w:pPr>
                      <w:rPr>
                        <w:rFonts w:ascii="Calibri" w:hAnsi="Calibri" w:cs="Calibri"/>
                        <w:color w:val="000000"/>
                      </w:rPr>
                    </w:pPr>
                    <w:r w:rsidRPr="00EA4DE4">
                      <w:rPr>
                        <w:rFonts w:ascii="Calibri" w:hAnsi="Calibri" w:cs="Calibri"/>
                        <w:color w:val="000000"/>
                      </w:rPr>
                      <w:t>Classified as Internal</w:t>
                    </w:r>
                  </w:p>
                </w:txbxContent>
              </v:textbox>
              <w10:wrap anchorx="page" anchory="page"/>
            </v:shape>
          </w:pict>
        </mc:Fallback>
      </mc:AlternateContent>
    </w:r>
  </w:p>
  <w:sdt>
    <w:sdtPr>
      <w:alias w:val="Document Reference"/>
      <w:tag w:val="Document Reference"/>
      <w:id w:val="-577825079"/>
      <w:text/>
    </w:sdtPr>
    <w:sdtEndPr/>
    <w:sdtContent>
      <w:p w14:paraId="24DEB576" w14:textId="77777777" w:rsidR="00C63EC3" w:rsidRDefault="009E016E">
        <w:pPr>
          <w:pStyle w:val="Footer"/>
        </w:pPr>
        <w:r>
          <w:t>10-40244310-4\357663-173</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C5749" w14:textId="77777777" w:rsidR="00C63EC3" w:rsidRDefault="00C63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36E9D" w14:textId="77777777" w:rsidR="00C63EC3" w:rsidRDefault="00C63EC3" w:rsidP="001F6E93">
      <w:r>
        <w:separator/>
      </w:r>
    </w:p>
  </w:footnote>
  <w:footnote w:type="continuationSeparator" w:id="0">
    <w:p w14:paraId="19E0D0B3" w14:textId="77777777" w:rsidR="00C63EC3" w:rsidRDefault="00C63EC3" w:rsidP="001F6E93">
      <w:r>
        <w:continuationSeparator/>
      </w:r>
    </w:p>
  </w:footnote>
  <w:footnote w:type="continuationNotice" w:id="1">
    <w:p w14:paraId="515F0571" w14:textId="77777777" w:rsidR="00C63EC3" w:rsidRDefault="00C63EC3">
      <w:pPr>
        <w:spacing w:line="240" w:lineRule="auto"/>
      </w:pPr>
    </w:p>
  </w:footnote>
  <w:footnote w:id="2">
    <w:p w14:paraId="458A4C68" w14:textId="77777777" w:rsidR="00265510" w:rsidRDefault="00265510" w:rsidP="00265510">
      <w:pPr>
        <w:pStyle w:val="FootnoteText"/>
      </w:pPr>
      <w:r>
        <w:rPr>
          <w:rStyle w:val="FootnoteReference"/>
        </w:rPr>
        <w:footnoteRef/>
      </w:r>
      <w:r>
        <w:t xml:space="preserve"> Regulation 6 of the Gas </w:t>
      </w:r>
      <w:r w:rsidRPr="00470C80">
        <w:t>(Calculation of T</w:t>
      </w:r>
      <w:r>
        <w:t xml:space="preserve">hermal Energy) Regulations 1996. </w:t>
      </w:r>
      <w:r w:rsidRPr="00470C80">
        <w:t xml:space="preserve"> </w:t>
      </w:r>
    </w:p>
  </w:footnote>
  <w:footnote w:id="3">
    <w:p w14:paraId="65A217E8" w14:textId="77777777" w:rsidR="00265510" w:rsidRDefault="00265510" w:rsidP="00265510">
      <w:pPr>
        <w:pStyle w:val="FootnoteText"/>
      </w:pPr>
      <w:r>
        <w:rPr>
          <w:rStyle w:val="FootnoteReference"/>
        </w:rPr>
        <w:footnoteRef/>
      </w:r>
      <w:r>
        <w:t xml:space="preserve"> Section 5 of the Gas Act 1986. </w:t>
      </w:r>
    </w:p>
  </w:footnote>
  <w:footnote w:id="4">
    <w:p w14:paraId="167C0F3A" w14:textId="77777777" w:rsidR="00265510" w:rsidRDefault="00265510" w:rsidP="00265510">
      <w:pPr>
        <w:pStyle w:val="FootnoteText"/>
      </w:pPr>
      <w:r>
        <w:rPr>
          <w:rStyle w:val="FootnoteReference"/>
        </w:rPr>
        <w:footnoteRef/>
      </w:r>
      <w:r>
        <w:t xml:space="preserve"> Part 4 (sections 19-21) of the Gas Exemptions Order 2011. </w:t>
      </w:r>
    </w:p>
  </w:footnote>
  <w:footnote w:id="5">
    <w:p w14:paraId="3060E5C9" w14:textId="77777777" w:rsidR="00265510" w:rsidDel="008F4633" w:rsidRDefault="00265510" w:rsidP="00265510">
      <w:pPr>
        <w:pStyle w:val="FootnoteText"/>
        <w:rPr>
          <w:del w:id="2" w:author="Addleshaw Goddard" w:date="2020-07-29T09:29:00Z"/>
        </w:rPr>
      </w:pPr>
      <w:r>
        <w:rPr>
          <w:rStyle w:val="FootnoteReference"/>
        </w:rPr>
        <w:footnoteRef/>
      </w:r>
      <w:r>
        <w:t xml:space="preserve"> Schedule 2A of the Gas Act 1986. </w:t>
      </w:r>
    </w:p>
  </w:footnote>
  <w:footnote w:id="6">
    <w:p w14:paraId="105C0EF6" w14:textId="77777777" w:rsidR="00265510" w:rsidRDefault="00265510" w:rsidP="00265510">
      <w:pPr>
        <w:pStyle w:val="FootnoteText"/>
      </w:pPr>
      <w:r>
        <w:rPr>
          <w:rStyle w:val="FootnoteReference"/>
        </w:rPr>
        <w:footnoteRef/>
      </w:r>
      <w:r>
        <w:t xml:space="preserve"> Section 48 of the Gas Act 1986. </w:t>
      </w:r>
    </w:p>
  </w:footnote>
  <w:footnote w:id="7">
    <w:p w14:paraId="36B6BD06" w14:textId="77777777" w:rsidR="00265510" w:rsidRDefault="00265510" w:rsidP="00265510">
      <w:pPr>
        <w:pStyle w:val="FootnoteText"/>
      </w:pPr>
      <w:r>
        <w:rPr>
          <w:rStyle w:val="FootnoteReference"/>
        </w:rPr>
        <w:footnoteRef/>
      </w:r>
      <w:r>
        <w:t xml:space="preserve"> Section 8H of the Gas Act 1986. </w:t>
      </w:r>
    </w:p>
  </w:footnote>
  <w:footnote w:id="8">
    <w:p w14:paraId="1B7E57DD" w14:textId="77777777" w:rsidR="00265510" w:rsidRDefault="00265510" w:rsidP="00265510">
      <w:pPr>
        <w:pStyle w:val="FootnoteText"/>
      </w:pPr>
      <w:r>
        <w:rPr>
          <w:rStyle w:val="FootnoteReference"/>
        </w:rPr>
        <w:footnoteRef/>
      </w:r>
      <w:r>
        <w:t xml:space="preserve"> Section 8Q of the Gas Act 1986. </w:t>
      </w:r>
    </w:p>
  </w:footnote>
  <w:footnote w:id="9">
    <w:p w14:paraId="58FD741A" w14:textId="77777777" w:rsidR="00265510" w:rsidRDefault="00265510" w:rsidP="00265510">
      <w:pPr>
        <w:pStyle w:val="FootnoteText"/>
      </w:pPr>
      <w:r>
        <w:rPr>
          <w:rStyle w:val="FootnoteReference"/>
        </w:rPr>
        <w:footnoteRef/>
      </w:r>
      <w:r>
        <w:t xml:space="preserve"> Section</w:t>
      </w:r>
      <w:r w:rsidRPr="0000759A">
        <w:t xml:space="preserve"> 8C of the Gas Act</w:t>
      </w:r>
      <w:r>
        <w:t xml:space="preserve"> and (by cross-reference) Article 2(3) of the Gas Directive. </w:t>
      </w:r>
    </w:p>
  </w:footnote>
  <w:footnote w:id="10">
    <w:p w14:paraId="0E5BF9D7" w14:textId="77777777" w:rsidR="00265510" w:rsidRDefault="00265510" w:rsidP="00265510">
      <w:pPr>
        <w:pStyle w:val="FootnoteText"/>
      </w:pPr>
      <w:r>
        <w:rPr>
          <w:rStyle w:val="FootnoteReference"/>
        </w:rPr>
        <w:footnoteRef/>
      </w:r>
      <w:r>
        <w:t xml:space="preserve"> Section 4 of the Electricity Act 1989. </w:t>
      </w:r>
    </w:p>
  </w:footnote>
  <w:footnote w:id="11">
    <w:p w14:paraId="798C7243" w14:textId="77777777" w:rsidR="00265510" w:rsidRDefault="00265510" w:rsidP="00265510">
      <w:pPr>
        <w:pStyle w:val="FootnoteText"/>
      </w:pPr>
      <w:r>
        <w:rPr>
          <w:rStyle w:val="FootnoteReference"/>
        </w:rPr>
        <w:footnoteRef/>
      </w:r>
      <w:r>
        <w:t xml:space="preserve"> Schedule 2. Class A exemption in the </w:t>
      </w:r>
      <w:r w:rsidRPr="002C287D">
        <w:t>Electricity (Class Exemption from the Requirement for a Licence) Order 2001</w:t>
      </w:r>
      <w:r>
        <w:t>.</w:t>
      </w:r>
    </w:p>
  </w:footnote>
  <w:footnote w:id="12">
    <w:p w14:paraId="1C086748" w14:textId="77777777" w:rsidR="00265510" w:rsidRPr="002103E9" w:rsidRDefault="00265510" w:rsidP="00265510">
      <w:pPr>
        <w:rPr>
          <w:sz w:val="16"/>
          <w:szCs w:val="16"/>
        </w:rPr>
      </w:pPr>
      <w:r w:rsidRPr="002103E9">
        <w:rPr>
          <w:rStyle w:val="FootnoteReference"/>
          <w:sz w:val="16"/>
          <w:szCs w:val="16"/>
        </w:rPr>
        <w:footnoteRef/>
      </w:r>
      <w:r w:rsidRPr="002103E9">
        <w:rPr>
          <w:sz w:val="16"/>
          <w:szCs w:val="16"/>
        </w:rPr>
        <w:t xml:space="preserve"> Schedule 3, Class C exemption in the Electricity (Class Exemption from the Requirement for a Licence) Order 2001.</w:t>
      </w:r>
    </w:p>
    <w:p w14:paraId="096F0136" w14:textId="77777777" w:rsidR="00265510" w:rsidRDefault="00265510" w:rsidP="00265510">
      <w:pPr>
        <w:pStyle w:val="FootnoteText"/>
      </w:pPr>
    </w:p>
  </w:footnote>
  <w:footnote w:id="13">
    <w:p w14:paraId="028E361C" w14:textId="77777777" w:rsidR="00265510" w:rsidRDefault="00265510" w:rsidP="00265510">
      <w:pPr>
        <w:pStyle w:val="FootnoteText"/>
      </w:pPr>
      <w:r>
        <w:rPr>
          <w:rStyle w:val="FootnoteReference"/>
        </w:rPr>
        <w:footnoteRef/>
      </w:r>
      <w:r>
        <w:t xml:space="preserve"> Schedule 4, </w:t>
      </w:r>
      <w:r w:rsidRPr="001E7281">
        <w:t>Class C exemption in the Electricity (Class Exemption from the Requirement for a Licence) Order 2001</w:t>
      </w:r>
      <w:r>
        <w:t>.</w:t>
      </w:r>
    </w:p>
  </w:footnote>
  <w:footnote w:id="14">
    <w:p w14:paraId="24BE7A35" w14:textId="77777777" w:rsidR="00265510" w:rsidRDefault="00265510" w:rsidP="00265510">
      <w:pPr>
        <w:pStyle w:val="FootnoteText"/>
      </w:pPr>
      <w:r>
        <w:rPr>
          <w:rStyle w:val="FootnoteReference"/>
        </w:rPr>
        <w:footnoteRef/>
      </w:r>
      <w:r>
        <w:t xml:space="preserve"> S</w:t>
      </w:r>
      <w:r w:rsidRPr="00C66D04">
        <w:t>tandard special condition A32, 36 and standard condition 43</w:t>
      </w:r>
      <w:r>
        <w:t>.</w:t>
      </w:r>
    </w:p>
  </w:footnote>
  <w:footnote w:id="15">
    <w:p w14:paraId="3A631946" w14:textId="77777777" w:rsidR="00265510" w:rsidRDefault="00265510" w:rsidP="00265510">
      <w:pPr>
        <w:pStyle w:val="FootnoteText"/>
      </w:pPr>
      <w:r>
        <w:rPr>
          <w:rStyle w:val="FootnoteReference"/>
        </w:rPr>
        <w:footnoteRef/>
      </w:r>
      <w:r>
        <w:t xml:space="preserve"> S</w:t>
      </w:r>
      <w:r w:rsidRPr="00C66D04">
        <w:t>tandard special condition A36</w:t>
      </w:r>
    </w:p>
  </w:footnote>
  <w:footnote w:id="16">
    <w:p w14:paraId="06CD70FE" w14:textId="77777777" w:rsidR="00265510" w:rsidRDefault="00265510" w:rsidP="00265510">
      <w:pPr>
        <w:pStyle w:val="FootnoteText"/>
      </w:pPr>
      <w:r>
        <w:rPr>
          <w:rStyle w:val="FootnoteReference"/>
        </w:rPr>
        <w:footnoteRef/>
      </w:r>
      <w:r>
        <w:t xml:space="preserve"> </w:t>
      </w:r>
      <w:r w:rsidRPr="00C66D04">
        <w:t>D4 (prohibited procurement activities) of the standard special licence conditions</w:t>
      </w:r>
      <w:r>
        <w:t>.</w:t>
      </w:r>
    </w:p>
  </w:footnote>
  <w:footnote w:id="17">
    <w:p w14:paraId="12747C98" w14:textId="77777777" w:rsidR="00265510" w:rsidRDefault="00265510" w:rsidP="00265510">
      <w:pPr>
        <w:pStyle w:val="FootnoteText"/>
      </w:pPr>
      <w:r>
        <w:rPr>
          <w:rStyle w:val="FootnoteReference"/>
        </w:rPr>
        <w:footnoteRef/>
      </w:r>
      <w:r>
        <w:t xml:space="preserve"> St</w:t>
      </w:r>
      <w:r w:rsidRPr="00C66D04">
        <w:t>andard special condition A35</w:t>
      </w:r>
      <w:r>
        <w:t>.</w:t>
      </w:r>
    </w:p>
  </w:footnote>
  <w:footnote w:id="18">
    <w:p w14:paraId="19DC8F2A" w14:textId="77777777" w:rsidR="00265510" w:rsidRDefault="00265510" w:rsidP="00265510">
      <w:pPr>
        <w:pStyle w:val="FootnoteText"/>
      </w:pPr>
      <w:r>
        <w:rPr>
          <w:rStyle w:val="FootnoteReference"/>
        </w:rPr>
        <w:footnoteRef/>
      </w:r>
      <w:r>
        <w:t xml:space="preserve"> S</w:t>
      </w:r>
      <w:r w:rsidRPr="00F06B15">
        <w:t>tandard special condition A6</w:t>
      </w:r>
      <w:r>
        <w:t>.</w:t>
      </w:r>
    </w:p>
  </w:footnote>
  <w:footnote w:id="19">
    <w:p w14:paraId="3D6CFDB9" w14:textId="77777777" w:rsidR="00265510" w:rsidRDefault="00265510" w:rsidP="00265510">
      <w:pPr>
        <w:pStyle w:val="FootnoteText"/>
      </w:pPr>
      <w:r>
        <w:rPr>
          <w:rStyle w:val="FootnoteReference"/>
        </w:rPr>
        <w:footnoteRef/>
      </w:r>
      <w:r>
        <w:t xml:space="preserve"> Regulation 4 of the </w:t>
      </w:r>
      <w:r w:rsidRPr="00DA0B22">
        <w:t>Gas Safety (Management) Regulations 1996</w:t>
      </w:r>
      <w:r>
        <w:t>.</w:t>
      </w:r>
    </w:p>
  </w:footnote>
  <w:footnote w:id="20">
    <w:p w14:paraId="194E7647" w14:textId="77777777" w:rsidR="00265510" w:rsidRDefault="00265510" w:rsidP="00265510">
      <w:pPr>
        <w:pStyle w:val="FootnoteText"/>
      </w:pPr>
      <w:r>
        <w:rPr>
          <w:rStyle w:val="FootnoteReference"/>
        </w:rPr>
        <w:footnoteRef/>
      </w:r>
      <w:r>
        <w:t xml:space="preserve"> Regulation 2 of the </w:t>
      </w:r>
      <w:r w:rsidRPr="00DA0B22">
        <w:t>Gas Safety (Management) Regulations 1996</w:t>
      </w:r>
      <w:r>
        <w:t>.</w:t>
      </w:r>
    </w:p>
  </w:footnote>
  <w:footnote w:id="21">
    <w:p w14:paraId="721C53FD" w14:textId="77777777" w:rsidR="00265510" w:rsidRDefault="00265510" w:rsidP="00265510">
      <w:pPr>
        <w:pStyle w:val="FootnoteText"/>
      </w:pPr>
      <w:r>
        <w:rPr>
          <w:rStyle w:val="FootnoteReference"/>
        </w:rPr>
        <w:footnoteRef/>
      </w:r>
      <w:r>
        <w:t xml:space="preserve"> Condition 6 of the standard licence conditions. </w:t>
      </w:r>
    </w:p>
  </w:footnote>
  <w:footnote w:id="22">
    <w:p w14:paraId="43CEF4B7" w14:textId="77777777" w:rsidR="00265510" w:rsidRDefault="00265510" w:rsidP="00265510">
      <w:pPr>
        <w:pStyle w:val="FootnoteText"/>
      </w:pPr>
      <w:r>
        <w:rPr>
          <w:rStyle w:val="FootnoteReference"/>
        </w:rPr>
        <w:footnoteRef/>
      </w:r>
      <w:r>
        <w:t xml:space="preserve"> Section I, 2.4 of the Transporter Principal Document.</w:t>
      </w:r>
    </w:p>
  </w:footnote>
  <w:footnote w:id="23">
    <w:p w14:paraId="758EE838" w14:textId="77777777" w:rsidR="00265510" w:rsidRDefault="00265510" w:rsidP="00265510">
      <w:pPr>
        <w:pStyle w:val="FootnoteText"/>
      </w:pPr>
      <w:r>
        <w:rPr>
          <w:rStyle w:val="FootnoteReference"/>
        </w:rPr>
        <w:footnoteRef/>
      </w:r>
      <w:r>
        <w:t xml:space="preserve"> Section N (Shrinkage) of the Transporter Principal Document. </w:t>
      </w:r>
    </w:p>
  </w:footnote>
  <w:footnote w:id="24">
    <w:p w14:paraId="066FA116" w14:textId="77777777" w:rsidR="00265510" w:rsidRDefault="00265510" w:rsidP="00265510">
      <w:pPr>
        <w:pStyle w:val="FootnoteText"/>
      </w:pPr>
      <w:r>
        <w:rPr>
          <w:rStyle w:val="FootnoteReference"/>
        </w:rPr>
        <w:footnoteRef/>
      </w:r>
      <w:r>
        <w:t xml:space="preserve"> Condition 0, standard supply licence conditions. </w:t>
      </w:r>
    </w:p>
  </w:footnote>
  <w:footnote w:id="25">
    <w:p w14:paraId="03837C79" w14:textId="77777777" w:rsidR="00265510" w:rsidRDefault="00265510" w:rsidP="00265510">
      <w:pPr>
        <w:pStyle w:val="FootnoteText"/>
      </w:pPr>
      <w:r>
        <w:rPr>
          <w:rStyle w:val="FootnoteReference"/>
        </w:rPr>
        <w:footnoteRef/>
      </w:r>
      <w:r>
        <w:t xml:space="preserve"> Condition 31I, </w:t>
      </w:r>
      <w:r w:rsidRPr="00EB32B6">
        <w:t>standard supply licence conditions</w:t>
      </w:r>
      <w:r>
        <w:t>.</w:t>
      </w:r>
    </w:p>
  </w:footnote>
  <w:footnote w:id="26">
    <w:p w14:paraId="664AD943" w14:textId="77777777" w:rsidR="00265510" w:rsidRDefault="00265510" w:rsidP="00265510">
      <w:pPr>
        <w:pStyle w:val="FootnoteText"/>
      </w:pPr>
      <w:r>
        <w:rPr>
          <w:rStyle w:val="FootnoteReference"/>
        </w:rPr>
        <w:footnoteRef/>
      </w:r>
      <w:r>
        <w:t xml:space="preserve"> </w:t>
      </w:r>
      <w:r w:rsidRPr="005323AA">
        <w:t>Standard special condition A6</w:t>
      </w:r>
      <w:r>
        <w:t xml:space="preserve"> of the transporter licence. </w:t>
      </w:r>
    </w:p>
  </w:footnote>
  <w:footnote w:id="27">
    <w:p w14:paraId="607DDF17" w14:textId="77777777" w:rsidR="00265510" w:rsidRDefault="00265510" w:rsidP="00265510">
      <w:pPr>
        <w:pStyle w:val="FootnoteText"/>
      </w:pPr>
      <w:r>
        <w:rPr>
          <w:rStyle w:val="FootnoteReference"/>
        </w:rPr>
        <w:footnoteRef/>
      </w:r>
      <w:r>
        <w:t xml:space="preserve"> Regulation 2 of the </w:t>
      </w:r>
      <w:r w:rsidRPr="00090BB0">
        <w:t>Pressure Systems Safety Regulations 2000</w:t>
      </w:r>
      <w:r>
        <w:t>.</w:t>
      </w:r>
    </w:p>
  </w:footnote>
  <w:footnote w:id="28">
    <w:p w14:paraId="57E469F1" w14:textId="77777777" w:rsidR="00265510" w:rsidRDefault="00265510" w:rsidP="00265510">
      <w:pPr>
        <w:pStyle w:val="FootnoteText"/>
      </w:pPr>
      <w:r>
        <w:rPr>
          <w:rStyle w:val="FootnoteReference"/>
        </w:rPr>
        <w:footnoteRef/>
      </w:r>
      <w:r>
        <w:t xml:space="preserve"> Schedule 1, Part 2 of the </w:t>
      </w:r>
      <w:r w:rsidRPr="00090BB0">
        <w:t>Control of Major Accident Hazards Regulations 2015</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0A6A6" w14:textId="77777777" w:rsidR="009E67D8" w:rsidRDefault="009E6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4" name="Picture 4"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106FB" w14:textId="77777777" w:rsidR="009E67D8" w:rsidRDefault="009E67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3B01E" w14:textId="77777777" w:rsidR="00C63EC3" w:rsidRDefault="00C63EC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61FAD" w14:textId="77777777" w:rsidR="00C63EC3" w:rsidRDefault="00C63EC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B0770" w14:textId="77777777" w:rsidR="00C63EC3" w:rsidRDefault="00C63E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AF1258"/>
    <w:multiLevelType w:val="hybridMultilevel"/>
    <w:tmpl w:val="239A11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A97B7F"/>
    <w:multiLevelType w:val="hybridMultilevel"/>
    <w:tmpl w:val="CE648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E01CA6"/>
    <w:multiLevelType w:val="hybridMultilevel"/>
    <w:tmpl w:val="AE2E9E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D45F74"/>
    <w:multiLevelType w:val="hybridMultilevel"/>
    <w:tmpl w:val="F6387996"/>
    <w:lvl w:ilvl="0" w:tplc="B2609970">
      <w:start w:val="1"/>
      <w:numFmt w:val="decimal"/>
      <w:lvlText w:val="%1."/>
      <w:lvlJc w:val="left"/>
      <w:pPr>
        <w:ind w:left="72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5"/>
  </w:num>
  <w:num w:numId="6">
    <w:abstractNumId w:val="14"/>
  </w:num>
  <w:num w:numId="7">
    <w:abstractNumId w:val="6"/>
  </w:num>
  <w:num w:numId="8">
    <w:abstractNumId w:val="7"/>
  </w:num>
  <w:num w:numId="9">
    <w:abstractNumId w:val="2"/>
  </w:num>
  <w:num w:numId="10">
    <w:abstractNumId w:val="9"/>
  </w:num>
  <w:num w:numId="11">
    <w:abstractNumId w:val="10"/>
  </w:num>
  <w:num w:numId="12">
    <w:abstractNumId w:val="4"/>
  </w:num>
  <w:num w:numId="13">
    <w:abstractNumId w:val="3"/>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14870"/>
    <w:rsid w:val="00024363"/>
    <w:rsid w:val="00046AFF"/>
    <w:rsid w:val="000704C4"/>
    <w:rsid w:val="000740B5"/>
    <w:rsid w:val="00087FA2"/>
    <w:rsid w:val="000A3CF1"/>
    <w:rsid w:val="000B05E0"/>
    <w:rsid w:val="000B63B4"/>
    <w:rsid w:val="000B697A"/>
    <w:rsid w:val="000F4635"/>
    <w:rsid w:val="000F6BBE"/>
    <w:rsid w:val="001117FD"/>
    <w:rsid w:val="00111E72"/>
    <w:rsid w:val="001431F3"/>
    <w:rsid w:val="00156E8D"/>
    <w:rsid w:val="0016067F"/>
    <w:rsid w:val="001722DA"/>
    <w:rsid w:val="00177460"/>
    <w:rsid w:val="00197608"/>
    <w:rsid w:val="001A2292"/>
    <w:rsid w:val="001A5456"/>
    <w:rsid w:val="001A68F2"/>
    <w:rsid w:val="001B636F"/>
    <w:rsid w:val="001C06F4"/>
    <w:rsid w:val="001E6E86"/>
    <w:rsid w:val="001F3B23"/>
    <w:rsid w:val="001F6E93"/>
    <w:rsid w:val="002006A5"/>
    <w:rsid w:val="00213A67"/>
    <w:rsid w:val="0022798D"/>
    <w:rsid w:val="00247610"/>
    <w:rsid w:val="00263DFC"/>
    <w:rsid w:val="00263F95"/>
    <w:rsid w:val="00265510"/>
    <w:rsid w:val="00265B21"/>
    <w:rsid w:val="00265B97"/>
    <w:rsid w:val="00281E58"/>
    <w:rsid w:val="00284C29"/>
    <w:rsid w:val="00290C74"/>
    <w:rsid w:val="002A27A4"/>
    <w:rsid w:val="002A6C7A"/>
    <w:rsid w:val="002A7E0C"/>
    <w:rsid w:val="002D7A9A"/>
    <w:rsid w:val="002F27CC"/>
    <w:rsid w:val="002F2C55"/>
    <w:rsid w:val="002F48C3"/>
    <w:rsid w:val="00323B17"/>
    <w:rsid w:val="00330491"/>
    <w:rsid w:val="00331426"/>
    <w:rsid w:val="00372A8B"/>
    <w:rsid w:val="00380A9E"/>
    <w:rsid w:val="00381B7A"/>
    <w:rsid w:val="00383994"/>
    <w:rsid w:val="00394190"/>
    <w:rsid w:val="003C1342"/>
    <w:rsid w:val="003C2D5F"/>
    <w:rsid w:val="003D0181"/>
    <w:rsid w:val="003E0EED"/>
    <w:rsid w:val="003E19BA"/>
    <w:rsid w:val="00404EE8"/>
    <w:rsid w:val="00431249"/>
    <w:rsid w:val="00447199"/>
    <w:rsid w:val="004824AC"/>
    <w:rsid w:val="00492CCC"/>
    <w:rsid w:val="00496FD7"/>
    <w:rsid w:val="004A6E56"/>
    <w:rsid w:val="004B2B3A"/>
    <w:rsid w:val="004B2FA7"/>
    <w:rsid w:val="004B537A"/>
    <w:rsid w:val="004B54BB"/>
    <w:rsid w:val="004B58A0"/>
    <w:rsid w:val="004B71FB"/>
    <w:rsid w:val="004D5FA0"/>
    <w:rsid w:val="004E67D1"/>
    <w:rsid w:val="00525533"/>
    <w:rsid w:val="00531DD6"/>
    <w:rsid w:val="005331D0"/>
    <w:rsid w:val="00536E5B"/>
    <w:rsid w:val="00556AB4"/>
    <w:rsid w:val="00561FB6"/>
    <w:rsid w:val="00582799"/>
    <w:rsid w:val="0059688D"/>
    <w:rsid w:val="005A134F"/>
    <w:rsid w:val="005A5479"/>
    <w:rsid w:val="005A5E1D"/>
    <w:rsid w:val="005A7C70"/>
    <w:rsid w:val="005B64ED"/>
    <w:rsid w:val="005C4066"/>
    <w:rsid w:val="005C646A"/>
    <w:rsid w:val="005C7DB8"/>
    <w:rsid w:val="005D3969"/>
    <w:rsid w:val="005D4DAC"/>
    <w:rsid w:val="005D6B06"/>
    <w:rsid w:val="005F0460"/>
    <w:rsid w:val="005F6CC3"/>
    <w:rsid w:val="005F713F"/>
    <w:rsid w:val="00600994"/>
    <w:rsid w:val="006048A4"/>
    <w:rsid w:val="00607D48"/>
    <w:rsid w:val="0061133C"/>
    <w:rsid w:val="00625CFE"/>
    <w:rsid w:val="006378D6"/>
    <w:rsid w:val="00642CA7"/>
    <w:rsid w:val="00647505"/>
    <w:rsid w:val="006548AD"/>
    <w:rsid w:val="006605C4"/>
    <w:rsid w:val="00662A28"/>
    <w:rsid w:val="00683520"/>
    <w:rsid w:val="006A5BBE"/>
    <w:rsid w:val="006B2159"/>
    <w:rsid w:val="006B764E"/>
    <w:rsid w:val="006C3379"/>
    <w:rsid w:val="006C6124"/>
    <w:rsid w:val="006D211B"/>
    <w:rsid w:val="007061D6"/>
    <w:rsid w:val="00712168"/>
    <w:rsid w:val="0072274A"/>
    <w:rsid w:val="00726E9B"/>
    <w:rsid w:val="0073390F"/>
    <w:rsid w:val="00733D5B"/>
    <w:rsid w:val="00734038"/>
    <w:rsid w:val="00737C37"/>
    <w:rsid w:val="00741FBA"/>
    <w:rsid w:val="007534E0"/>
    <w:rsid w:val="00774971"/>
    <w:rsid w:val="00776F53"/>
    <w:rsid w:val="007801A7"/>
    <w:rsid w:val="00783680"/>
    <w:rsid w:val="007849FE"/>
    <w:rsid w:val="007A4F15"/>
    <w:rsid w:val="007B651E"/>
    <w:rsid w:val="007C0D12"/>
    <w:rsid w:val="007C484A"/>
    <w:rsid w:val="007C7E9B"/>
    <w:rsid w:val="007D4AAF"/>
    <w:rsid w:val="007D6A38"/>
    <w:rsid w:val="007F0694"/>
    <w:rsid w:val="007F1638"/>
    <w:rsid w:val="008163D2"/>
    <w:rsid w:val="00822639"/>
    <w:rsid w:val="00844D24"/>
    <w:rsid w:val="008517F4"/>
    <w:rsid w:val="0086475A"/>
    <w:rsid w:val="00872AC1"/>
    <w:rsid w:val="0087332C"/>
    <w:rsid w:val="00876234"/>
    <w:rsid w:val="008867C2"/>
    <w:rsid w:val="0089032C"/>
    <w:rsid w:val="00897EB3"/>
    <w:rsid w:val="008A710C"/>
    <w:rsid w:val="008B0EFD"/>
    <w:rsid w:val="008C57A3"/>
    <w:rsid w:val="008F31C6"/>
    <w:rsid w:val="008F76C9"/>
    <w:rsid w:val="00901F17"/>
    <w:rsid w:val="0092512F"/>
    <w:rsid w:val="0092607C"/>
    <w:rsid w:val="009263A8"/>
    <w:rsid w:val="00932027"/>
    <w:rsid w:val="00936469"/>
    <w:rsid w:val="00941BC7"/>
    <w:rsid w:val="009524C4"/>
    <w:rsid w:val="00967DAE"/>
    <w:rsid w:val="00980F6A"/>
    <w:rsid w:val="00982E78"/>
    <w:rsid w:val="009850F2"/>
    <w:rsid w:val="009905C7"/>
    <w:rsid w:val="009944E4"/>
    <w:rsid w:val="009B7453"/>
    <w:rsid w:val="009E016E"/>
    <w:rsid w:val="009E2893"/>
    <w:rsid w:val="009E5B19"/>
    <w:rsid w:val="009E67D8"/>
    <w:rsid w:val="00A06B67"/>
    <w:rsid w:val="00A12F54"/>
    <w:rsid w:val="00A17F94"/>
    <w:rsid w:val="00A2261C"/>
    <w:rsid w:val="00A27804"/>
    <w:rsid w:val="00A3371D"/>
    <w:rsid w:val="00A359B8"/>
    <w:rsid w:val="00A46A90"/>
    <w:rsid w:val="00A6139E"/>
    <w:rsid w:val="00A74452"/>
    <w:rsid w:val="00A90AC1"/>
    <w:rsid w:val="00AA0CD2"/>
    <w:rsid w:val="00AA4841"/>
    <w:rsid w:val="00AA4A70"/>
    <w:rsid w:val="00AD40BC"/>
    <w:rsid w:val="00AD4FBF"/>
    <w:rsid w:val="00AD4FDD"/>
    <w:rsid w:val="00AE30FA"/>
    <w:rsid w:val="00AE7639"/>
    <w:rsid w:val="00B07807"/>
    <w:rsid w:val="00B11441"/>
    <w:rsid w:val="00B343C1"/>
    <w:rsid w:val="00B36A72"/>
    <w:rsid w:val="00B36C3F"/>
    <w:rsid w:val="00B51F6B"/>
    <w:rsid w:val="00B65DF4"/>
    <w:rsid w:val="00B74FD7"/>
    <w:rsid w:val="00B82DD8"/>
    <w:rsid w:val="00B85ECA"/>
    <w:rsid w:val="00B92D1F"/>
    <w:rsid w:val="00B92F01"/>
    <w:rsid w:val="00B96B4C"/>
    <w:rsid w:val="00BA4700"/>
    <w:rsid w:val="00BB4220"/>
    <w:rsid w:val="00BB4765"/>
    <w:rsid w:val="00BC24C5"/>
    <w:rsid w:val="00BE0F84"/>
    <w:rsid w:val="00BF599B"/>
    <w:rsid w:val="00C05BCC"/>
    <w:rsid w:val="00C2624B"/>
    <w:rsid w:val="00C32D82"/>
    <w:rsid w:val="00C47163"/>
    <w:rsid w:val="00C471D0"/>
    <w:rsid w:val="00C471D1"/>
    <w:rsid w:val="00C5030B"/>
    <w:rsid w:val="00C5031B"/>
    <w:rsid w:val="00C54E19"/>
    <w:rsid w:val="00C56D7C"/>
    <w:rsid w:val="00C570BB"/>
    <w:rsid w:val="00C62665"/>
    <w:rsid w:val="00C63EC3"/>
    <w:rsid w:val="00C754D7"/>
    <w:rsid w:val="00C840A6"/>
    <w:rsid w:val="00C859FE"/>
    <w:rsid w:val="00C90E51"/>
    <w:rsid w:val="00CC0139"/>
    <w:rsid w:val="00CC347D"/>
    <w:rsid w:val="00CD0794"/>
    <w:rsid w:val="00CD2AB5"/>
    <w:rsid w:val="00D07FD7"/>
    <w:rsid w:val="00D217DF"/>
    <w:rsid w:val="00D348BC"/>
    <w:rsid w:val="00D54CBB"/>
    <w:rsid w:val="00D555D4"/>
    <w:rsid w:val="00D61087"/>
    <w:rsid w:val="00D82FB9"/>
    <w:rsid w:val="00D948CF"/>
    <w:rsid w:val="00D94E5E"/>
    <w:rsid w:val="00DA2A9D"/>
    <w:rsid w:val="00DB4905"/>
    <w:rsid w:val="00DC00BF"/>
    <w:rsid w:val="00DD395C"/>
    <w:rsid w:val="00DD63C8"/>
    <w:rsid w:val="00DF34BE"/>
    <w:rsid w:val="00DF6119"/>
    <w:rsid w:val="00E108AC"/>
    <w:rsid w:val="00E163CF"/>
    <w:rsid w:val="00E21BF6"/>
    <w:rsid w:val="00E4392A"/>
    <w:rsid w:val="00E456F9"/>
    <w:rsid w:val="00E55F49"/>
    <w:rsid w:val="00E60B51"/>
    <w:rsid w:val="00E73F40"/>
    <w:rsid w:val="00E877E7"/>
    <w:rsid w:val="00E973EE"/>
    <w:rsid w:val="00EB7326"/>
    <w:rsid w:val="00EB754F"/>
    <w:rsid w:val="00ED043A"/>
    <w:rsid w:val="00EF697F"/>
    <w:rsid w:val="00F03CB5"/>
    <w:rsid w:val="00F10501"/>
    <w:rsid w:val="00F10F97"/>
    <w:rsid w:val="00F2177F"/>
    <w:rsid w:val="00F225D1"/>
    <w:rsid w:val="00F53EB9"/>
    <w:rsid w:val="00F57AD1"/>
    <w:rsid w:val="00F64250"/>
    <w:rsid w:val="00F90EF8"/>
    <w:rsid w:val="00F91364"/>
    <w:rsid w:val="00F92C5B"/>
    <w:rsid w:val="00F92DE6"/>
    <w:rsid w:val="00FB0759"/>
    <w:rsid w:val="00FC0154"/>
    <w:rsid w:val="00FD689B"/>
    <w:rsid w:val="00FF1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CB48A4"/>
  <w15:chartTrackingRefBased/>
  <w15:docId w15:val="{74BEF9DA-8F47-4AF7-A5BF-1B1CBA04A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4"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paragraph" w:styleId="FootnoteText">
    <w:name w:val="footnote text"/>
    <w:basedOn w:val="Normal"/>
    <w:link w:val="FootnoteTextChar"/>
    <w:uiPriority w:val="99"/>
    <w:unhideWhenUsed/>
    <w:rsid w:val="00B92F01"/>
    <w:pPr>
      <w:spacing w:line="240" w:lineRule="auto"/>
    </w:pPr>
    <w:rPr>
      <w:szCs w:val="20"/>
    </w:rPr>
  </w:style>
  <w:style w:type="character" w:customStyle="1" w:styleId="FootnoteTextChar">
    <w:name w:val="Footnote Text Char"/>
    <w:basedOn w:val="DefaultParagraphFont"/>
    <w:link w:val="FootnoteText"/>
    <w:uiPriority w:val="99"/>
    <w:rsid w:val="00B92F01"/>
    <w:rPr>
      <w:rFonts w:ascii="Verdana" w:hAnsi="Verdana"/>
      <w:sz w:val="20"/>
      <w:szCs w:val="20"/>
      <w:lang w:val="en-GB"/>
    </w:rPr>
  </w:style>
  <w:style w:type="character" w:styleId="FootnoteReference">
    <w:name w:val="footnote reference"/>
    <w:uiPriority w:val="99"/>
    <w:rsid w:val="00B92F01"/>
    <w:rPr>
      <w:vertAlign w:val="superscript"/>
    </w:rPr>
  </w:style>
  <w:style w:type="character" w:styleId="CommentReference">
    <w:name w:val="annotation reference"/>
    <w:basedOn w:val="DefaultParagraphFont"/>
    <w:uiPriority w:val="99"/>
    <w:semiHidden/>
    <w:unhideWhenUsed/>
    <w:rsid w:val="00E163CF"/>
    <w:rPr>
      <w:sz w:val="16"/>
      <w:szCs w:val="16"/>
    </w:rPr>
  </w:style>
  <w:style w:type="paragraph" w:styleId="CommentText">
    <w:name w:val="annotation text"/>
    <w:basedOn w:val="Normal"/>
    <w:link w:val="CommentTextChar"/>
    <w:uiPriority w:val="99"/>
    <w:semiHidden/>
    <w:unhideWhenUsed/>
    <w:rsid w:val="00E163CF"/>
    <w:pPr>
      <w:spacing w:line="240" w:lineRule="auto"/>
    </w:pPr>
    <w:rPr>
      <w:szCs w:val="20"/>
    </w:rPr>
  </w:style>
  <w:style w:type="character" w:customStyle="1" w:styleId="CommentTextChar">
    <w:name w:val="Comment Text Char"/>
    <w:basedOn w:val="DefaultParagraphFont"/>
    <w:link w:val="CommentText"/>
    <w:uiPriority w:val="99"/>
    <w:semiHidden/>
    <w:rsid w:val="00E163CF"/>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E163CF"/>
    <w:rPr>
      <w:b/>
      <w:bCs/>
    </w:rPr>
  </w:style>
  <w:style w:type="character" w:customStyle="1" w:styleId="CommentSubjectChar">
    <w:name w:val="Comment Subject Char"/>
    <w:basedOn w:val="CommentTextChar"/>
    <w:link w:val="CommentSubject"/>
    <w:uiPriority w:val="99"/>
    <w:semiHidden/>
    <w:rsid w:val="00E163CF"/>
    <w:rPr>
      <w:rFonts w:ascii="Verdana" w:hAnsi="Verdana"/>
      <w:b/>
      <w:bCs/>
      <w:sz w:val="20"/>
      <w:szCs w:val="20"/>
      <w:lang w:val="en-GB"/>
    </w:rPr>
  </w:style>
  <w:style w:type="paragraph" w:styleId="BodyText">
    <w:name w:val="Body Text"/>
    <w:basedOn w:val="Normal"/>
    <w:link w:val="BodyTextChar"/>
    <w:uiPriority w:val="54"/>
    <w:qFormat/>
    <w:rsid w:val="00265510"/>
    <w:pPr>
      <w:spacing w:after="240" w:line="288" w:lineRule="auto"/>
      <w:jc w:val="both"/>
    </w:pPr>
    <w:rPr>
      <w:rFonts w:ascii="Arial" w:eastAsiaTheme="minorEastAsia" w:hAnsi="Arial"/>
      <w:szCs w:val="20"/>
      <w:lang w:eastAsia="en-GB"/>
    </w:rPr>
  </w:style>
  <w:style w:type="character" w:customStyle="1" w:styleId="BodyTextChar">
    <w:name w:val="Body Text Char"/>
    <w:basedOn w:val="DefaultParagraphFont"/>
    <w:link w:val="BodyText"/>
    <w:uiPriority w:val="54"/>
    <w:rsid w:val="00265510"/>
    <w:rPr>
      <w:rFonts w:ascii="Arial" w:eastAsiaTheme="minorEastAsia" w:hAnsi="Arial"/>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440807867">
      <w:bodyDiv w:val="1"/>
      <w:marLeft w:val="0"/>
      <w:marRight w:val="0"/>
      <w:marTop w:val="0"/>
      <w:marBottom w:val="0"/>
      <w:divBdr>
        <w:top w:val="none" w:sz="0" w:space="0" w:color="auto"/>
        <w:left w:val="none" w:sz="0" w:space="0" w:color="auto"/>
        <w:bottom w:val="none" w:sz="0" w:space="0" w:color="auto"/>
        <w:right w:val="none" w:sz="0" w:space="0" w:color="auto"/>
      </w:divBdr>
    </w:div>
    <w:div w:id="542786557">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27980025">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822504504">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992875410">
      <w:bodyDiv w:val="1"/>
      <w:marLeft w:val="0"/>
      <w:marRight w:val="0"/>
      <w:marTop w:val="0"/>
      <w:marBottom w:val="0"/>
      <w:divBdr>
        <w:top w:val="none" w:sz="0" w:space="0" w:color="auto"/>
        <w:left w:val="none" w:sz="0" w:space="0" w:color="auto"/>
        <w:bottom w:val="none" w:sz="0" w:space="0" w:color="auto"/>
        <w:right w:val="none" w:sz="0" w:space="0" w:color="auto"/>
      </w:divBdr>
    </w:div>
    <w:div w:id="995258770">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451363081">
      <w:bodyDiv w:val="1"/>
      <w:marLeft w:val="0"/>
      <w:marRight w:val="0"/>
      <w:marTop w:val="0"/>
      <w:marBottom w:val="0"/>
      <w:divBdr>
        <w:top w:val="none" w:sz="0" w:space="0" w:color="auto"/>
        <w:left w:val="none" w:sz="0" w:space="0" w:color="auto"/>
        <w:bottom w:val="none" w:sz="0" w:space="0" w:color="auto"/>
        <w:right w:val="none" w:sz="0" w:space="0" w:color="auto"/>
      </w:divBdr>
    </w:div>
    <w:div w:id="1458256016">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12972455">
      <w:bodyDiv w:val="1"/>
      <w:marLeft w:val="0"/>
      <w:marRight w:val="0"/>
      <w:marTop w:val="0"/>
      <w:marBottom w:val="0"/>
      <w:divBdr>
        <w:top w:val="none" w:sz="0" w:space="0" w:color="auto"/>
        <w:left w:val="none" w:sz="0" w:space="0" w:color="auto"/>
        <w:bottom w:val="none" w:sz="0" w:space="0" w:color="auto"/>
        <w:right w:val="none" w:sz="0" w:space="0" w:color="auto"/>
      </w:divBdr>
    </w:div>
    <w:div w:id="1640114552">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54945373">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067486108">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41070774">
      <w:bodyDiv w:val="1"/>
      <w:marLeft w:val="0"/>
      <w:marRight w:val="0"/>
      <w:marTop w:val="0"/>
      <w:marBottom w:val="0"/>
      <w:divBdr>
        <w:top w:val="none" w:sz="0" w:space="0" w:color="auto"/>
        <w:left w:val="none" w:sz="0" w:space="0" w:color="auto"/>
        <w:bottom w:val="none" w:sz="0" w:space="0" w:color="auto"/>
        <w:right w:val="none" w:sz="0" w:space="0" w:color="auto"/>
      </w:divBdr>
    </w:div>
    <w:div w:id="21444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FF5B-3AEB-4958-8F9A-3BECEC9B70F1}">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cdc4c19c-049b-4496-b023-9deca447e204"/>
    <ds:schemaRef ds:uri="ba4c1627-414a-414a-b605-c0f228a4e6b4"/>
    <ds:schemaRef ds:uri="http://www.w3.org/XML/1998/namespace"/>
  </ds:schemaRefs>
</ds:datastoreItem>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A4D440-D6D7-4E41-8933-BBFCD3CF4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19</Pages>
  <Words>4076</Words>
  <Characters>23234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27256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Tomlinson, Stephen</cp:lastModifiedBy>
  <cp:revision>56</cp:revision>
  <dcterms:created xsi:type="dcterms:W3CDTF">2020-09-18T00:25:00Z</dcterms:created>
  <dcterms:modified xsi:type="dcterms:W3CDTF">2020-09-21T15:48:00Z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