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49A7F92" w:rsidR="002F2C55" w:rsidRPr="006605C4" w:rsidRDefault="002F2C55" w:rsidP="001F6E93">
            <w:pPr>
              <w:pStyle w:val="Heading1"/>
              <w:rPr>
                <w:rFonts w:eastAsia="Times New Roman"/>
                <w:sz w:val="24"/>
              </w:rPr>
            </w:pPr>
            <w:r w:rsidRPr="006605C4">
              <w:rPr>
                <w:rFonts w:eastAsia="Times New Roman"/>
                <w:sz w:val="24"/>
              </w:rPr>
              <w:t>#</w:t>
            </w:r>
            <w:r w:rsidR="0097460E">
              <w:rPr>
                <w:rFonts w:eastAsia="Times New Roman"/>
                <w:sz w:val="24"/>
              </w:rPr>
              <w:t>30</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865542F" w:rsidR="002F2C55" w:rsidRPr="006605C4" w:rsidRDefault="004B537A"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EF466A8" w:rsidR="002F2C55" w:rsidRPr="006605C4" w:rsidRDefault="0097460E" w:rsidP="001F6E93">
            <w:pPr>
              <w:pStyle w:val="Heading1"/>
              <w:rPr>
                <w:rFonts w:eastAsia="Times New Roman"/>
                <w:sz w:val="24"/>
              </w:rPr>
            </w:pPr>
            <w:r>
              <w:rPr>
                <w:rFonts w:eastAsia="Times New Roman"/>
                <w:sz w:val="24"/>
              </w:rPr>
              <w:t>24</w:t>
            </w:r>
            <w:r w:rsidR="006C3379">
              <w:rPr>
                <w:rFonts w:eastAsia="Times New Roman"/>
                <w:sz w:val="24"/>
              </w:rPr>
              <w:t>/09/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0AE6442E" w:rsidR="002F2C55" w:rsidRPr="006605C4" w:rsidRDefault="0097460E" w:rsidP="001F6E93">
            <w:pPr>
              <w:pStyle w:val="Heading1"/>
              <w:rPr>
                <w:rFonts w:eastAsia="Times New Roman"/>
                <w:sz w:val="24"/>
              </w:rPr>
            </w:pPr>
            <w:r>
              <w:rPr>
                <w:rFonts w:eastAsia="Times New Roman"/>
                <w:sz w:val="24"/>
              </w:rPr>
              <w:t>28</w:t>
            </w:r>
            <w:r w:rsidR="002006A5">
              <w:rPr>
                <w:rFonts w:eastAsia="Times New Roman"/>
                <w:sz w:val="24"/>
              </w:rPr>
              <w:t>/09/20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43B3977" w:rsidR="002F2C55" w:rsidRPr="006605C4" w:rsidRDefault="00CE273C" w:rsidP="00577CAB">
            <w:pPr>
              <w:pStyle w:val="Heading1"/>
              <w:spacing w:after="0"/>
              <w:rPr>
                <w:rFonts w:eastAsia="Times New Roman"/>
                <w:sz w:val="24"/>
              </w:rPr>
            </w:pPr>
            <w:r w:rsidRPr="00CE273C">
              <w:rPr>
                <w:rFonts w:eastAsia="Times New Roman"/>
                <w:sz w:val="24"/>
              </w:rPr>
              <w:t>How can SGN Futures LTD own and operate hydrogen production if it is still the same company as SGN as a GDN? How does this avoid the need for further unbundling?</w:t>
            </w:r>
          </w:p>
        </w:tc>
      </w:tr>
    </w:tbl>
    <w:p w14:paraId="768E604A" w14:textId="77777777" w:rsidR="002F2C55" w:rsidRDefault="002F2C55" w:rsidP="001F6E93">
      <w:pPr>
        <w:pStyle w:val="Heading2"/>
        <w:rPr>
          <w:rFonts w:eastAsia="Times New Roman"/>
        </w:rPr>
      </w:pPr>
      <w:bookmarkStart w:id="0" w:name="_Toc513709470"/>
    </w:p>
    <w:bookmarkEnd w:id="0"/>
    <w:p w14:paraId="19903D9A" w14:textId="0F5BA6C5"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r w:rsidR="00E163CF">
        <w:rPr>
          <w:rFonts w:eastAsia="Times New Roman"/>
        </w:rPr>
        <w:t xml:space="preserve"> </w:t>
      </w:r>
    </w:p>
    <w:p w14:paraId="4315E9B8" w14:textId="77777777" w:rsidR="006B6B11" w:rsidRDefault="001F0EC0" w:rsidP="006B6B11">
      <w:r>
        <w:t>Appendix O of our submission and</w:t>
      </w:r>
      <w:r w:rsidR="008C02BB">
        <w:t xml:space="preserve"> our response to SQ29 provides our</w:t>
      </w:r>
      <w:r w:rsidR="0054000B">
        <w:t xml:space="preserve"> full</w:t>
      </w:r>
      <w:r w:rsidR="008C02BB">
        <w:t xml:space="preserve"> legal analysis carried out by </w:t>
      </w:r>
      <w:r w:rsidR="00793BDF">
        <w:t>Addleshaw</w:t>
      </w:r>
      <w:r w:rsidR="008C02BB">
        <w:t xml:space="preserve"> Goddard LL</w:t>
      </w:r>
      <w:r w:rsidR="00530A4B">
        <w:t>P</w:t>
      </w:r>
      <w:r w:rsidR="00273469">
        <w:t xml:space="preserve"> which </w:t>
      </w:r>
      <w:r w:rsidR="0054000B">
        <w:t>details the analysis on</w:t>
      </w:r>
      <w:r w:rsidR="00273469">
        <w:t xml:space="preserve"> </w:t>
      </w:r>
      <w:r w:rsidR="00405963">
        <w:t>unbundling</w:t>
      </w:r>
      <w:r w:rsidR="00FD3D90">
        <w:t xml:space="preserve"> (</w:t>
      </w:r>
      <w:r w:rsidR="005906BE">
        <w:t>s</w:t>
      </w:r>
      <w:r w:rsidR="00FD3D90">
        <w:t>ection 4 of the analysis</w:t>
      </w:r>
      <w:r w:rsidR="156CEE7F">
        <w:t>)</w:t>
      </w:r>
      <w:r w:rsidR="00405963">
        <w:t xml:space="preserve">.  </w:t>
      </w:r>
    </w:p>
    <w:p w14:paraId="7C9126A6" w14:textId="32A3703F" w:rsidR="00C100C5" w:rsidRDefault="00997F82" w:rsidP="006B6B11">
      <w:r>
        <w:t xml:space="preserve">Notwithstanding this, SGN Futures Limited will legally and functionally separate (“unbundled”) from Scotland Gas Networks plc (SGN). SGN will contract with SGN Futures Limited (on arm’s length terms) to produce hydrogen required for the H100 </w:t>
      </w:r>
      <w:r w:rsidR="00F85C72">
        <w:t>Fife p</w:t>
      </w:r>
      <w:r>
        <w:t>roject. As such, if the</w:t>
      </w:r>
      <w:r w:rsidR="00C100C5">
        <w:t xml:space="preserve"> </w:t>
      </w:r>
      <w:r>
        <w:t xml:space="preserve">unbundling rules were deemed to apply SGN would be able to comply with them in full. </w:t>
      </w:r>
    </w:p>
    <w:p w14:paraId="58142C95" w14:textId="3CBAB0F6" w:rsidR="00577CAB" w:rsidRPr="00CC6B0A" w:rsidRDefault="00597CA4" w:rsidP="006B6B11">
      <w:r>
        <w:t>For ease, we</w:t>
      </w:r>
      <w:r w:rsidR="00A05735">
        <w:t xml:space="preserve"> have provided below </w:t>
      </w:r>
      <w:r w:rsidR="001C52E8">
        <w:t xml:space="preserve">an extract of </w:t>
      </w:r>
      <w:r w:rsidR="00B44508">
        <w:t>section 4 of</w:t>
      </w:r>
      <w:r w:rsidR="00A05735">
        <w:t xml:space="preserve"> the </w:t>
      </w:r>
      <w:r w:rsidR="001C52E8">
        <w:t xml:space="preserve">legal </w:t>
      </w:r>
      <w:r w:rsidR="00A05735">
        <w:t>analysis</w:t>
      </w:r>
      <w:r w:rsidR="00DF5E27">
        <w:t>,</w:t>
      </w:r>
      <w:r w:rsidR="00A05735">
        <w:t xml:space="preserve"> </w:t>
      </w:r>
      <w:r w:rsidR="001C52E8">
        <w:t>which was provided in our response to SQ29</w:t>
      </w:r>
      <w:r w:rsidR="00DF5E27">
        <w:t>,</w:t>
      </w:r>
      <w:r w:rsidR="001C52E8">
        <w:t xml:space="preserve"> and which </w:t>
      </w:r>
      <w:r w:rsidR="00A05735">
        <w:t xml:space="preserve">details why the unbundling certification requirement does not apply </w:t>
      </w:r>
      <w:r w:rsidR="009A1DEB">
        <w:t xml:space="preserve">in relation to </w:t>
      </w:r>
      <w:r w:rsidR="001C52E8">
        <w:t>this project</w:t>
      </w:r>
      <w:r w:rsidR="004D5365">
        <w:t>.</w:t>
      </w:r>
      <w:bookmarkStart w:id="1" w:name="_GoBack"/>
      <w:bookmarkEnd w:id="1"/>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4"/>
        <w:gridCol w:w="1876"/>
        <w:gridCol w:w="7484"/>
      </w:tblGrid>
      <w:tr w:rsidR="00EE5159" w:rsidRPr="00C658D9" w14:paraId="42E63AF8" w14:textId="77777777" w:rsidTr="00C22DF3">
        <w:tc>
          <w:tcPr>
            <w:tcW w:w="0" w:type="auto"/>
            <w:tcMar>
              <w:top w:w="0" w:type="dxa"/>
              <w:left w:w="108" w:type="dxa"/>
              <w:bottom w:w="0" w:type="dxa"/>
              <w:right w:w="108" w:type="dxa"/>
            </w:tcMar>
          </w:tcPr>
          <w:p w14:paraId="47808F70" w14:textId="77777777" w:rsidR="00EE5159" w:rsidRDefault="00530A4B" w:rsidP="00530A4B">
            <w:pPr>
              <w:spacing w:line="240" w:lineRule="auto"/>
              <w:jc w:val="both"/>
              <w:rPr>
                <w:rFonts w:cs="Arial"/>
                <w:szCs w:val="20"/>
              </w:rPr>
            </w:pPr>
            <w:r>
              <w:rPr>
                <w:rFonts w:cs="Arial"/>
                <w:szCs w:val="20"/>
              </w:rPr>
              <w:t>4</w:t>
            </w:r>
          </w:p>
          <w:p w14:paraId="1AD5D4D0" w14:textId="77777777" w:rsidR="00C100C5" w:rsidRPr="00C100C5" w:rsidRDefault="00C100C5" w:rsidP="00C100C5">
            <w:pPr>
              <w:rPr>
                <w:rFonts w:cs="Arial"/>
                <w:szCs w:val="20"/>
              </w:rPr>
            </w:pPr>
          </w:p>
          <w:p w14:paraId="1B99249D" w14:textId="77777777" w:rsidR="00C100C5" w:rsidRPr="00C100C5" w:rsidRDefault="00C100C5" w:rsidP="00C100C5">
            <w:pPr>
              <w:rPr>
                <w:rFonts w:cs="Arial"/>
                <w:szCs w:val="20"/>
              </w:rPr>
            </w:pPr>
          </w:p>
          <w:p w14:paraId="70AAF2C2" w14:textId="77777777" w:rsidR="00C100C5" w:rsidRPr="00C100C5" w:rsidRDefault="00C100C5" w:rsidP="00C100C5">
            <w:pPr>
              <w:rPr>
                <w:rFonts w:cs="Arial"/>
                <w:szCs w:val="20"/>
              </w:rPr>
            </w:pPr>
          </w:p>
          <w:p w14:paraId="6CF29F83" w14:textId="77777777" w:rsidR="00C100C5" w:rsidRPr="00C100C5" w:rsidRDefault="00C100C5" w:rsidP="00C100C5">
            <w:pPr>
              <w:rPr>
                <w:rFonts w:cs="Arial"/>
                <w:szCs w:val="20"/>
              </w:rPr>
            </w:pPr>
          </w:p>
          <w:p w14:paraId="17E4BC0C" w14:textId="77777777" w:rsidR="00C100C5" w:rsidRPr="00C100C5" w:rsidRDefault="00C100C5" w:rsidP="00C100C5">
            <w:pPr>
              <w:rPr>
                <w:rFonts w:cs="Arial"/>
                <w:szCs w:val="20"/>
              </w:rPr>
            </w:pPr>
          </w:p>
          <w:p w14:paraId="7BFC3EEB" w14:textId="77777777" w:rsidR="00C100C5" w:rsidRPr="00C100C5" w:rsidRDefault="00C100C5" w:rsidP="00C100C5">
            <w:pPr>
              <w:rPr>
                <w:rFonts w:cs="Arial"/>
                <w:szCs w:val="20"/>
              </w:rPr>
            </w:pPr>
          </w:p>
          <w:p w14:paraId="7924DC40" w14:textId="77777777" w:rsidR="00C100C5" w:rsidRPr="00C100C5" w:rsidRDefault="00C100C5" w:rsidP="00C100C5">
            <w:pPr>
              <w:rPr>
                <w:rFonts w:cs="Arial"/>
                <w:szCs w:val="20"/>
              </w:rPr>
            </w:pPr>
          </w:p>
          <w:p w14:paraId="45FCE0BF" w14:textId="77777777" w:rsidR="00C100C5" w:rsidRPr="00C100C5" w:rsidRDefault="00C100C5" w:rsidP="00C100C5">
            <w:pPr>
              <w:rPr>
                <w:rFonts w:cs="Arial"/>
                <w:szCs w:val="20"/>
              </w:rPr>
            </w:pPr>
          </w:p>
          <w:p w14:paraId="654200AA" w14:textId="77777777" w:rsidR="00C100C5" w:rsidRPr="00C100C5" w:rsidRDefault="00C100C5" w:rsidP="00C100C5">
            <w:pPr>
              <w:rPr>
                <w:rFonts w:cs="Arial"/>
                <w:szCs w:val="20"/>
              </w:rPr>
            </w:pPr>
          </w:p>
          <w:p w14:paraId="65812BBD" w14:textId="77777777" w:rsidR="00C100C5" w:rsidRDefault="00C100C5" w:rsidP="00C100C5">
            <w:pPr>
              <w:rPr>
                <w:rFonts w:cs="Arial"/>
                <w:szCs w:val="20"/>
              </w:rPr>
            </w:pPr>
          </w:p>
          <w:p w14:paraId="6ECFFAE3" w14:textId="302062F5" w:rsidR="00C100C5" w:rsidRPr="00C100C5" w:rsidRDefault="00C100C5" w:rsidP="00C100C5">
            <w:pPr>
              <w:rPr>
                <w:rFonts w:cs="Arial"/>
                <w:szCs w:val="20"/>
              </w:rPr>
            </w:pPr>
          </w:p>
        </w:tc>
        <w:tc>
          <w:tcPr>
            <w:tcW w:w="1876" w:type="dxa"/>
            <w:tcMar>
              <w:top w:w="0" w:type="dxa"/>
              <w:left w:w="108" w:type="dxa"/>
              <w:bottom w:w="0" w:type="dxa"/>
              <w:right w:w="108" w:type="dxa"/>
            </w:tcMar>
          </w:tcPr>
          <w:p w14:paraId="3BD8BAB8" w14:textId="77777777" w:rsidR="00EE5159" w:rsidRDefault="00EE5159" w:rsidP="00ED6C4F">
            <w:pPr>
              <w:pStyle w:val="ListParagraph"/>
              <w:ind w:left="0"/>
              <w:jc w:val="both"/>
              <w:rPr>
                <w:rFonts w:cs="Arial"/>
                <w:b/>
                <w:i/>
                <w:szCs w:val="20"/>
              </w:rPr>
            </w:pPr>
            <w:r w:rsidRPr="003312C7">
              <w:rPr>
                <w:rFonts w:cs="Arial"/>
                <w:b/>
                <w:i/>
                <w:szCs w:val="20"/>
              </w:rPr>
              <w:lastRenderedPageBreak/>
              <w:t xml:space="preserve">Gas Act (implementing </w:t>
            </w:r>
            <w:r w:rsidRPr="003312C7">
              <w:rPr>
                <w:rFonts w:cs="Arial"/>
                <w:b/>
                <w:i/>
                <w:szCs w:val="20"/>
              </w:rPr>
              <w:lastRenderedPageBreak/>
              <w:t>the provisions of the Gas Directive 2009/73/EC)</w:t>
            </w:r>
          </w:p>
          <w:p w14:paraId="0480002F" w14:textId="77777777" w:rsidR="00EE5159" w:rsidRDefault="00EE5159" w:rsidP="00ED6C4F">
            <w:pPr>
              <w:pStyle w:val="ListParagraph"/>
              <w:ind w:left="0"/>
              <w:jc w:val="both"/>
              <w:rPr>
                <w:rFonts w:cs="Arial"/>
                <w:b/>
                <w:i/>
                <w:szCs w:val="20"/>
              </w:rPr>
            </w:pPr>
          </w:p>
          <w:p w14:paraId="3D93CEA9" w14:textId="77777777" w:rsidR="00EE5159" w:rsidRPr="00CF59AB" w:rsidRDefault="00EE5159" w:rsidP="00ED6C4F">
            <w:pPr>
              <w:pStyle w:val="ListParagraph"/>
              <w:ind w:left="0"/>
              <w:jc w:val="both"/>
              <w:rPr>
                <w:rFonts w:cs="Arial"/>
                <w:szCs w:val="20"/>
              </w:rPr>
            </w:pPr>
            <w:r w:rsidRPr="00CF59AB">
              <w:rPr>
                <w:rFonts w:cs="Arial"/>
                <w:szCs w:val="20"/>
              </w:rPr>
              <w:t>Whether the unbundling regime applies to the proposed project structure.</w:t>
            </w:r>
          </w:p>
        </w:tc>
        <w:tc>
          <w:tcPr>
            <w:tcW w:w="7606" w:type="dxa"/>
            <w:tcMar>
              <w:top w:w="0" w:type="dxa"/>
              <w:left w:w="108" w:type="dxa"/>
              <w:bottom w:w="0" w:type="dxa"/>
              <w:right w:w="108" w:type="dxa"/>
            </w:tcMar>
          </w:tcPr>
          <w:p w14:paraId="6A6BFD16" w14:textId="77777777" w:rsidR="00EE5159" w:rsidRDefault="00EE5159" w:rsidP="00ED6C4F">
            <w:pPr>
              <w:pStyle w:val="ListParagraph"/>
              <w:ind w:left="0"/>
              <w:jc w:val="both"/>
              <w:rPr>
                <w:rFonts w:cs="Arial"/>
                <w:szCs w:val="20"/>
              </w:rPr>
            </w:pPr>
            <w:r w:rsidRPr="003312C7">
              <w:rPr>
                <w:rFonts w:cs="Arial"/>
                <w:szCs w:val="20"/>
              </w:rPr>
              <w:lastRenderedPageBreak/>
              <w:t xml:space="preserve">The unbundling regime </w:t>
            </w:r>
            <w:r>
              <w:rPr>
                <w:rFonts w:cs="Arial"/>
                <w:szCs w:val="20"/>
              </w:rPr>
              <w:t xml:space="preserve">does not </w:t>
            </w:r>
            <w:r w:rsidRPr="003312C7">
              <w:rPr>
                <w:rFonts w:cs="Arial"/>
                <w:szCs w:val="20"/>
              </w:rPr>
              <w:t xml:space="preserve">apply </w:t>
            </w:r>
            <w:r>
              <w:rPr>
                <w:rFonts w:cs="Arial"/>
                <w:szCs w:val="20"/>
              </w:rPr>
              <w:t xml:space="preserve">given that ScGN does not carry out the transmission of gas. </w:t>
            </w:r>
          </w:p>
          <w:p w14:paraId="38D27B25" w14:textId="35A6CBFF" w:rsidR="00EE5159" w:rsidRDefault="00EE5159" w:rsidP="00ED6C4F">
            <w:pPr>
              <w:pStyle w:val="ListParagraph"/>
              <w:ind w:left="0"/>
              <w:jc w:val="both"/>
              <w:rPr>
                <w:rFonts w:cs="Arial"/>
                <w:szCs w:val="20"/>
              </w:rPr>
            </w:pPr>
            <w:r w:rsidRPr="003312C7">
              <w:rPr>
                <w:rFonts w:cs="Arial"/>
                <w:b/>
                <w:bCs/>
                <w:i/>
                <w:iCs/>
                <w:szCs w:val="20"/>
              </w:rPr>
              <w:lastRenderedPageBreak/>
              <w:t>Detail:</w:t>
            </w:r>
            <w:r w:rsidR="00677C3E">
              <w:rPr>
                <w:rFonts w:cs="Arial"/>
                <w:b/>
                <w:bCs/>
                <w:i/>
                <w:iCs/>
                <w:szCs w:val="20"/>
              </w:rPr>
              <w:t xml:space="preserve"> </w:t>
            </w:r>
            <w:r w:rsidR="0093455D" w:rsidRPr="0093455D">
              <w:rPr>
                <w:rFonts w:cs="Arial"/>
                <w:szCs w:val="20"/>
              </w:rPr>
              <w:t>In</w:t>
            </w:r>
            <w:r w:rsidRPr="003312C7">
              <w:rPr>
                <w:rFonts w:cs="Arial"/>
                <w:szCs w:val="20"/>
              </w:rPr>
              <w:t xml:space="preserve"> summary, the unbundling regime under the Gas Directive (as implemented in the Gas Act) provides for the separation of gas 'producers and suppliers' from the operation of transmission networks</w:t>
            </w:r>
            <w:r>
              <w:rPr>
                <w:rStyle w:val="FootnoteReference"/>
                <w:rFonts w:cs="Arial"/>
                <w:szCs w:val="20"/>
              </w:rPr>
              <w:footnoteReference w:id="2"/>
            </w:r>
            <w:r w:rsidRPr="003312C7">
              <w:rPr>
                <w:rFonts w:cs="Arial"/>
                <w:szCs w:val="20"/>
              </w:rPr>
              <w:t xml:space="preserve">. </w:t>
            </w:r>
          </w:p>
          <w:p w14:paraId="73C19538" w14:textId="77777777" w:rsidR="00EE5159" w:rsidRDefault="00EE5159" w:rsidP="00ED6C4F">
            <w:pPr>
              <w:pStyle w:val="ListParagraph"/>
              <w:ind w:left="0"/>
              <w:jc w:val="both"/>
              <w:rPr>
                <w:rFonts w:cs="Arial"/>
                <w:szCs w:val="20"/>
              </w:rPr>
            </w:pPr>
            <w:r>
              <w:rPr>
                <w:rFonts w:cs="Arial"/>
                <w:szCs w:val="20"/>
              </w:rPr>
              <w:t>There are two key elements to consider:</w:t>
            </w:r>
          </w:p>
          <w:p w14:paraId="18C691B6" w14:textId="77777777" w:rsidR="00EE5159" w:rsidRDefault="00EE5159" w:rsidP="00ED6C4F">
            <w:pPr>
              <w:pStyle w:val="ListParagraph"/>
              <w:ind w:left="0"/>
              <w:jc w:val="both"/>
              <w:rPr>
                <w:rFonts w:cs="Arial"/>
                <w:szCs w:val="20"/>
              </w:rPr>
            </w:pPr>
            <w:r>
              <w:rPr>
                <w:rFonts w:cs="Arial"/>
                <w:szCs w:val="20"/>
              </w:rPr>
              <w:t>(a) is ScGN required to be certified as independent from 'producers and suppliers' under the Gas Act; and</w:t>
            </w:r>
          </w:p>
          <w:p w14:paraId="14D0B19C" w14:textId="77777777" w:rsidR="00EE5159" w:rsidRDefault="00EE5159" w:rsidP="00ED6C4F">
            <w:pPr>
              <w:pStyle w:val="ListParagraph"/>
              <w:ind w:left="0"/>
              <w:jc w:val="both"/>
              <w:rPr>
                <w:rFonts w:cs="Arial"/>
                <w:szCs w:val="20"/>
              </w:rPr>
            </w:pPr>
            <w:r>
              <w:rPr>
                <w:rFonts w:cs="Arial"/>
                <w:szCs w:val="20"/>
              </w:rPr>
              <w:t>(b) if so, is ScGN suitably independent/ unbundled from 'producers and suppliers'.</w:t>
            </w:r>
          </w:p>
          <w:p w14:paraId="14814A61" w14:textId="5AFD24F2" w:rsidR="00EE5159" w:rsidRDefault="00EE5159" w:rsidP="00ED6C4F">
            <w:pPr>
              <w:pStyle w:val="ListParagraph"/>
              <w:ind w:left="0"/>
              <w:jc w:val="both"/>
              <w:rPr>
                <w:rFonts w:cs="Arial"/>
                <w:szCs w:val="20"/>
              </w:rPr>
            </w:pPr>
            <w:r>
              <w:rPr>
                <w:rFonts w:cs="Arial"/>
                <w:szCs w:val="20"/>
              </w:rPr>
              <w:t xml:space="preserve">Turning to point (b) first, the definition of 'producer and supplier' covers an entity which produces any gas which is suitable for conveyance through pipes to premises (as SGN Futures will do) provided that it also meets one of three different requirements: (i) it requires a licence for gas supply or shipping; (ii) it would do so if those activities were carried out in GB; or (iii) the producer has a </w:t>
            </w:r>
            <w:r w:rsidRPr="00194D20">
              <w:rPr>
                <w:rFonts w:cs="Arial"/>
                <w:szCs w:val="20"/>
              </w:rPr>
              <w:t>relationship with a certified person/ applicant</w:t>
            </w:r>
            <w:r>
              <w:rPr>
                <w:rFonts w:cs="Arial"/>
                <w:szCs w:val="20"/>
              </w:rPr>
              <w:t xml:space="preserve"> (this would be ScGN)</w:t>
            </w:r>
            <w:r w:rsidRPr="00194D20">
              <w:rPr>
                <w:rFonts w:cs="Arial"/>
                <w:szCs w:val="20"/>
              </w:rPr>
              <w:t xml:space="preserve"> which might lead that person to discriminate in the producer's favour</w:t>
            </w:r>
            <w:r>
              <w:rPr>
                <w:rStyle w:val="FootnoteReference"/>
                <w:rFonts w:cs="Arial"/>
                <w:szCs w:val="20"/>
              </w:rPr>
              <w:footnoteReference w:id="3"/>
            </w:r>
            <w:r>
              <w:rPr>
                <w:rFonts w:cs="Arial"/>
                <w:szCs w:val="20"/>
              </w:rPr>
              <w:t>. Under Option 1, SGN Futures would be producing gas and, although it would not require a supply or shipper licence or be carrying out equivalent activities outside GB, it could arguably benefit from favourable treatment discrimination by affiliate ScGN. So, limb (b) is satisfied.</w:t>
            </w:r>
          </w:p>
          <w:p w14:paraId="3F0F2409" w14:textId="77777777" w:rsidR="00EE5159" w:rsidRPr="003312C7" w:rsidRDefault="00EE5159" w:rsidP="00ED6C4F">
            <w:pPr>
              <w:pStyle w:val="ListParagraph"/>
              <w:ind w:left="0"/>
              <w:jc w:val="both"/>
              <w:rPr>
                <w:rFonts w:cs="Arial"/>
                <w:szCs w:val="20"/>
              </w:rPr>
            </w:pPr>
            <w:r>
              <w:rPr>
                <w:rFonts w:cs="Arial"/>
                <w:szCs w:val="20"/>
              </w:rPr>
              <w:t xml:space="preserve">It is limb (a) where the test </w:t>
            </w:r>
            <w:proofErr w:type="gramStart"/>
            <w:r>
              <w:rPr>
                <w:rFonts w:cs="Arial"/>
                <w:szCs w:val="20"/>
              </w:rPr>
              <w:t>falls down</w:t>
            </w:r>
            <w:proofErr w:type="gramEnd"/>
            <w:r>
              <w:rPr>
                <w:rFonts w:cs="Arial"/>
                <w:szCs w:val="20"/>
              </w:rPr>
              <w:t>. The requirement is only for gas transporters who carry out the 'transmission of gas' (meaning "t</w:t>
            </w:r>
            <w:r w:rsidRPr="007C3C7B">
              <w:rPr>
                <w:rFonts w:cs="Arial"/>
                <w:szCs w:val="20"/>
              </w:rPr>
              <w:t>he transport of natural gas through a network, which mainly contains high-pressure pipelines, other than an upstream pipeline network and other than the part of high-pressure pipelines primarily used in the context of local distribution of natural gas, with a view to its delivery to customers, but not including supply</w:t>
            </w:r>
            <w:r>
              <w:rPr>
                <w:rFonts w:cs="Arial"/>
                <w:szCs w:val="20"/>
              </w:rPr>
              <w:t>").</w:t>
            </w:r>
            <w:r>
              <w:rPr>
                <w:rStyle w:val="FootnoteReference"/>
                <w:rFonts w:cs="Arial"/>
                <w:szCs w:val="20"/>
              </w:rPr>
              <w:footnoteReference w:id="4"/>
            </w:r>
            <w:r>
              <w:rPr>
                <w:rFonts w:cs="Arial"/>
                <w:szCs w:val="20"/>
              </w:rPr>
              <w:t xml:space="preserve"> As such, the requirement relates to a TSO rather than a DNO such as ScGN. This means that, regardless of whether limb (b) is satisfied, the unbundling certification requirement does not apply.  </w:t>
            </w:r>
          </w:p>
        </w:tc>
      </w:tr>
    </w:tbl>
    <w:p w14:paraId="78BA4844" w14:textId="498DF8DA" w:rsidR="00EE5159" w:rsidRPr="00EE5159" w:rsidRDefault="00EE5159" w:rsidP="00DB51CB">
      <w:pPr>
        <w:tabs>
          <w:tab w:val="left" w:pos="4143"/>
        </w:tabs>
      </w:pPr>
    </w:p>
    <w:sectPr w:rsidR="00EE5159" w:rsidRPr="00EE5159" w:rsidSect="000A1A2E">
      <w:footerReference w:type="default" r:id="rId12"/>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88992" w14:textId="77777777" w:rsidR="00EA6C63" w:rsidRDefault="00EA6C63" w:rsidP="001F6E93">
      <w:r>
        <w:separator/>
      </w:r>
    </w:p>
  </w:endnote>
  <w:endnote w:type="continuationSeparator" w:id="0">
    <w:p w14:paraId="7ECAD1B5" w14:textId="77777777" w:rsidR="00EA6C63" w:rsidRDefault="00EA6C63" w:rsidP="001F6E93">
      <w:r>
        <w:continuationSeparator/>
      </w:r>
    </w:p>
  </w:endnote>
  <w:endnote w:type="continuationNotice" w:id="1">
    <w:p w14:paraId="282BAAAF" w14:textId="77777777" w:rsidR="00EA6C63" w:rsidRDefault="00EA6C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25620" w14:textId="5EC30FEE" w:rsidR="00C63EC3" w:rsidRDefault="006A0CF0">
    <w:pPr>
      <w:pStyle w:val="Footer"/>
    </w:pPr>
    <w:r>
      <w:rPr>
        <w:noProof/>
      </w:rPr>
      <mc:AlternateContent>
        <mc:Choice Requires="wps">
          <w:drawing>
            <wp:anchor distT="0" distB="0" distL="114300" distR="114300" simplePos="0" relativeHeight="251660289" behindDoc="0" locked="0" layoutInCell="0" allowOverlap="1" wp14:anchorId="7C4701F0" wp14:editId="1BBA036C">
              <wp:simplePos x="0" y="0"/>
              <wp:positionH relativeFrom="page">
                <wp:align>left</wp:align>
              </wp:positionH>
              <wp:positionV relativeFrom="page">
                <wp:align>bottom</wp:align>
              </wp:positionV>
              <wp:extent cx="7772400" cy="463550"/>
              <wp:effectExtent l="0" t="0" r="0" b="12700"/>
              <wp:wrapNone/>
              <wp:docPr id="6" name="MSIPCM7f284056a8e6e015f7ff76c9" descr="{&quot;HashCode&quot;:205147173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A24DCD" w14:textId="3A0575D6" w:rsidR="006A0CF0" w:rsidRPr="006A0CF0" w:rsidRDefault="006A0CF0" w:rsidP="006A0CF0">
                          <w:pPr>
                            <w:rPr>
                              <w:rFonts w:ascii="Calibri" w:hAnsi="Calibri" w:cs="Calibri"/>
                              <w:color w:val="000000"/>
                            </w:rPr>
                          </w:pPr>
                          <w:r w:rsidRPr="006A0CF0">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7C4701F0">
              <v:stroke joinstyle="miter"/>
              <v:path gradientshapeok="t" o:connecttype="rect"/>
            </v:shapetype>
            <v:shape id="MSIPCM7f284056a8e6e015f7ff76c9" style="position:absolute;margin-left:0;margin-top:0;width:612pt;height:36.5pt;z-index:251660289;visibility:visible;mso-wrap-style:square;mso-wrap-distance-left:9pt;mso-wrap-distance-top:0;mso-wrap-distance-right:9pt;mso-wrap-distance-bottom:0;mso-position-horizontal:left;mso-position-horizontal-relative:page;mso-position-vertical:bottom;mso-position-vertical-relative:page;v-text-anchor:middle" alt="{&quot;HashCode&quot;:2051471737,&quot;Height&quot;:9999999.0,&quot;Width&quot;:9999999.0,&quot;Placement&quot;:&quot;Footer&quot;,&quot;Index&quot;:&quot;Primary&quot;,&quot;Section&quot;:2,&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yuDGQMAAEEGAAAOAAAAZHJzL2Uyb0RvYy54bWysVN1P2zAQf5+0/8Hyw55WkpS0aToCgqJu&#10;SAUqlYln17Eba4md2S5Nh/jfd3YSoGyTpml5cO7L5/v43Z2cNVWJHpg2QskMR0chRkxSlQu5yfDX&#10;u/lggpGxROakVJJleM8MPjt9/+5kV0/ZUBWqzJlG4ESa6a7OcGFtPQ0CQwtWEXOkaiZByZWuiAVW&#10;b4Jckx14r8pgGIbjYKd0XmtFmTEgvWyV+NT755xRe8u5YRaVGYbYrD+1P9fuDE5PyHSjSV0I2oVB&#10;/iGKiggJjz67uiSWoK0Wv7iqBNXKKG6PqKoCxbmgzOcA2UThm2xWBamZzwWKY+rnMpn/55bePCw1&#10;EnmGxxhJUkGLrldXy9l1woeTOByNyYSNWRiNeMJ5MqYpRjkzFCr4+OH7VtlPX4gpZipnLTcdhqMo&#10;TqLkOPnY6ZnYFLbTpu13FHbKe5Hb4g+6ZUkoq5js77Zmc6Us0y3dObmSOWs6J+1vqUVF9P7AagVQ&#10;AIx2dsPu7p2qO0n4HNSC8f5NED45iOxqM4VKrWqolW0uVANQ7+UGhK7zDdeV+0NPEegBbPtngLHG&#10;IgrCJEmGcQgqCrp4fDwaeQQGL7drbexnpirkiAxriNrjijwsjIVIwLQ3cY9JNRdl6UFcSrSDLh6D&#10;ywMN3Cilk0AQ4KOjWnA+phHEczFMB/PxJBnE83g0SJNwMgij9CIdh3EaX86fnL8onhYiz5lcCMn6&#10;QYnivwNiN7ItxP2oHIRqVClyl4eLzWU3KzV6IDCxa8DAN1doSOKVVXAYjldDdv3fZxm4nrW9cZRt&#10;1k3XyLXK99BHraC+0ApT07mARxfE2CXRMP0ghI1mb+HgpYKiqo7CqFD6x+/kzh5qAVqMdrBNMmy+&#10;b4lmGJVXEsZ1OIK2g1/rOSC0J9IojoFZ91K5rWYK8o58WJ50trbsSa5VdQ8b79w9ByoiKTyaYWp1&#10;z8ws8KCCnUnZ+bmnYdfUxC7kqqbOeV/nu+ae6LqDmoUK3qh+5ZDpG8S1tu6mVOdbq7jwcHS1bQsK&#10;1XcM7Cnfh26nukX4mvdWL5v/9CcAAAD//wMAUEsDBBQABgAIAAAAIQD+9Y2b2gAAAAUBAAAPAAAA&#10;ZHJzL2Rvd25yZXYueG1sTI9BS8NAEIXvgv9hGcGb3XQrWtJsioiCIAhGvU+y0yR0dzbNbtv037v1&#10;Yi8PHm9475tiPTkrDjSG3rOG+SwDQdx403Or4fvr9W4JIkRkg9YzaThRgHV5fVVgbvyRP+lQxVak&#10;Eg45auhiHHIpQ9ORwzDzA3HKNn50GJMdW2lGPKZyZ6XKsgfpsOe00OFAzx0122rvNPjdDpe1Ut7+&#10;zM372+Kjql42J61vb6anFYhIU/w/hjN+QocyMdV+zyYIqyE9Ev/0nCl1n3yt4XGRgSwLeUlf/gIA&#10;AP//AwBQSwECLQAUAAYACAAAACEAtoM4kv4AAADhAQAAEwAAAAAAAAAAAAAAAAAAAAAAW0NvbnRl&#10;bnRfVHlwZXNdLnhtbFBLAQItABQABgAIAAAAIQA4/SH/1gAAAJQBAAALAAAAAAAAAAAAAAAAAC8B&#10;AABfcmVscy8ucmVsc1BLAQItABQABgAIAAAAIQBrmyuDGQMAAEEGAAAOAAAAAAAAAAAAAAAAAC4C&#10;AABkcnMvZTJvRG9jLnhtbFBLAQItABQABgAIAAAAIQD+9Y2b2gAAAAUBAAAPAAAAAAAAAAAAAAAA&#10;AHMFAABkcnMvZG93bnJldi54bWxQSwUGAAAAAAQABADzAAAAegYAAAAA&#10;">
              <v:textbox inset="20pt,0,,0">
                <w:txbxContent>
                  <w:p w:rsidRPr="006A0CF0" w:rsidR="006A0CF0" w:rsidP="006A0CF0" w:rsidRDefault="006A0CF0" w14:paraId="7CA24DCD" w14:textId="3A0575D6">
                    <w:pPr>
                      <w:rPr>
                        <w:rFonts w:ascii="Calibri" w:hAnsi="Calibri" w:cs="Calibri"/>
                        <w:color w:val="000000"/>
                      </w:rPr>
                    </w:pPr>
                    <w:r w:rsidRPr="006A0CF0">
                      <w:rPr>
                        <w:rFonts w:ascii="Calibri" w:hAnsi="Calibri" w:cs="Calibri"/>
                        <w:color w:val="000000"/>
                      </w:rPr>
                      <w:t>Classified as Internal</w:t>
                    </w:r>
                  </w:p>
                </w:txbxContent>
              </v:textbox>
              <w10:wrap anchorx="page" anchory="page"/>
            </v:shape>
          </w:pict>
        </mc:Fallback>
      </mc:AlternateContent>
    </w:r>
  </w:p>
  <w:p w14:paraId="24DEB576" w14:textId="780123BB" w:rsidR="00C63EC3" w:rsidRDefault="00C63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376CC" w14:textId="77777777" w:rsidR="00EA6C63" w:rsidRDefault="00EA6C63" w:rsidP="001F6E93">
      <w:r>
        <w:separator/>
      </w:r>
    </w:p>
  </w:footnote>
  <w:footnote w:type="continuationSeparator" w:id="0">
    <w:p w14:paraId="73D59EE1" w14:textId="77777777" w:rsidR="00EA6C63" w:rsidRDefault="00EA6C63" w:rsidP="001F6E93">
      <w:r>
        <w:continuationSeparator/>
      </w:r>
    </w:p>
  </w:footnote>
  <w:footnote w:type="continuationNotice" w:id="1">
    <w:p w14:paraId="739BA4EA" w14:textId="77777777" w:rsidR="00EA6C63" w:rsidRDefault="00EA6C63">
      <w:pPr>
        <w:spacing w:line="240" w:lineRule="auto"/>
      </w:pPr>
    </w:p>
  </w:footnote>
  <w:footnote w:id="2">
    <w:p w14:paraId="157123CC" w14:textId="77777777" w:rsidR="00EE5159" w:rsidRDefault="00EE5159" w:rsidP="00EE5159">
      <w:pPr>
        <w:pStyle w:val="FootnoteText"/>
      </w:pPr>
      <w:r>
        <w:rPr>
          <w:rStyle w:val="FootnoteReference"/>
        </w:rPr>
        <w:footnoteRef/>
      </w:r>
      <w:r>
        <w:t xml:space="preserve"> Section 8H of the Gas Act 1986. </w:t>
      </w:r>
    </w:p>
  </w:footnote>
  <w:footnote w:id="3">
    <w:p w14:paraId="30770B92" w14:textId="77777777" w:rsidR="00EE5159" w:rsidRDefault="00EE5159" w:rsidP="00EE5159">
      <w:pPr>
        <w:pStyle w:val="FootnoteText"/>
      </w:pPr>
      <w:r>
        <w:rPr>
          <w:rStyle w:val="FootnoteReference"/>
        </w:rPr>
        <w:footnoteRef/>
      </w:r>
      <w:r>
        <w:t xml:space="preserve"> Section 8Q of the Gas Act 1986. </w:t>
      </w:r>
    </w:p>
  </w:footnote>
  <w:footnote w:id="4">
    <w:p w14:paraId="6203BE4C" w14:textId="77777777" w:rsidR="00EE5159" w:rsidRDefault="00EE5159" w:rsidP="00EE5159">
      <w:pPr>
        <w:pStyle w:val="FootnoteText"/>
      </w:pPr>
      <w:r>
        <w:rPr>
          <w:rStyle w:val="FootnoteReference"/>
        </w:rPr>
        <w:footnoteRef/>
      </w:r>
      <w:r>
        <w:t xml:space="preserve"> Section</w:t>
      </w:r>
      <w:r w:rsidRPr="0000759A">
        <w:t xml:space="preserve"> 8C of the Gas Act</w:t>
      </w:r>
      <w:r>
        <w:t xml:space="preserve"> and (by cross-reference) Article 2(3) of the Gas Directive.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AF1258"/>
    <w:multiLevelType w:val="hybridMultilevel"/>
    <w:tmpl w:val="239A11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A97B7F"/>
    <w:multiLevelType w:val="hybridMultilevel"/>
    <w:tmpl w:val="CE64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E01CA6"/>
    <w:multiLevelType w:val="hybridMultilevel"/>
    <w:tmpl w:val="AE2E9E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5F74"/>
    <w:multiLevelType w:val="hybridMultilevel"/>
    <w:tmpl w:val="F6387996"/>
    <w:lvl w:ilvl="0" w:tplc="B2609970">
      <w:start w:val="1"/>
      <w:numFmt w:val="decimal"/>
      <w:lvlText w:val="%1."/>
      <w:lvlJc w:val="left"/>
      <w:pPr>
        <w:ind w:left="72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5"/>
  </w:num>
  <w:num w:numId="6">
    <w:abstractNumId w:val="14"/>
  </w:num>
  <w:num w:numId="7">
    <w:abstractNumId w:val="6"/>
  </w:num>
  <w:num w:numId="8">
    <w:abstractNumId w:val="7"/>
  </w:num>
  <w:num w:numId="9">
    <w:abstractNumId w:val="2"/>
  </w:num>
  <w:num w:numId="10">
    <w:abstractNumId w:val="9"/>
  </w:num>
  <w:num w:numId="11">
    <w:abstractNumId w:val="10"/>
  </w:num>
  <w:num w:numId="12">
    <w:abstractNumId w:val="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4870"/>
    <w:rsid w:val="00024363"/>
    <w:rsid w:val="00046AFF"/>
    <w:rsid w:val="000704C4"/>
    <w:rsid w:val="000740B5"/>
    <w:rsid w:val="00087FA2"/>
    <w:rsid w:val="000A1A2E"/>
    <w:rsid w:val="000A3CF1"/>
    <w:rsid w:val="000B05E0"/>
    <w:rsid w:val="000B63B4"/>
    <w:rsid w:val="000B697A"/>
    <w:rsid w:val="000F4635"/>
    <w:rsid w:val="000F6BBE"/>
    <w:rsid w:val="001117FD"/>
    <w:rsid w:val="00111E72"/>
    <w:rsid w:val="001431F3"/>
    <w:rsid w:val="00156E8D"/>
    <w:rsid w:val="0016067F"/>
    <w:rsid w:val="001722DA"/>
    <w:rsid w:val="00177460"/>
    <w:rsid w:val="00197608"/>
    <w:rsid w:val="001A2292"/>
    <w:rsid w:val="001A5456"/>
    <w:rsid w:val="001A68F2"/>
    <w:rsid w:val="001B636F"/>
    <w:rsid w:val="001C06F4"/>
    <w:rsid w:val="001C52E8"/>
    <w:rsid w:val="001E6E86"/>
    <w:rsid w:val="001F0EC0"/>
    <w:rsid w:val="001F3B23"/>
    <w:rsid w:val="001F6E93"/>
    <w:rsid w:val="002006A5"/>
    <w:rsid w:val="00213A67"/>
    <w:rsid w:val="0022798D"/>
    <w:rsid w:val="002378BA"/>
    <w:rsid w:val="00245FB4"/>
    <w:rsid w:val="00247610"/>
    <w:rsid w:val="00263DFC"/>
    <w:rsid w:val="00263F95"/>
    <w:rsid w:val="00265510"/>
    <w:rsid w:val="00265B21"/>
    <w:rsid w:val="00265B97"/>
    <w:rsid w:val="00273469"/>
    <w:rsid w:val="00281E58"/>
    <w:rsid w:val="00284C29"/>
    <w:rsid w:val="00290C74"/>
    <w:rsid w:val="002A27A4"/>
    <w:rsid w:val="002A6C7A"/>
    <w:rsid w:val="002A7E0C"/>
    <w:rsid w:val="002B0FBF"/>
    <w:rsid w:val="002D7A9A"/>
    <w:rsid w:val="002F27CC"/>
    <w:rsid w:val="002F2C55"/>
    <w:rsid w:val="002F48C3"/>
    <w:rsid w:val="00323B17"/>
    <w:rsid w:val="00330491"/>
    <w:rsid w:val="00331426"/>
    <w:rsid w:val="00372A8B"/>
    <w:rsid w:val="00380A9E"/>
    <w:rsid w:val="00381B7A"/>
    <w:rsid w:val="00383994"/>
    <w:rsid w:val="00394190"/>
    <w:rsid w:val="00396003"/>
    <w:rsid w:val="003C1342"/>
    <w:rsid w:val="003C2D5F"/>
    <w:rsid w:val="003D0181"/>
    <w:rsid w:val="003E0EED"/>
    <w:rsid w:val="003E19BA"/>
    <w:rsid w:val="00404EE8"/>
    <w:rsid w:val="00405963"/>
    <w:rsid w:val="00431249"/>
    <w:rsid w:val="00447199"/>
    <w:rsid w:val="0048214F"/>
    <w:rsid w:val="004824AC"/>
    <w:rsid w:val="00492CCC"/>
    <w:rsid w:val="00496FD7"/>
    <w:rsid w:val="004A6E56"/>
    <w:rsid w:val="004B2B3A"/>
    <w:rsid w:val="004B2FA7"/>
    <w:rsid w:val="004B537A"/>
    <w:rsid w:val="004B54BB"/>
    <w:rsid w:val="004B58A0"/>
    <w:rsid w:val="004B71FB"/>
    <w:rsid w:val="004D5365"/>
    <w:rsid w:val="004D5FA0"/>
    <w:rsid w:val="004E67D1"/>
    <w:rsid w:val="00525533"/>
    <w:rsid w:val="00530A4B"/>
    <w:rsid w:val="00531DD6"/>
    <w:rsid w:val="005331D0"/>
    <w:rsid w:val="00536E5B"/>
    <w:rsid w:val="0054000B"/>
    <w:rsid w:val="00556AB4"/>
    <w:rsid w:val="00561FB6"/>
    <w:rsid w:val="00577CAB"/>
    <w:rsid w:val="00582799"/>
    <w:rsid w:val="005906BE"/>
    <w:rsid w:val="0059688D"/>
    <w:rsid w:val="00597CA4"/>
    <w:rsid w:val="005A134F"/>
    <w:rsid w:val="005A5479"/>
    <w:rsid w:val="005A5E1D"/>
    <w:rsid w:val="005A7C70"/>
    <w:rsid w:val="005B64ED"/>
    <w:rsid w:val="005C4066"/>
    <w:rsid w:val="005C646A"/>
    <w:rsid w:val="005C7DB8"/>
    <w:rsid w:val="005D3969"/>
    <w:rsid w:val="005D4DAC"/>
    <w:rsid w:val="005D6B06"/>
    <w:rsid w:val="005F0460"/>
    <w:rsid w:val="005F6CC3"/>
    <w:rsid w:val="005F713F"/>
    <w:rsid w:val="00600994"/>
    <w:rsid w:val="006048A4"/>
    <w:rsid w:val="00607D48"/>
    <w:rsid w:val="0061133C"/>
    <w:rsid w:val="00625CFE"/>
    <w:rsid w:val="006378D6"/>
    <w:rsid w:val="00642CA7"/>
    <w:rsid w:val="00647505"/>
    <w:rsid w:val="006548AD"/>
    <w:rsid w:val="006605C4"/>
    <w:rsid w:val="00662A28"/>
    <w:rsid w:val="00677C3E"/>
    <w:rsid w:val="00683520"/>
    <w:rsid w:val="006A0CF0"/>
    <w:rsid w:val="006A5BBE"/>
    <w:rsid w:val="006B2159"/>
    <w:rsid w:val="006B6B11"/>
    <w:rsid w:val="006B764E"/>
    <w:rsid w:val="006C3379"/>
    <w:rsid w:val="006C6124"/>
    <w:rsid w:val="006D211B"/>
    <w:rsid w:val="007061D6"/>
    <w:rsid w:val="00712168"/>
    <w:rsid w:val="0072274A"/>
    <w:rsid w:val="00726E9B"/>
    <w:rsid w:val="0073390F"/>
    <w:rsid w:val="00733D5B"/>
    <w:rsid w:val="00734038"/>
    <w:rsid w:val="00737C37"/>
    <w:rsid w:val="00741FBA"/>
    <w:rsid w:val="007534E0"/>
    <w:rsid w:val="00770D73"/>
    <w:rsid w:val="00774971"/>
    <w:rsid w:val="00776F53"/>
    <w:rsid w:val="007801A7"/>
    <w:rsid w:val="00782583"/>
    <w:rsid w:val="00783680"/>
    <w:rsid w:val="007849FE"/>
    <w:rsid w:val="00793BDF"/>
    <w:rsid w:val="007A4F15"/>
    <w:rsid w:val="007B651E"/>
    <w:rsid w:val="007C0D12"/>
    <w:rsid w:val="007C484A"/>
    <w:rsid w:val="007C7E9B"/>
    <w:rsid w:val="007D4AAF"/>
    <w:rsid w:val="007D6A38"/>
    <w:rsid w:val="007F0694"/>
    <w:rsid w:val="007F1638"/>
    <w:rsid w:val="008163D2"/>
    <w:rsid w:val="00822639"/>
    <w:rsid w:val="00844D24"/>
    <w:rsid w:val="008517F4"/>
    <w:rsid w:val="0086475A"/>
    <w:rsid w:val="00872AC1"/>
    <w:rsid w:val="0087332C"/>
    <w:rsid w:val="00876234"/>
    <w:rsid w:val="008867C2"/>
    <w:rsid w:val="0089032C"/>
    <w:rsid w:val="00897EB3"/>
    <w:rsid w:val="008A710C"/>
    <w:rsid w:val="008B0EFD"/>
    <w:rsid w:val="008C02BB"/>
    <w:rsid w:val="008C57A3"/>
    <w:rsid w:val="008F31C6"/>
    <w:rsid w:val="008F76C9"/>
    <w:rsid w:val="00901F17"/>
    <w:rsid w:val="0092512F"/>
    <w:rsid w:val="0092607C"/>
    <w:rsid w:val="009263A8"/>
    <w:rsid w:val="00932027"/>
    <w:rsid w:val="0093455D"/>
    <w:rsid w:val="00936469"/>
    <w:rsid w:val="00941BC7"/>
    <w:rsid w:val="009524C4"/>
    <w:rsid w:val="0096144F"/>
    <w:rsid w:val="00967DAE"/>
    <w:rsid w:val="0097460E"/>
    <w:rsid w:val="00980F6A"/>
    <w:rsid w:val="00982E78"/>
    <w:rsid w:val="009850F2"/>
    <w:rsid w:val="009905C7"/>
    <w:rsid w:val="009944E4"/>
    <w:rsid w:val="00997F82"/>
    <w:rsid w:val="009A1DEB"/>
    <w:rsid w:val="009B7453"/>
    <w:rsid w:val="009E016E"/>
    <w:rsid w:val="009E2893"/>
    <w:rsid w:val="009E5B19"/>
    <w:rsid w:val="009E67D8"/>
    <w:rsid w:val="00A05735"/>
    <w:rsid w:val="00A06B67"/>
    <w:rsid w:val="00A12F54"/>
    <w:rsid w:val="00A17F94"/>
    <w:rsid w:val="00A2261C"/>
    <w:rsid w:val="00A27804"/>
    <w:rsid w:val="00A3371D"/>
    <w:rsid w:val="00A359B8"/>
    <w:rsid w:val="00A46A90"/>
    <w:rsid w:val="00A6139E"/>
    <w:rsid w:val="00A74452"/>
    <w:rsid w:val="00A90AC1"/>
    <w:rsid w:val="00AA0CD2"/>
    <w:rsid w:val="00AA4841"/>
    <w:rsid w:val="00AA4A70"/>
    <w:rsid w:val="00AC3DB1"/>
    <w:rsid w:val="00AD40BC"/>
    <w:rsid w:val="00AD4189"/>
    <w:rsid w:val="00AD4FBF"/>
    <w:rsid w:val="00AD4FDD"/>
    <w:rsid w:val="00AE30FA"/>
    <w:rsid w:val="00AE7639"/>
    <w:rsid w:val="00B07807"/>
    <w:rsid w:val="00B11441"/>
    <w:rsid w:val="00B343C1"/>
    <w:rsid w:val="00B35FCE"/>
    <w:rsid w:val="00B36A72"/>
    <w:rsid w:val="00B36C3F"/>
    <w:rsid w:val="00B44508"/>
    <w:rsid w:val="00B51F6B"/>
    <w:rsid w:val="00B65DF4"/>
    <w:rsid w:val="00B74FD7"/>
    <w:rsid w:val="00B82DD8"/>
    <w:rsid w:val="00B85ECA"/>
    <w:rsid w:val="00B92D1F"/>
    <w:rsid w:val="00B92F01"/>
    <w:rsid w:val="00B96B4C"/>
    <w:rsid w:val="00BA4700"/>
    <w:rsid w:val="00BB4220"/>
    <w:rsid w:val="00BB4765"/>
    <w:rsid w:val="00BC24C5"/>
    <w:rsid w:val="00BE0F84"/>
    <w:rsid w:val="00BF599B"/>
    <w:rsid w:val="00C05BCC"/>
    <w:rsid w:val="00C100C5"/>
    <w:rsid w:val="00C22DF3"/>
    <w:rsid w:val="00C2624B"/>
    <w:rsid w:val="00C32D82"/>
    <w:rsid w:val="00C47163"/>
    <w:rsid w:val="00C471D0"/>
    <w:rsid w:val="00C471D1"/>
    <w:rsid w:val="00C5030B"/>
    <w:rsid w:val="00C5031B"/>
    <w:rsid w:val="00C54E19"/>
    <w:rsid w:val="00C56D7C"/>
    <w:rsid w:val="00C570BB"/>
    <w:rsid w:val="00C62665"/>
    <w:rsid w:val="00C63EC3"/>
    <w:rsid w:val="00C754D7"/>
    <w:rsid w:val="00C840A6"/>
    <w:rsid w:val="00C859FE"/>
    <w:rsid w:val="00C90E51"/>
    <w:rsid w:val="00CC0139"/>
    <w:rsid w:val="00CC347D"/>
    <w:rsid w:val="00CC6B0A"/>
    <w:rsid w:val="00CD0794"/>
    <w:rsid w:val="00CD2AB5"/>
    <w:rsid w:val="00CD6BF5"/>
    <w:rsid w:val="00CE273C"/>
    <w:rsid w:val="00D07FD7"/>
    <w:rsid w:val="00D217DF"/>
    <w:rsid w:val="00D348BC"/>
    <w:rsid w:val="00D54CBB"/>
    <w:rsid w:val="00D555D4"/>
    <w:rsid w:val="00D61087"/>
    <w:rsid w:val="00D82FB9"/>
    <w:rsid w:val="00D948CF"/>
    <w:rsid w:val="00D94E5E"/>
    <w:rsid w:val="00DA2A9D"/>
    <w:rsid w:val="00DB4905"/>
    <w:rsid w:val="00DB51CB"/>
    <w:rsid w:val="00DC00BF"/>
    <w:rsid w:val="00DD395C"/>
    <w:rsid w:val="00DD63C8"/>
    <w:rsid w:val="00DF34BE"/>
    <w:rsid w:val="00DF5E27"/>
    <w:rsid w:val="00DF6119"/>
    <w:rsid w:val="00E108AC"/>
    <w:rsid w:val="00E163CF"/>
    <w:rsid w:val="00E21BF6"/>
    <w:rsid w:val="00E4392A"/>
    <w:rsid w:val="00E456F9"/>
    <w:rsid w:val="00E55F49"/>
    <w:rsid w:val="00E60B51"/>
    <w:rsid w:val="00E73F40"/>
    <w:rsid w:val="00E877E7"/>
    <w:rsid w:val="00E973EE"/>
    <w:rsid w:val="00EA6C63"/>
    <w:rsid w:val="00EB7326"/>
    <w:rsid w:val="00EB754F"/>
    <w:rsid w:val="00EC2EE3"/>
    <w:rsid w:val="00ED043A"/>
    <w:rsid w:val="00EE5159"/>
    <w:rsid w:val="00EF697F"/>
    <w:rsid w:val="00F03CB5"/>
    <w:rsid w:val="00F046C2"/>
    <w:rsid w:val="00F10501"/>
    <w:rsid w:val="00F10F97"/>
    <w:rsid w:val="00F2177F"/>
    <w:rsid w:val="00F225D1"/>
    <w:rsid w:val="00F36689"/>
    <w:rsid w:val="00F53EB9"/>
    <w:rsid w:val="00F57AD1"/>
    <w:rsid w:val="00F64250"/>
    <w:rsid w:val="00F746FC"/>
    <w:rsid w:val="00F85C72"/>
    <w:rsid w:val="00F90EF8"/>
    <w:rsid w:val="00F91364"/>
    <w:rsid w:val="00F92C5B"/>
    <w:rsid w:val="00F92DE6"/>
    <w:rsid w:val="00FB0759"/>
    <w:rsid w:val="00FC0154"/>
    <w:rsid w:val="00FD3D90"/>
    <w:rsid w:val="00FD689B"/>
    <w:rsid w:val="00FE2F7D"/>
    <w:rsid w:val="00FF17BF"/>
    <w:rsid w:val="0FF33A17"/>
    <w:rsid w:val="156CEE7F"/>
    <w:rsid w:val="2F480D82"/>
    <w:rsid w:val="76C3E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74BEF9DA-8F47-4AF7-A5BF-1B1CBA04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character" w:styleId="CommentReference">
    <w:name w:val="annotation reference"/>
    <w:basedOn w:val="DefaultParagraphFont"/>
    <w:uiPriority w:val="99"/>
    <w:semiHidden/>
    <w:unhideWhenUsed/>
    <w:rsid w:val="00E163CF"/>
    <w:rPr>
      <w:sz w:val="16"/>
      <w:szCs w:val="16"/>
    </w:rPr>
  </w:style>
  <w:style w:type="paragraph" w:styleId="CommentText">
    <w:name w:val="annotation text"/>
    <w:basedOn w:val="Normal"/>
    <w:link w:val="CommentTextChar"/>
    <w:uiPriority w:val="99"/>
    <w:semiHidden/>
    <w:unhideWhenUsed/>
    <w:rsid w:val="00E163CF"/>
    <w:pPr>
      <w:spacing w:line="240" w:lineRule="auto"/>
    </w:pPr>
    <w:rPr>
      <w:szCs w:val="20"/>
    </w:rPr>
  </w:style>
  <w:style w:type="character" w:customStyle="1" w:styleId="CommentTextChar">
    <w:name w:val="Comment Text Char"/>
    <w:basedOn w:val="DefaultParagraphFont"/>
    <w:link w:val="CommentText"/>
    <w:uiPriority w:val="99"/>
    <w:semiHidden/>
    <w:rsid w:val="00E163C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163CF"/>
    <w:rPr>
      <w:b/>
      <w:bCs/>
    </w:rPr>
  </w:style>
  <w:style w:type="character" w:customStyle="1" w:styleId="CommentSubjectChar">
    <w:name w:val="Comment Subject Char"/>
    <w:basedOn w:val="CommentTextChar"/>
    <w:link w:val="CommentSubject"/>
    <w:uiPriority w:val="99"/>
    <w:semiHidden/>
    <w:rsid w:val="00E163CF"/>
    <w:rPr>
      <w:rFonts w:ascii="Verdana" w:hAnsi="Verdana"/>
      <w:b/>
      <w:bCs/>
      <w:sz w:val="20"/>
      <w:szCs w:val="20"/>
      <w:lang w:val="en-GB"/>
    </w:rPr>
  </w:style>
  <w:style w:type="paragraph" w:styleId="BodyText">
    <w:name w:val="Body Text"/>
    <w:basedOn w:val="Normal"/>
    <w:link w:val="BodyTextChar"/>
    <w:uiPriority w:val="54"/>
    <w:qFormat/>
    <w:rsid w:val="00265510"/>
    <w:pPr>
      <w:spacing w:after="240" w:line="288" w:lineRule="auto"/>
      <w:jc w:val="both"/>
    </w:pPr>
    <w:rPr>
      <w:rFonts w:ascii="Arial" w:eastAsiaTheme="minorEastAsia" w:hAnsi="Arial"/>
      <w:szCs w:val="20"/>
      <w:lang w:eastAsia="en-GB"/>
    </w:rPr>
  </w:style>
  <w:style w:type="character" w:customStyle="1" w:styleId="BodyTextChar">
    <w:name w:val="Body Text Char"/>
    <w:basedOn w:val="DefaultParagraphFont"/>
    <w:link w:val="BodyText"/>
    <w:uiPriority w:val="54"/>
    <w:rsid w:val="00265510"/>
    <w:rPr>
      <w:rFonts w:ascii="Arial" w:eastAsiaTheme="minorEastAsia" w:hAnsi="Arial"/>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298291681">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1363081">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cdc4c19c-049b-4496-b023-9deca447e204"/>
    <ds:schemaRef ds:uri="ba4c1627-414a-414a-b605-c0f228a4e6b4"/>
    <ds:schemaRef ds:uri="http://www.w3.org/XML/1998/namespace"/>
    <ds:schemaRef ds:uri="http://purl.org/dc/dcmitype/"/>
  </ds:schemaRefs>
</ds:datastoreItem>
</file>

<file path=customXml/itemProps5.xml><?xml version="1.0" encoding="utf-8"?>
<ds:datastoreItem xmlns:ds="http://schemas.openxmlformats.org/officeDocument/2006/customXml" ds:itemID="{6CAC3221-1B88-439A-AF15-D5D77E4A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511</Words>
  <Characters>2913</Characters>
  <Application>Microsoft Office Word</Application>
  <DocSecurity>0</DocSecurity>
  <Lines>24</Lines>
  <Paragraphs>6</Paragraphs>
  <ScaleCrop>false</ScaleCrop>
  <Company>Ofgem</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47</cp:revision>
  <dcterms:created xsi:type="dcterms:W3CDTF">2020-09-25T07:08:00Z</dcterms:created>
  <dcterms:modified xsi:type="dcterms:W3CDTF">2020-09-29T15:22:00Z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