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9E2E6A9"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D348BC">
              <w:rPr>
                <w:rFonts w:eastAsia="Times New Roman"/>
                <w:sz w:val="24"/>
              </w:rPr>
              <w:t>4</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68F1E0C7" w:rsidR="002F2C55" w:rsidRPr="006605C4" w:rsidRDefault="00D348BC" w:rsidP="001F6E93">
            <w:pPr>
              <w:pStyle w:val="Heading1"/>
              <w:rPr>
                <w:rFonts w:eastAsia="Times New Roman"/>
                <w:sz w:val="24"/>
              </w:rPr>
            </w:pPr>
            <w:r>
              <w:rPr>
                <w:rFonts w:eastAsia="Times New Roman"/>
                <w:sz w:val="24"/>
              </w:rPr>
              <w:t>7</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6ACDC332" w:rsidR="002F2C55" w:rsidRPr="006605C4" w:rsidRDefault="00D348BC" w:rsidP="001F6E93">
            <w:pPr>
              <w:pStyle w:val="Heading1"/>
              <w:rPr>
                <w:rFonts w:eastAsia="Times New Roman"/>
                <w:sz w:val="24"/>
              </w:rPr>
            </w:pPr>
            <w:r w:rsidRPr="00D348BC">
              <w:rPr>
                <w:rFonts w:eastAsia="Times New Roman"/>
                <w:sz w:val="24"/>
              </w:rPr>
              <w:t>SGN has proposed a letter of comfort from Ofgem to exclude hydrogen from the LDZ calculation as gas that cannot be billed. Can you set out specifically what such a letter would have to stipulate for the project to go ahead and further information on how the conclusion has been reached that a derogation is not required (</w:t>
            </w:r>
            <w:r w:rsidRPr="00630267">
              <w:rPr>
                <w:rFonts w:eastAsia="Times New Roman"/>
                <w:sz w:val="24"/>
              </w:rPr>
              <w:t>with specific references to legislation and/or licence conditions).  In this instance we will waiver the 2 page requirement on SQs.</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sidRPr="0A6298AD">
        <w:rPr>
          <w:rFonts w:eastAsia="Times New Roman"/>
        </w:rPr>
        <w:t>Answer (please retain document formatting and do not exceed 2 pages unless otherwise agreed with Ofgem)</w:t>
      </w:r>
    </w:p>
    <w:p w14:paraId="63ACAD3D" w14:textId="662A2D68" w:rsidR="008A434E" w:rsidRDefault="008A434E" w:rsidP="008A434E">
      <w:pPr>
        <w:rPr>
          <w:b/>
          <w:bCs/>
          <w:u w:val="single"/>
        </w:rPr>
      </w:pPr>
      <w:r w:rsidRPr="008A434E">
        <w:rPr>
          <w:b/>
          <w:bCs/>
          <w:u w:val="single"/>
        </w:rPr>
        <w:t xml:space="preserve">The Gas </w:t>
      </w:r>
      <w:r>
        <w:rPr>
          <w:b/>
          <w:bCs/>
          <w:u w:val="single"/>
        </w:rPr>
        <w:t>(</w:t>
      </w:r>
      <w:r w:rsidRPr="008A434E">
        <w:rPr>
          <w:b/>
          <w:bCs/>
          <w:u w:val="single"/>
        </w:rPr>
        <w:t>Calculation of Thermal Energy</w:t>
      </w:r>
      <w:r>
        <w:rPr>
          <w:b/>
          <w:bCs/>
          <w:u w:val="single"/>
        </w:rPr>
        <w:t>)</w:t>
      </w:r>
      <w:r w:rsidRPr="008A434E">
        <w:rPr>
          <w:b/>
          <w:bCs/>
          <w:u w:val="single"/>
        </w:rPr>
        <w:t xml:space="preserve"> Regulations (G(COTE)R)</w:t>
      </w:r>
    </w:p>
    <w:p w14:paraId="3B5E2C7C" w14:textId="16352614" w:rsidR="41CA50F1" w:rsidRPr="008A434E" w:rsidRDefault="41CA50F1" w:rsidP="008A434E">
      <w:pPr>
        <w:rPr>
          <w:b/>
          <w:bCs/>
          <w:u w:val="single"/>
        </w:rPr>
      </w:pPr>
      <w:r>
        <w:t>The requirement for a letter of comfort from Ofgem around The Gas (Calculation of Thermal Energy</w:t>
      </w:r>
      <w:r w:rsidR="00D938C3">
        <w:t>)</w:t>
      </w:r>
      <w:r>
        <w:t xml:space="preserve"> Regulations</w:t>
      </w:r>
      <w:r w:rsidR="00D938C3">
        <w:t xml:space="preserve"> </w:t>
      </w:r>
      <w:r w:rsidR="06E5E77D">
        <w:t xml:space="preserve">is described in Section 7 of the submission, stating that this is the </w:t>
      </w:r>
      <w:r w:rsidR="06E5E77D">
        <w:lastRenderedPageBreak/>
        <w:t>solution for implementing H100 Fife without any need for derogation, licence consent, licence e</w:t>
      </w:r>
      <w:r w:rsidR="0E55E641">
        <w:t xml:space="preserve">xemption or changes to regulatory arrangements beyond the letter of comfort. Section 7.3.1 </w:t>
      </w:r>
      <w:r w:rsidR="774BF6BD">
        <w:t>se</w:t>
      </w:r>
      <w:r w:rsidR="0E55E641">
        <w:t>t</w:t>
      </w:r>
      <w:r w:rsidR="774BF6BD">
        <w:t>s out the existing issue that the calorific value (CV) of hydrogen gas is significantly lower than that for methane (circa 11MJ/</w:t>
      </w:r>
      <w:r w:rsidR="00342F65">
        <w:t>m</w:t>
      </w:r>
      <w:r w:rsidR="774BF6BD" w:rsidRPr="00F953E5">
        <w:rPr>
          <w:vertAlign w:val="subscript"/>
        </w:rPr>
        <w:t xml:space="preserve">3 </w:t>
      </w:r>
      <w:r w:rsidR="774BF6BD">
        <w:t>versus 39MJ/</w:t>
      </w:r>
      <w:r w:rsidR="00342F65">
        <w:t>m</w:t>
      </w:r>
      <w:r w:rsidR="774BF6BD" w:rsidRPr="00F953E5">
        <w:rPr>
          <w:vertAlign w:val="subscript"/>
        </w:rPr>
        <w:t>3</w:t>
      </w:r>
      <w:r w:rsidR="774BF6BD">
        <w:t>). This will impact the flow weighted daily CV calculation for the Scotland local distribution zone, as the CV will effectively be capped at 1 MJ/m</w:t>
      </w:r>
      <w:r w:rsidR="774BF6BD" w:rsidRPr="00F953E5">
        <w:rPr>
          <w:vertAlign w:val="subscript"/>
        </w:rPr>
        <w:t>3</w:t>
      </w:r>
      <w:r w:rsidR="774BF6BD">
        <w:t xml:space="preserve"> above the lowest CV value for that area. This will result in gas which cannot be billed being dealt with under the National Grid shrinkage scheme. As a result, we have identified a solution where Ofgem provide a letter of comfort that agrees to exclude the hydrogen CV relating to H100 Fife from the LDZ calculation.</w:t>
      </w:r>
      <w:r w:rsidR="00630267">
        <w:t xml:space="preserve"> A</w:t>
      </w:r>
      <w:r w:rsidR="00AA1939">
        <w:t>n example</w:t>
      </w:r>
      <w:r w:rsidR="00630267">
        <w:t xml:space="preserve"> draft </w:t>
      </w:r>
      <w:r w:rsidR="00AA1939">
        <w:t>letter of comfort can be provided by SGN to Ofgem for review and discussion if this would be helpful.</w:t>
      </w:r>
    </w:p>
    <w:p w14:paraId="60B01A6C" w14:textId="64BD0441" w:rsidR="00B95235" w:rsidRPr="00375216" w:rsidRDefault="00B95235" w:rsidP="00B95235">
      <w:pPr>
        <w:spacing w:after="240"/>
        <w:rPr>
          <w:color w:val="FF0000"/>
        </w:rPr>
      </w:pPr>
      <w:r w:rsidRPr="00B95235">
        <w:t>The Gas (Calculation of</w:t>
      </w:r>
      <w:r>
        <w:t xml:space="preserve"> </w:t>
      </w:r>
      <w:r w:rsidRPr="00B95235">
        <w:t>Thermal Energy)</w:t>
      </w:r>
      <w:r>
        <w:t xml:space="preserve"> </w:t>
      </w:r>
      <w:r w:rsidRPr="00B95235">
        <w:t>Regulations stipulate when</w:t>
      </w:r>
      <w:r>
        <w:t xml:space="preserve"> </w:t>
      </w:r>
      <w:r w:rsidRPr="00B95235">
        <w:t>and where the CV of gas is</w:t>
      </w:r>
      <w:r>
        <w:t xml:space="preserve"> </w:t>
      </w:r>
      <w:r w:rsidRPr="00B95235">
        <w:t>measured, with the Director</w:t>
      </w:r>
      <w:r>
        <w:t xml:space="preserve"> </w:t>
      </w:r>
      <w:r w:rsidRPr="00B95235">
        <w:t>General of Gas Supply</w:t>
      </w:r>
      <w:r>
        <w:t xml:space="preserve"> </w:t>
      </w:r>
      <w:r w:rsidRPr="00B95235">
        <w:t>being able to direct the</w:t>
      </w:r>
      <w:r>
        <w:t xml:space="preserve"> </w:t>
      </w:r>
      <w:r w:rsidRPr="00B95235">
        <w:t>places, premises and times</w:t>
      </w:r>
      <w:r>
        <w:t xml:space="preserve"> </w:t>
      </w:r>
      <w:r w:rsidRPr="00B95235">
        <w:t>at which (and the manner</w:t>
      </w:r>
      <w:r>
        <w:t xml:space="preserve"> </w:t>
      </w:r>
      <w:r w:rsidRPr="00B95235">
        <w:t>in which) determinations of</w:t>
      </w:r>
      <w:r>
        <w:t xml:space="preserve"> </w:t>
      </w:r>
      <w:r w:rsidRPr="00B95235">
        <w:t>calorific values are to be</w:t>
      </w:r>
      <w:r>
        <w:t xml:space="preserve"> </w:t>
      </w:r>
      <w:r w:rsidRPr="00B95235">
        <w:t>made</w:t>
      </w:r>
      <w:r>
        <w:t xml:space="preserve"> (Regulation 6</w:t>
      </w:r>
      <w:r w:rsidR="00573B33">
        <w:t>)</w:t>
      </w:r>
      <w:r w:rsidRPr="00B95235">
        <w:t>.</w:t>
      </w:r>
      <w:r w:rsidR="00375216">
        <w:t xml:space="preserve"> </w:t>
      </w:r>
    </w:p>
    <w:p w14:paraId="17BD1ABA" w14:textId="11E6349C" w:rsidR="001C4A4D" w:rsidRDefault="00B932D5" w:rsidP="00B95235">
      <w:pPr>
        <w:spacing w:after="240"/>
      </w:pPr>
      <w:r>
        <w:t>We have sought specialist legal support from Addleshaw Goddard LLP to analyse the regulatory arrangements for the project.</w:t>
      </w:r>
      <w:r w:rsidR="0098202D">
        <w:t xml:space="preserve"> </w:t>
      </w:r>
      <w:r>
        <w:t xml:space="preserve">The detail on regulatory analysis for </w:t>
      </w:r>
      <w:r w:rsidR="0098202D">
        <w:t>G(COTE)R is shown below, taken from Appendix O of the submission.</w:t>
      </w:r>
    </w:p>
    <w:p w14:paraId="698C9E43" w14:textId="68E318DF" w:rsidR="001C4A4D" w:rsidRPr="00B95235" w:rsidRDefault="001C4A4D" w:rsidP="00B95235">
      <w:pPr>
        <w:spacing w:after="240"/>
      </w:pPr>
      <w:r>
        <w:rPr>
          <w:noProof/>
        </w:rPr>
        <w:drawing>
          <wp:inline distT="0" distB="0" distL="0" distR="0" wp14:anchorId="6B3E06D0" wp14:editId="65119C7B">
            <wp:extent cx="6093461" cy="239268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2">
                      <a:extLst>
                        <a:ext uri="{28A0092B-C50C-407E-A947-70E740481C1C}">
                          <a14:useLocalDpi xmlns:a14="http://schemas.microsoft.com/office/drawing/2010/main" val="0"/>
                        </a:ext>
                      </a:extLst>
                    </a:blip>
                    <a:stretch>
                      <a:fillRect/>
                    </a:stretch>
                  </pic:blipFill>
                  <pic:spPr>
                    <a:xfrm>
                      <a:off x="0" y="0"/>
                      <a:ext cx="6093461" cy="2392680"/>
                    </a:xfrm>
                    <a:prstGeom prst="rect">
                      <a:avLst/>
                    </a:prstGeom>
                  </pic:spPr>
                </pic:pic>
              </a:graphicData>
            </a:graphic>
          </wp:inline>
        </w:drawing>
      </w:r>
    </w:p>
    <w:p w14:paraId="1EDB38CD" w14:textId="1EAA5507" w:rsidR="008A434E" w:rsidRPr="008A434E" w:rsidRDefault="008A434E" w:rsidP="008A434E">
      <w:pPr>
        <w:rPr>
          <w:b/>
          <w:bCs/>
          <w:u w:val="single"/>
        </w:rPr>
      </w:pPr>
      <w:r w:rsidRPr="008A434E">
        <w:rPr>
          <w:b/>
          <w:bCs/>
          <w:u w:val="single"/>
        </w:rPr>
        <w:t>Customer Billing Arrangements</w:t>
      </w:r>
    </w:p>
    <w:p w14:paraId="66E02B85" w14:textId="5F4AD126" w:rsidR="002E6536" w:rsidRDefault="00550C24" w:rsidP="002E6536">
      <w:pPr>
        <w:spacing w:after="240"/>
        <w:rPr>
          <w:rFonts w:eastAsia="Times New Roman"/>
        </w:rPr>
      </w:pPr>
      <w:r>
        <w:t xml:space="preserve">Regarding </w:t>
      </w:r>
      <w:r w:rsidR="00F71121">
        <w:t>bespoke billing arrangements, and i</w:t>
      </w:r>
      <w:r w:rsidR="00643AC3">
        <w:t>n reference to The Gas Calculations of Thermal Energy Regulations 1996 and 1997 as amended,</w:t>
      </w:r>
      <w:r w:rsidR="00B46187">
        <w:t xml:space="preserve"> t</w:t>
      </w:r>
      <w:r w:rsidR="007A5E53" w:rsidRPr="00B46187">
        <w:rPr>
          <w:rFonts w:eastAsia="Times New Roman"/>
        </w:rPr>
        <w:t>he definition of ‘charging area’ includes a carve out for take off points (Supply Points) included within the application of Para 4 (b) of Part 1.</w:t>
      </w:r>
      <w:r w:rsidR="00800A7B">
        <w:t xml:space="preserve"> </w:t>
      </w:r>
      <w:r w:rsidR="007A5E53" w:rsidRPr="00800A7B">
        <w:rPr>
          <w:rFonts w:eastAsia="Times New Roman"/>
        </w:rPr>
        <w:t>Para 4 (b) of Part 1 is applicable where  “</w:t>
      </w:r>
      <w:r w:rsidR="007A5E53" w:rsidRPr="00A5318D">
        <w:rPr>
          <w:rFonts w:eastAsia="Times New Roman"/>
        </w:rPr>
        <w:t>where</w:t>
      </w:r>
      <w:r w:rsidR="007A5E53" w:rsidRPr="00A5318D">
        <w:rPr>
          <w:rFonts w:eastAsia="Times New Roman"/>
          <w:spacing w:val="-5"/>
        </w:rPr>
        <w:t xml:space="preserve"> </w:t>
      </w:r>
      <w:r w:rsidR="007A5E53" w:rsidRPr="00A5318D">
        <w:rPr>
          <w:rFonts w:eastAsia="Times New Roman"/>
        </w:rPr>
        <w:t>an</w:t>
      </w:r>
      <w:r w:rsidR="007A5E53" w:rsidRPr="00A5318D">
        <w:rPr>
          <w:rFonts w:eastAsia="Times New Roman"/>
          <w:spacing w:val="-4"/>
        </w:rPr>
        <w:t xml:space="preserve"> </w:t>
      </w:r>
      <w:r w:rsidR="007A5E53" w:rsidRPr="00A5318D">
        <w:rPr>
          <w:rFonts w:eastAsia="Times New Roman"/>
        </w:rPr>
        <w:t>agreement</w:t>
      </w:r>
      <w:r w:rsidR="007A5E53" w:rsidRPr="00A5318D">
        <w:rPr>
          <w:rFonts w:eastAsia="Times New Roman"/>
          <w:spacing w:val="-4"/>
        </w:rPr>
        <w:t xml:space="preserve"> </w:t>
      </w:r>
      <w:r w:rsidR="007A5E53" w:rsidRPr="00A5318D">
        <w:rPr>
          <w:rFonts w:eastAsia="Times New Roman"/>
        </w:rPr>
        <w:t>between</w:t>
      </w:r>
      <w:r w:rsidR="007A5E53" w:rsidRPr="00A5318D">
        <w:rPr>
          <w:rFonts w:eastAsia="Times New Roman"/>
          <w:spacing w:val="-5"/>
        </w:rPr>
        <w:t xml:space="preserve"> </w:t>
      </w:r>
      <w:r w:rsidR="007A5E53" w:rsidRPr="00A5318D">
        <w:rPr>
          <w:rFonts w:eastAsia="Times New Roman"/>
        </w:rPr>
        <w:t>a</w:t>
      </w:r>
      <w:r w:rsidR="007A5E53" w:rsidRPr="00A5318D">
        <w:rPr>
          <w:rFonts w:eastAsia="Times New Roman"/>
          <w:spacing w:val="-4"/>
        </w:rPr>
        <w:t xml:space="preserve"> </w:t>
      </w:r>
      <w:r w:rsidR="007A5E53" w:rsidRPr="00A5318D">
        <w:rPr>
          <w:rFonts w:eastAsia="Times New Roman"/>
        </w:rPr>
        <w:t>public</w:t>
      </w:r>
      <w:r w:rsidR="007A5E53" w:rsidRPr="00A5318D">
        <w:rPr>
          <w:rFonts w:eastAsia="Times New Roman"/>
          <w:spacing w:val="-4"/>
        </w:rPr>
        <w:t xml:space="preserve"> </w:t>
      </w:r>
      <w:r w:rsidR="007A5E53" w:rsidRPr="00A5318D">
        <w:rPr>
          <w:rFonts w:eastAsia="Times New Roman"/>
        </w:rPr>
        <w:t>gas</w:t>
      </w:r>
      <w:r w:rsidR="007A5E53" w:rsidRPr="00A5318D">
        <w:rPr>
          <w:rFonts w:eastAsia="Times New Roman"/>
          <w:spacing w:val="-4"/>
        </w:rPr>
        <w:t xml:space="preserve"> </w:t>
      </w:r>
      <w:r w:rsidR="007A5E53" w:rsidRPr="00A5318D">
        <w:rPr>
          <w:rFonts w:eastAsia="Times New Roman"/>
        </w:rPr>
        <w:lastRenderedPageBreak/>
        <w:t>transporter</w:t>
      </w:r>
      <w:r w:rsidR="007A5E53" w:rsidRPr="00A5318D">
        <w:rPr>
          <w:rFonts w:eastAsia="Times New Roman"/>
          <w:spacing w:val="-5"/>
        </w:rPr>
        <w:t xml:space="preserve"> </w:t>
      </w:r>
      <w:r w:rsidR="007A5E53" w:rsidRPr="00A5318D">
        <w:rPr>
          <w:rFonts w:eastAsia="Times New Roman"/>
        </w:rPr>
        <w:t>and</w:t>
      </w:r>
      <w:r w:rsidR="007A5E53" w:rsidRPr="00A5318D">
        <w:rPr>
          <w:rFonts w:eastAsia="Times New Roman"/>
          <w:spacing w:val="-4"/>
        </w:rPr>
        <w:t xml:space="preserve"> </w:t>
      </w:r>
      <w:r w:rsidR="007A5E53" w:rsidRPr="00A5318D">
        <w:rPr>
          <w:rFonts w:eastAsia="Times New Roman"/>
        </w:rPr>
        <w:t>a</w:t>
      </w:r>
      <w:r w:rsidR="007A5E53" w:rsidRPr="00A5318D">
        <w:rPr>
          <w:rFonts w:eastAsia="Times New Roman"/>
          <w:spacing w:val="-4"/>
        </w:rPr>
        <w:t xml:space="preserve"> </w:t>
      </w:r>
      <w:r w:rsidR="007A5E53" w:rsidRPr="00A5318D">
        <w:rPr>
          <w:rFonts w:eastAsia="Times New Roman"/>
        </w:rPr>
        <w:t>relevant</w:t>
      </w:r>
      <w:r w:rsidR="007A5E53" w:rsidRPr="00A5318D">
        <w:rPr>
          <w:rFonts w:eastAsia="Times New Roman"/>
          <w:spacing w:val="-5"/>
        </w:rPr>
        <w:t xml:space="preserve"> </w:t>
      </w:r>
      <w:r w:rsidR="007A5E53" w:rsidRPr="00A5318D">
        <w:rPr>
          <w:rFonts w:eastAsia="Times New Roman"/>
        </w:rPr>
        <w:t>licence</w:t>
      </w:r>
      <w:r w:rsidR="007A5E53" w:rsidRPr="00A5318D">
        <w:rPr>
          <w:rFonts w:eastAsia="Times New Roman"/>
          <w:spacing w:val="-4"/>
        </w:rPr>
        <w:t xml:space="preserve"> </w:t>
      </w:r>
      <w:r w:rsidR="007A5E53" w:rsidRPr="00A5318D">
        <w:rPr>
          <w:rFonts w:eastAsia="Times New Roman"/>
        </w:rPr>
        <w:t>holder</w:t>
      </w:r>
      <w:r w:rsidR="007A5E53" w:rsidRPr="00A5318D">
        <w:rPr>
          <w:rFonts w:eastAsia="Times New Roman"/>
          <w:spacing w:val="-4"/>
        </w:rPr>
        <w:t xml:space="preserve"> </w:t>
      </w:r>
      <w:r w:rsidR="007A5E53" w:rsidRPr="00A5318D">
        <w:rPr>
          <w:rFonts w:eastAsia="Times New Roman"/>
        </w:rPr>
        <w:t>or</w:t>
      </w:r>
      <w:r w:rsidR="007A5E53" w:rsidRPr="00A5318D">
        <w:rPr>
          <w:rFonts w:eastAsia="Times New Roman"/>
          <w:spacing w:val="-4"/>
        </w:rPr>
        <w:t xml:space="preserve"> </w:t>
      </w:r>
      <w:r w:rsidR="007A5E53" w:rsidRPr="00A5318D">
        <w:rPr>
          <w:rFonts w:eastAsia="Times New Roman"/>
        </w:rPr>
        <w:t>the owner</w:t>
      </w:r>
      <w:r w:rsidR="007A5E53" w:rsidRPr="00A5318D">
        <w:rPr>
          <w:rFonts w:eastAsia="Times New Roman"/>
          <w:spacing w:val="7"/>
        </w:rPr>
        <w:t xml:space="preserve"> </w:t>
      </w:r>
      <w:r w:rsidR="007A5E53" w:rsidRPr="00A5318D">
        <w:rPr>
          <w:rFonts w:eastAsia="Times New Roman"/>
        </w:rPr>
        <w:t>or</w:t>
      </w:r>
      <w:r w:rsidR="007A5E53" w:rsidRPr="00A5318D">
        <w:rPr>
          <w:rFonts w:eastAsia="Times New Roman"/>
          <w:spacing w:val="8"/>
        </w:rPr>
        <w:t xml:space="preserve"> </w:t>
      </w:r>
      <w:r w:rsidR="007A5E53" w:rsidRPr="00A5318D">
        <w:rPr>
          <w:rFonts w:eastAsia="Times New Roman"/>
        </w:rPr>
        <w:t>occupier</w:t>
      </w:r>
      <w:r w:rsidR="007A5E53" w:rsidRPr="00A5318D">
        <w:rPr>
          <w:rFonts w:eastAsia="Times New Roman"/>
          <w:spacing w:val="8"/>
        </w:rPr>
        <w:t xml:space="preserve"> </w:t>
      </w:r>
      <w:r w:rsidR="007A5E53" w:rsidRPr="00A5318D">
        <w:rPr>
          <w:rFonts w:eastAsia="Times New Roman"/>
        </w:rPr>
        <w:t>of</w:t>
      </w:r>
      <w:r w:rsidR="007A5E53" w:rsidRPr="00A5318D">
        <w:rPr>
          <w:rFonts w:eastAsia="Times New Roman"/>
          <w:spacing w:val="8"/>
        </w:rPr>
        <w:t xml:space="preserve"> </w:t>
      </w:r>
      <w:r w:rsidR="007A5E53" w:rsidRPr="00A5318D">
        <w:rPr>
          <w:rFonts w:eastAsia="Times New Roman"/>
        </w:rPr>
        <w:t>particular</w:t>
      </w:r>
      <w:r w:rsidR="007A5E53" w:rsidRPr="00A5318D">
        <w:rPr>
          <w:rFonts w:eastAsia="Times New Roman"/>
          <w:spacing w:val="8"/>
        </w:rPr>
        <w:t xml:space="preserve"> </w:t>
      </w:r>
      <w:r w:rsidR="007A5E53" w:rsidRPr="00A5318D">
        <w:rPr>
          <w:rFonts w:eastAsia="Times New Roman"/>
        </w:rPr>
        <w:t>premises</w:t>
      </w:r>
      <w:r w:rsidR="007A5E53" w:rsidRPr="00A5318D">
        <w:rPr>
          <w:rFonts w:eastAsia="Times New Roman"/>
          <w:spacing w:val="8"/>
        </w:rPr>
        <w:t xml:space="preserve"> </w:t>
      </w:r>
      <w:r w:rsidR="007A5E53" w:rsidRPr="00A5318D">
        <w:rPr>
          <w:rFonts w:eastAsia="Times New Roman"/>
        </w:rPr>
        <w:t>provides</w:t>
      </w:r>
      <w:r w:rsidR="007A5E53" w:rsidRPr="00A5318D">
        <w:rPr>
          <w:rFonts w:eastAsia="Times New Roman"/>
          <w:spacing w:val="8"/>
        </w:rPr>
        <w:t xml:space="preserve"> </w:t>
      </w:r>
      <w:r w:rsidR="007A5E53" w:rsidRPr="00A5318D">
        <w:rPr>
          <w:rFonts w:eastAsia="Times New Roman"/>
        </w:rPr>
        <w:t>for</w:t>
      </w:r>
      <w:r w:rsidR="007A5E53" w:rsidRPr="00A5318D">
        <w:rPr>
          <w:rFonts w:eastAsia="Times New Roman"/>
          <w:spacing w:val="8"/>
        </w:rPr>
        <w:t xml:space="preserve"> </w:t>
      </w:r>
      <w:r w:rsidR="007A5E53" w:rsidRPr="00A5318D">
        <w:rPr>
          <w:rFonts w:eastAsia="Times New Roman"/>
        </w:rPr>
        <w:t>the</w:t>
      </w:r>
      <w:r w:rsidR="007A5E53" w:rsidRPr="00A5318D">
        <w:rPr>
          <w:rFonts w:eastAsia="Times New Roman"/>
          <w:spacing w:val="8"/>
        </w:rPr>
        <w:t xml:space="preserve"> </w:t>
      </w:r>
      <w:r w:rsidR="007A5E53" w:rsidRPr="00A5318D">
        <w:rPr>
          <w:rFonts w:eastAsia="Times New Roman"/>
        </w:rPr>
        <w:t>number</w:t>
      </w:r>
      <w:r w:rsidR="007A5E53" w:rsidRPr="00A5318D">
        <w:rPr>
          <w:rFonts w:eastAsia="Times New Roman"/>
          <w:spacing w:val="8"/>
        </w:rPr>
        <w:t xml:space="preserve"> </w:t>
      </w:r>
      <w:r w:rsidR="007A5E53" w:rsidRPr="00A5318D">
        <w:rPr>
          <w:rFonts w:eastAsia="Times New Roman"/>
        </w:rPr>
        <w:t>of</w:t>
      </w:r>
      <w:r w:rsidR="007A5E53" w:rsidRPr="00A5318D">
        <w:rPr>
          <w:rFonts w:eastAsia="Times New Roman"/>
          <w:spacing w:val="8"/>
        </w:rPr>
        <w:t xml:space="preserve"> </w:t>
      </w:r>
      <w:r w:rsidR="007A5E53" w:rsidRPr="00A5318D">
        <w:rPr>
          <w:rFonts w:eastAsia="Times New Roman"/>
        </w:rPr>
        <w:t>therms</w:t>
      </w:r>
      <w:r w:rsidR="007A5E53" w:rsidRPr="00A5318D">
        <w:rPr>
          <w:rFonts w:eastAsia="Times New Roman"/>
          <w:spacing w:val="8"/>
        </w:rPr>
        <w:t xml:space="preserve"> </w:t>
      </w:r>
      <w:r w:rsidR="007A5E53" w:rsidRPr="00A5318D">
        <w:rPr>
          <w:rFonts w:eastAsia="Times New Roman"/>
        </w:rPr>
        <w:t>or</w:t>
      </w:r>
      <w:r w:rsidR="007A5E53" w:rsidRPr="00A5318D">
        <w:rPr>
          <w:rFonts w:eastAsia="Times New Roman"/>
          <w:spacing w:val="8"/>
        </w:rPr>
        <w:t xml:space="preserve"> </w:t>
      </w:r>
      <w:r w:rsidR="007A5E53" w:rsidRPr="00A5318D">
        <w:rPr>
          <w:rFonts w:eastAsia="Times New Roman"/>
        </w:rPr>
        <w:t>kilowatt hours</w:t>
      </w:r>
      <w:r w:rsidR="007A5E53" w:rsidRPr="00A5318D">
        <w:rPr>
          <w:rFonts w:eastAsia="Times New Roman"/>
          <w:spacing w:val="-6"/>
        </w:rPr>
        <w:t xml:space="preserve"> </w:t>
      </w:r>
      <w:r w:rsidR="007A5E53" w:rsidRPr="00A5318D">
        <w:rPr>
          <w:rFonts w:eastAsia="Times New Roman"/>
        </w:rPr>
        <w:t>conveyed</w:t>
      </w:r>
      <w:r w:rsidR="007A5E53" w:rsidRPr="00A5318D">
        <w:rPr>
          <w:rFonts w:eastAsia="Times New Roman"/>
          <w:spacing w:val="-6"/>
        </w:rPr>
        <w:t xml:space="preserve"> </w:t>
      </w:r>
      <w:r w:rsidR="007A5E53" w:rsidRPr="00A5318D">
        <w:rPr>
          <w:rFonts w:eastAsia="Times New Roman"/>
        </w:rPr>
        <w:t>through</w:t>
      </w:r>
      <w:r w:rsidR="007A5E53" w:rsidRPr="00A5318D">
        <w:rPr>
          <w:rFonts w:eastAsia="Times New Roman"/>
          <w:spacing w:val="-5"/>
        </w:rPr>
        <w:t xml:space="preserve"> </w:t>
      </w:r>
      <w:r w:rsidR="007A5E53" w:rsidRPr="00A5318D">
        <w:rPr>
          <w:rFonts w:eastAsia="Times New Roman"/>
        </w:rPr>
        <w:t>a</w:t>
      </w:r>
      <w:r w:rsidR="007A5E53" w:rsidRPr="00A5318D">
        <w:rPr>
          <w:rFonts w:eastAsia="Times New Roman"/>
          <w:spacing w:val="-6"/>
        </w:rPr>
        <w:t xml:space="preserve"> </w:t>
      </w:r>
      <w:r w:rsidR="007A5E53" w:rsidRPr="00A5318D">
        <w:rPr>
          <w:rFonts w:eastAsia="Times New Roman"/>
        </w:rPr>
        <w:t>pipe</w:t>
      </w:r>
      <w:r w:rsidR="007A5E53" w:rsidRPr="00A5318D">
        <w:rPr>
          <w:rFonts w:eastAsia="Times New Roman"/>
          <w:spacing w:val="-6"/>
        </w:rPr>
        <w:t xml:space="preserve"> </w:t>
      </w:r>
      <w:r w:rsidR="007A5E53" w:rsidRPr="00A5318D">
        <w:rPr>
          <w:rFonts w:eastAsia="Times New Roman"/>
        </w:rPr>
        <w:t>to</w:t>
      </w:r>
      <w:r w:rsidR="007A5E53" w:rsidRPr="00A5318D">
        <w:rPr>
          <w:rFonts w:eastAsia="Times New Roman"/>
          <w:spacing w:val="-5"/>
        </w:rPr>
        <w:t xml:space="preserve"> </w:t>
      </w:r>
      <w:r w:rsidR="007A5E53" w:rsidRPr="00A5318D">
        <w:rPr>
          <w:rFonts w:eastAsia="Times New Roman"/>
        </w:rPr>
        <w:t>those</w:t>
      </w:r>
      <w:r w:rsidR="007A5E53" w:rsidRPr="00A5318D">
        <w:rPr>
          <w:rFonts w:eastAsia="Times New Roman"/>
          <w:spacing w:val="-6"/>
        </w:rPr>
        <w:t xml:space="preserve"> </w:t>
      </w:r>
      <w:r w:rsidR="007A5E53" w:rsidRPr="00A5318D">
        <w:rPr>
          <w:rFonts w:eastAsia="Times New Roman"/>
        </w:rPr>
        <w:t>premises</w:t>
      </w:r>
      <w:r w:rsidR="007A5E53" w:rsidRPr="00A5318D">
        <w:rPr>
          <w:rFonts w:eastAsia="Times New Roman"/>
          <w:spacing w:val="-5"/>
        </w:rPr>
        <w:t xml:space="preserve"> </w:t>
      </w:r>
      <w:r w:rsidR="007A5E53" w:rsidRPr="00A5318D">
        <w:rPr>
          <w:rFonts w:eastAsia="Times New Roman"/>
        </w:rPr>
        <w:t>to</w:t>
      </w:r>
      <w:r w:rsidR="007A5E53" w:rsidRPr="00A5318D">
        <w:rPr>
          <w:rFonts w:eastAsia="Times New Roman"/>
          <w:spacing w:val="-6"/>
        </w:rPr>
        <w:t xml:space="preserve"> </w:t>
      </w:r>
      <w:r w:rsidR="007A5E53" w:rsidRPr="00A5318D">
        <w:rPr>
          <w:rFonts w:eastAsia="Times New Roman"/>
        </w:rPr>
        <w:t>be</w:t>
      </w:r>
      <w:r w:rsidR="007A5E53" w:rsidRPr="00A5318D">
        <w:rPr>
          <w:rFonts w:eastAsia="Times New Roman"/>
          <w:spacing w:val="-6"/>
        </w:rPr>
        <w:t xml:space="preserve"> </w:t>
      </w:r>
      <w:r w:rsidR="007A5E53" w:rsidRPr="00A5318D">
        <w:rPr>
          <w:rFonts w:eastAsia="Times New Roman"/>
        </w:rPr>
        <w:t>calculated</w:t>
      </w:r>
      <w:r w:rsidR="007A5E53" w:rsidRPr="00A5318D">
        <w:rPr>
          <w:rFonts w:eastAsia="Times New Roman"/>
          <w:spacing w:val="-5"/>
        </w:rPr>
        <w:t xml:space="preserve"> </w:t>
      </w:r>
      <w:r w:rsidR="007A5E53" w:rsidRPr="00A5318D">
        <w:rPr>
          <w:rFonts w:eastAsia="Times New Roman"/>
        </w:rPr>
        <w:t>on</w:t>
      </w:r>
      <w:r w:rsidR="007A5E53" w:rsidRPr="00A5318D">
        <w:rPr>
          <w:rFonts w:eastAsia="Times New Roman"/>
          <w:spacing w:val="-6"/>
        </w:rPr>
        <w:t xml:space="preserve"> </w:t>
      </w:r>
      <w:r w:rsidR="007A5E53" w:rsidRPr="00A5318D">
        <w:rPr>
          <w:rFonts w:eastAsia="Times New Roman"/>
        </w:rPr>
        <w:t>the</w:t>
      </w:r>
      <w:r w:rsidR="007A5E53" w:rsidRPr="00A5318D">
        <w:rPr>
          <w:rFonts w:eastAsia="Times New Roman"/>
          <w:spacing w:val="-5"/>
        </w:rPr>
        <w:t xml:space="preserve"> </w:t>
      </w:r>
      <w:r w:rsidR="007A5E53" w:rsidRPr="00A5318D">
        <w:rPr>
          <w:rFonts w:eastAsia="Times New Roman"/>
        </w:rPr>
        <w:t>basis</w:t>
      </w:r>
      <w:r w:rsidR="007A5E53" w:rsidRPr="00A5318D">
        <w:rPr>
          <w:rFonts w:eastAsia="Times New Roman"/>
          <w:spacing w:val="-6"/>
        </w:rPr>
        <w:t xml:space="preserve"> </w:t>
      </w:r>
      <w:r w:rsidR="007A5E53" w:rsidRPr="00A5318D">
        <w:rPr>
          <w:rFonts w:eastAsia="Times New Roman"/>
        </w:rPr>
        <w:t>of</w:t>
      </w:r>
      <w:r w:rsidR="007A5E53" w:rsidRPr="00A5318D">
        <w:rPr>
          <w:rFonts w:eastAsia="Times New Roman"/>
          <w:spacing w:val="-6"/>
        </w:rPr>
        <w:t xml:space="preserve"> </w:t>
      </w:r>
      <w:r w:rsidR="007A5E53" w:rsidRPr="00A5318D">
        <w:rPr>
          <w:rFonts w:eastAsia="Times New Roman"/>
        </w:rPr>
        <w:t>calorific values</w:t>
      </w:r>
      <w:r w:rsidR="007A5E53" w:rsidRPr="00A5318D">
        <w:rPr>
          <w:rFonts w:eastAsia="Times New Roman"/>
          <w:spacing w:val="25"/>
        </w:rPr>
        <w:t xml:space="preserve"> </w:t>
      </w:r>
      <w:r w:rsidR="007A5E53" w:rsidRPr="00A5318D">
        <w:rPr>
          <w:rFonts w:eastAsia="Times New Roman"/>
        </w:rPr>
        <w:t>determined</w:t>
      </w:r>
      <w:r w:rsidR="007A5E53" w:rsidRPr="00A5318D">
        <w:rPr>
          <w:rFonts w:eastAsia="Times New Roman"/>
          <w:spacing w:val="25"/>
        </w:rPr>
        <w:t xml:space="preserve"> </w:t>
      </w:r>
      <w:r w:rsidR="007A5E53" w:rsidRPr="00A5318D">
        <w:rPr>
          <w:rFonts w:eastAsia="Times New Roman"/>
        </w:rPr>
        <w:t>by</w:t>
      </w:r>
      <w:r w:rsidR="007A5E53" w:rsidRPr="00A5318D">
        <w:rPr>
          <w:rFonts w:eastAsia="Times New Roman"/>
          <w:spacing w:val="26"/>
        </w:rPr>
        <w:t xml:space="preserve"> </w:t>
      </w:r>
      <w:r w:rsidR="007A5E53" w:rsidRPr="00A5318D">
        <w:rPr>
          <w:rFonts w:eastAsia="Times New Roman"/>
        </w:rPr>
        <w:t>means</w:t>
      </w:r>
      <w:r w:rsidR="007A5E53" w:rsidRPr="00A5318D">
        <w:rPr>
          <w:rFonts w:eastAsia="Times New Roman"/>
          <w:spacing w:val="25"/>
        </w:rPr>
        <w:t xml:space="preserve"> </w:t>
      </w:r>
      <w:r w:rsidR="007A5E53" w:rsidRPr="00A5318D">
        <w:rPr>
          <w:rFonts w:eastAsia="Times New Roman"/>
        </w:rPr>
        <w:t>of</w:t>
      </w:r>
      <w:r w:rsidR="007A5E53" w:rsidRPr="00A5318D">
        <w:rPr>
          <w:rFonts w:eastAsia="Times New Roman"/>
          <w:spacing w:val="26"/>
        </w:rPr>
        <w:t xml:space="preserve"> </w:t>
      </w:r>
      <w:r w:rsidR="007A5E53" w:rsidRPr="00A5318D">
        <w:rPr>
          <w:rFonts w:eastAsia="Times New Roman"/>
        </w:rPr>
        <w:t>apparatus</w:t>
      </w:r>
      <w:r w:rsidR="007A5E53" w:rsidRPr="00A5318D">
        <w:rPr>
          <w:rFonts w:eastAsia="Times New Roman"/>
          <w:spacing w:val="25"/>
        </w:rPr>
        <w:t xml:space="preserve"> </w:t>
      </w:r>
      <w:r w:rsidR="007A5E53" w:rsidRPr="00A5318D">
        <w:rPr>
          <w:rFonts w:eastAsia="Times New Roman"/>
        </w:rPr>
        <w:t>provided</w:t>
      </w:r>
      <w:r w:rsidR="007A5E53" w:rsidRPr="00A5318D">
        <w:rPr>
          <w:rFonts w:eastAsia="Times New Roman"/>
          <w:spacing w:val="26"/>
        </w:rPr>
        <w:t xml:space="preserve"> </w:t>
      </w:r>
      <w:r w:rsidR="007A5E53" w:rsidRPr="00A5318D">
        <w:rPr>
          <w:rFonts w:eastAsia="Times New Roman"/>
        </w:rPr>
        <w:t>and</w:t>
      </w:r>
      <w:r w:rsidR="007A5E53" w:rsidRPr="00A5318D">
        <w:rPr>
          <w:rFonts w:eastAsia="Times New Roman"/>
          <w:spacing w:val="25"/>
        </w:rPr>
        <w:t xml:space="preserve"> </w:t>
      </w:r>
      <w:r w:rsidR="007A5E53" w:rsidRPr="00A5318D">
        <w:rPr>
          <w:rFonts w:eastAsia="Times New Roman"/>
        </w:rPr>
        <w:t>maintained</w:t>
      </w:r>
      <w:r w:rsidR="007A5E53" w:rsidRPr="00A5318D">
        <w:rPr>
          <w:rFonts w:eastAsia="Times New Roman"/>
          <w:spacing w:val="25"/>
        </w:rPr>
        <w:t xml:space="preserve"> </w:t>
      </w:r>
      <w:r w:rsidR="007A5E53" w:rsidRPr="00A5318D">
        <w:rPr>
          <w:rFonts w:eastAsia="Times New Roman"/>
        </w:rPr>
        <w:t>only</w:t>
      </w:r>
      <w:r w:rsidR="007A5E53" w:rsidRPr="00A5318D">
        <w:rPr>
          <w:rFonts w:eastAsia="Times New Roman"/>
          <w:spacing w:val="26"/>
        </w:rPr>
        <w:t xml:space="preserve"> </w:t>
      </w:r>
      <w:r w:rsidR="007A5E53" w:rsidRPr="00A5318D">
        <w:rPr>
          <w:rFonts w:eastAsia="Times New Roman"/>
        </w:rPr>
        <w:t>for</w:t>
      </w:r>
      <w:r w:rsidR="007A5E53" w:rsidRPr="00A5318D">
        <w:rPr>
          <w:rFonts w:eastAsia="Times New Roman"/>
          <w:spacing w:val="25"/>
        </w:rPr>
        <w:t xml:space="preserve"> </w:t>
      </w:r>
      <w:r w:rsidR="007A5E53" w:rsidRPr="00A5318D">
        <w:rPr>
          <w:rFonts w:eastAsia="Times New Roman"/>
        </w:rPr>
        <w:t>purposes connected</w:t>
      </w:r>
      <w:r w:rsidR="007A5E53" w:rsidRPr="00A5318D">
        <w:rPr>
          <w:rFonts w:eastAsia="Times New Roman"/>
          <w:spacing w:val="-5"/>
        </w:rPr>
        <w:t xml:space="preserve"> </w:t>
      </w:r>
      <w:r w:rsidR="007A5E53" w:rsidRPr="00A5318D">
        <w:rPr>
          <w:rFonts w:eastAsia="Times New Roman"/>
        </w:rPr>
        <w:t>with</w:t>
      </w:r>
      <w:r w:rsidR="007A5E53" w:rsidRPr="00A5318D">
        <w:rPr>
          <w:rFonts w:eastAsia="Times New Roman"/>
          <w:spacing w:val="-5"/>
        </w:rPr>
        <w:t xml:space="preserve"> </w:t>
      </w:r>
      <w:r w:rsidR="007A5E53" w:rsidRPr="00A5318D">
        <w:rPr>
          <w:rFonts w:eastAsia="Times New Roman"/>
        </w:rPr>
        <w:t>the</w:t>
      </w:r>
      <w:r w:rsidR="007A5E53" w:rsidRPr="00A5318D">
        <w:rPr>
          <w:rFonts w:eastAsia="Times New Roman"/>
          <w:spacing w:val="-5"/>
        </w:rPr>
        <w:t xml:space="preserve"> </w:t>
      </w:r>
      <w:r w:rsidR="007A5E53" w:rsidRPr="00A5318D">
        <w:rPr>
          <w:rFonts w:eastAsia="Times New Roman"/>
        </w:rPr>
        <w:t>conveyance</w:t>
      </w:r>
      <w:r w:rsidR="007A5E53" w:rsidRPr="00A5318D">
        <w:rPr>
          <w:rFonts w:eastAsia="Times New Roman"/>
          <w:spacing w:val="-5"/>
        </w:rPr>
        <w:t xml:space="preserve"> </w:t>
      </w:r>
      <w:r w:rsidR="007A5E53" w:rsidRPr="00A5318D">
        <w:rPr>
          <w:rFonts w:eastAsia="Times New Roman"/>
        </w:rPr>
        <w:t>of</w:t>
      </w:r>
      <w:r w:rsidR="007A5E53" w:rsidRPr="00A5318D">
        <w:rPr>
          <w:rFonts w:eastAsia="Times New Roman"/>
          <w:spacing w:val="-5"/>
        </w:rPr>
        <w:t xml:space="preserve"> </w:t>
      </w:r>
      <w:r w:rsidR="007A5E53" w:rsidRPr="00A5318D">
        <w:rPr>
          <w:rFonts w:eastAsia="Times New Roman"/>
        </w:rPr>
        <w:t>gas</w:t>
      </w:r>
      <w:r w:rsidR="007A5E53" w:rsidRPr="00A5318D">
        <w:rPr>
          <w:rFonts w:eastAsia="Times New Roman"/>
          <w:spacing w:val="-5"/>
        </w:rPr>
        <w:t xml:space="preserve"> </w:t>
      </w:r>
      <w:r w:rsidR="007A5E53" w:rsidRPr="00A5318D">
        <w:rPr>
          <w:rFonts w:eastAsia="Times New Roman"/>
        </w:rPr>
        <w:t>through</w:t>
      </w:r>
      <w:r w:rsidR="007A5E53" w:rsidRPr="00A5318D">
        <w:rPr>
          <w:rFonts w:eastAsia="Times New Roman"/>
          <w:spacing w:val="-5"/>
        </w:rPr>
        <w:t xml:space="preserve"> </w:t>
      </w:r>
      <w:r w:rsidR="007A5E53" w:rsidRPr="00A5318D">
        <w:rPr>
          <w:rFonts w:eastAsia="Times New Roman"/>
        </w:rPr>
        <w:t>that</w:t>
      </w:r>
      <w:r w:rsidR="007A5E53" w:rsidRPr="00A5318D">
        <w:rPr>
          <w:rFonts w:eastAsia="Times New Roman"/>
          <w:spacing w:val="-5"/>
        </w:rPr>
        <w:t xml:space="preserve"> </w:t>
      </w:r>
      <w:r w:rsidR="007A5E53" w:rsidRPr="00A5318D">
        <w:rPr>
          <w:rFonts w:eastAsia="Times New Roman"/>
        </w:rPr>
        <w:t>pipe</w:t>
      </w:r>
      <w:r w:rsidR="007A5E53" w:rsidRPr="00A5318D">
        <w:rPr>
          <w:rFonts w:eastAsia="Times New Roman"/>
          <w:spacing w:val="-5"/>
        </w:rPr>
        <w:t xml:space="preserve"> </w:t>
      </w:r>
      <w:r w:rsidR="007A5E53" w:rsidRPr="00A5318D">
        <w:rPr>
          <w:rFonts w:eastAsia="Times New Roman"/>
        </w:rPr>
        <w:t>to</w:t>
      </w:r>
      <w:r w:rsidR="007A5E53" w:rsidRPr="00A5318D">
        <w:rPr>
          <w:rFonts w:eastAsia="Times New Roman"/>
          <w:spacing w:val="-5"/>
        </w:rPr>
        <w:t xml:space="preserve"> </w:t>
      </w:r>
      <w:r w:rsidR="007A5E53" w:rsidRPr="00A5318D">
        <w:rPr>
          <w:rFonts w:eastAsia="Times New Roman"/>
        </w:rPr>
        <w:t>those</w:t>
      </w:r>
      <w:r w:rsidR="007A5E53" w:rsidRPr="00A5318D">
        <w:rPr>
          <w:rFonts w:eastAsia="Times New Roman"/>
          <w:spacing w:val="-5"/>
        </w:rPr>
        <w:t xml:space="preserve"> </w:t>
      </w:r>
      <w:r w:rsidR="007A5E53" w:rsidRPr="00A5318D">
        <w:rPr>
          <w:rFonts w:eastAsia="Times New Roman"/>
        </w:rPr>
        <w:t>premises</w:t>
      </w:r>
      <w:r w:rsidR="007A5E53" w:rsidRPr="00800A7B">
        <w:rPr>
          <w:rFonts w:eastAsia="Times New Roman"/>
        </w:rPr>
        <w:t xml:space="preserve">” – This would require SGN to agree with the relevant </w:t>
      </w:r>
      <w:r w:rsidR="002E2573">
        <w:rPr>
          <w:rFonts w:eastAsia="Times New Roman"/>
        </w:rPr>
        <w:t>s</w:t>
      </w:r>
      <w:r w:rsidR="007A5E53" w:rsidRPr="00800A7B">
        <w:rPr>
          <w:rFonts w:eastAsia="Times New Roman"/>
        </w:rPr>
        <w:t>hipper/</w:t>
      </w:r>
      <w:r w:rsidR="002E2573">
        <w:rPr>
          <w:rFonts w:eastAsia="Times New Roman"/>
        </w:rPr>
        <w:t>s</w:t>
      </w:r>
      <w:r w:rsidR="007A5E53" w:rsidRPr="00800A7B">
        <w:rPr>
          <w:rFonts w:eastAsia="Times New Roman"/>
        </w:rPr>
        <w:t>uppliers (</w:t>
      </w:r>
      <w:r w:rsidR="00800A7B">
        <w:rPr>
          <w:rFonts w:eastAsia="Times New Roman"/>
        </w:rPr>
        <w:t>which</w:t>
      </w:r>
      <w:r w:rsidR="007A5E53" w:rsidRPr="00800A7B">
        <w:rPr>
          <w:rFonts w:eastAsia="Times New Roman"/>
        </w:rPr>
        <w:t xml:space="preserve"> could be met by a flag in </w:t>
      </w:r>
      <w:r w:rsidR="3BA222E3" w:rsidRPr="65119C7B">
        <w:rPr>
          <w:rFonts w:eastAsia="Times New Roman"/>
        </w:rPr>
        <w:t>Xoserve’s systems</w:t>
      </w:r>
      <w:r w:rsidR="004E4ACC">
        <w:rPr>
          <w:rFonts w:eastAsia="Times New Roman"/>
        </w:rPr>
        <w:t xml:space="preserve">) </w:t>
      </w:r>
      <w:r w:rsidR="007A5E53" w:rsidRPr="00800A7B">
        <w:rPr>
          <w:rFonts w:eastAsia="Times New Roman"/>
          <w:u w:val="single"/>
        </w:rPr>
        <w:t>or</w:t>
      </w:r>
      <w:r w:rsidR="007A5E53" w:rsidRPr="00800A7B">
        <w:rPr>
          <w:rFonts w:eastAsia="Times New Roman"/>
        </w:rPr>
        <w:t xml:space="preserve"> the owner occupier of the premises for the energy conveyed to their premises to be calculated on the basis of CVs determined by specific apparatus maintained only for gas conveyed to that premise. This aligns to the distinct &amp; separate network configuration of the H100 </w:t>
      </w:r>
      <w:r w:rsidR="00800A7B">
        <w:rPr>
          <w:rFonts w:eastAsia="Times New Roman"/>
        </w:rPr>
        <w:t>Fife N</w:t>
      </w:r>
      <w:r w:rsidR="007A5E53" w:rsidRPr="00800A7B">
        <w:rPr>
          <w:rFonts w:eastAsia="Times New Roman"/>
        </w:rPr>
        <w:t xml:space="preserve">etwork. In effect what we are proposing aligns to the </w:t>
      </w:r>
      <w:r w:rsidR="00800A7B">
        <w:rPr>
          <w:rFonts w:eastAsia="Times New Roman"/>
        </w:rPr>
        <w:t xml:space="preserve">G(COTE)R </w:t>
      </w:r>
      <w:r w:rsidR="007A5E53" w:rsidRPr="00800A7B">
        <w:rPr>
          <w:rFonts w:eastAsia="Times New Roman"/>
        </w:rPr>
        <w:t xml:space="preserve">as we will be “calculating” the energy based on a specific CV. The “calculation” part is straight forward and would align to the </w:t>
      </w:r>
      <w:r w:rsidR="004077FE">
        <w:rPr>
          <w:rFonts w:eastAsia="Times New Roman"/>
        </w:rPr>
        <w:t>G(COTE)R</w:t>
      </w:r>
      <w:r w:rsidR="007A5E53" w:rsidRPr="00800A7B">
        <w:rPr>
          <w:rFonts w:eastAsia="Times New Roman"/>
        </w:rPr>
        <w:t>, i.e. volume (m</w:t>
      </w:r>
      <w:r w:rsidR="007A5E53" w:rsidRPr="004077FE">
        <w:rPr>
          <w:rFonts w:eastAsia="Times New Roman"/>
          <w:vertAlign w:val="subscript"/>
        </w:rPr>
        <w:t>3</w:t>
      </w:r>
      <w:r w:rsidR="007A5E53" w:rsidRPr="00800A7B">
        <w:rPr>
          <w:rFonts w:eastAsia="Times New Roman"/>
        </w:rPr>
        <w:t xml:space="preserve">) x CV / 3.6 = energy(Kwh). </w:t>
      </w:r>
      <w:r w:rsidR="00A22C16" w:rsidRPr="00550C24">
        <w:rPr>
          <w:rFonts w:eastAsia="Times New Roman"/>
        </w:rPr>
        <w:t xml:space="preserve">The process for </w:t>
      </w:r>
      <w:r w:rsidR="00342DCC" w:rsidRPr="00550C24">
        <w:rPr>
          <w:rFonts w:eastAsia="Times New Roman"/>
        </w:rPr>
        <w:t>agreeing how the correct energy value is worked out and communicated to the supplier is still being mapped, however we have already begun engagement with Xoserve</w:t>
      </w:r>
      <w:r w:rsidR="00BC33B5">
        <w:rPr>
          <w:rFonts w:eastAsia="Times New Roman"/>
        </w:rPr>
        <w:t xml:space="preserve"> </w:t>
      </w:r>
      <w:r w:rsidR="00342DCC" w:rsidRPr="00550C24">
        <w:rPr>
          <w:rFonts w:eastAsia="Times New Roman"/>
        </w:rPr>
        <w:t>o</w:t>
      </w:r>
      <w:r w:rsidR="008F4A73">
        <w:rPr>
          <w:rFonts w:eastAsia="Times New Roman"/>
        </w:rPr>
        <w:t>n</w:t>
      </w:r>
      <w:r w:rsidR="00342DCC" w:rsidRPr="00550C24">
        <w:rPr>
          <w:rFonts w:eastAsia="Times New Roman"/>
        </w:rPr>
        <w:t xml:space="preserve"> this matter</w:t>
      </w:r>
      <w:r w:rsidR="00BC33B5" w:rsidRPr="00BC33B5">
        <w:rPr>
          <w:rFonts w:eastAsia="Times New Roman"/>
        </w:rPr>
        <w:t xml:space="preserve"> </w:t>
      </w:r>
      <w:r w:rsidR="00BC33B5">
        <w:rPr>
          <w:rFonts w:eastAsia="Times New Roman"/>
        </w:rPr>
        <w:t>as the</w:t>
      </w:r>
      <w:r w:rsidR="00BC33B5" w:rsidRPr="00550C24">
        <w:rPr>
          <w:rFonts w:eastAsia="Times New Roman"/>
        </w:rPr>
        <w:t xml:space="preserve"> </w:t>
      </w:r>
      <w:r w:rsidR="00BC33B5" w:rsidRPr="00BC33B5">
        <w:rPr>
          <w:rFonts w:eastAsia="Times New Roman"/>
        </w:rPr>
        <w:t>gas industry’s Central Data Service Provider (CDSP)</w:t>
      </w:r>
      <w:r w:rsidR="00342DCC" w:rsidRPr="00550C24">
        <w:rPr>
          <w:rFonts w:eastAsia="Times New Roman"/>
        </w:rPr>
        <w:t xml:space="preserve">. </w:t>
      </w:r>
      <w:r w:rsidR="007A5E53" w:rsidRPr="00800A7B">
        <w:rPr>
          <w:rFonts w:eastAsia="Times New Roman"/>
        </w:rPr>
        <w:t xml:space="preserve">This could be highlighted to the </w:t>
      </w:r>
      <w:r w:rsidR="002E2573">
        <w:rPr>
          <w:rFonts w:eastAsia="Times New Roman"/>
        </w:rPr>
        <w:t>s</w:t>
      </w:r>
      <w:r w:rsidR="007A5E53" w:rsidRPr="00800A7B">
        <w:rPr>
          <w:rFonts w:eastAsia="Times New Roman"/>
        </w:rPr>
        <w:t>hipper/</w:t>
      </w:r>
      <w:r w:rsidR="002E2573">
        <w:rPr>
          <w:rFonts w:eastAsia="Times New Roman"/>
        </w:rPr>
        <w:t>s</w:t>
      </w:r>
      <w:r w:rsidR="007A5E53" w:rsidRPr="00800A7B">
        <w:rPr>
          <w:rFonts w:eastAsia="Times New Roman"/>
        </w:rPr>
        <w:t xml:space="preserve">upplier through </w:t>
      </w:r>
      <w:r w:rsidR="002E2573">
        <w:rPr>
          <w:rFonts w:eastAsia="Times New Roman"/>
        </w:rPr>
        <w:t xml:space="preserve">a proposed </w:t>
      </w:r>
      <w:r w:rsidR="007A5E53" w:rsidRPr="00800A7B">
        <w:rPr>
          <w:rFonts w:eastAsia="Times New Roman"/>
        </w:rPr>
        <w:t xml:space="preserve">indicator flag in </w:t>
      </w:r>
      <w:r w:rsidR="57DE3A3A" w:rsidRPr="65119C7B">
        <w:rPr>
          <w:rFonts w:eastAsia="Times New Roman"/>
        </w:rPr>
        <w:t>Xoserve’s systems</w:t>
      </w:r>
      <w:r w:rsidR="00342DCC">
        <w:rPr>
          <w:rFonts w:eastAsia="Times New Roman"/>
        </w:rPr>
        <w:t>.</w:t>
      </w:r>
      <w:r w:rsidR="00F71121">
        <w:rPr>
          <w:rFonts w:eastAsia="Times New Roman"/>
        </w:rPr>
        <w:t xml:space="preserve"> The objective here is to ensure customers are protected from the upstream system cost of hydrogen production associated with a ‘first of a kind’ demonstrator</w:t>
      </w:r>
      <w:r w:rsidR="00A2785E">
        <w:rPr>
          <w:rFonts w:eastAsia="Times New Roman"/>
        </w:rPr>
        <w:t>, and instead pay the energy unit cost of natural gas in their bills.</w:t>
      </w:r>
    </w:p>
    <w:p w14:paraId="18B1ECB7" w14:textId="1795A39D" w:rsidR="002E6536" w:rsidRPr="008A434E" w:rsidRDefault="002E6536" w:rsidP="008A434E">
      <w:pPr>
        <w:rPr>
          <w:rFonts w:ascii="Calibri" w:hAnsi="Calibri"/>
        </w:rPr>
      </w:pPr>
      <w:r>
        <w:rPr>
          <w:rFonts w:eastAsia="Times New Roman"/>
        </w:rPr>
        <w:t xml:space="preserve">Xoserve </w:t>
      </w:r>
      <w:r w:rsidR="001B2A18">
        <w:rPr>
          <w:rFonts w:eastAsia="Times New Roman"/>
        </w:rPr>
        <w:t>are enga</w:t>
      </w:r>
      <w:r w:rsidR="00F0217E">
        <w:rPr>
          <w:rFonts w:eastAsia="Times New Roman"/>
        </w:rPr>
        <w:t xml:space="preserve">ging with us on H100 Fife as well as the other gas distribution networks to understand how they can support </w:t>
      </w:r>
      <w:r w:rsidR="00D00325">
        <w:rPr>
          <w:rFonts w:eastAsia="Times New Roman"/>
        </w:rPr>
        <w:t>the movement to decarbonisation and horizon planning.</w:t>
      </w:r>
      <w:r w:rsidR="0077081C">
        <w:rPr>
          <w:rFonts w:eastAsia="Times New Roman"/>
        </w:rPr>
        <w:t xml:space="preserve"> The key point of discussion with Xoserve</w:t>
      </w:r>
      <w:r w:rsidR="00C27A28">
        <w:rPr>
          <w:rFonts w:eastAsia="Times New Roman"/>
        </w:rPr>
        <w:t xml:space="preserve"> on this project is </w:t>
      </w:r>
      <w:r w:rsidR="00294397">
        <w:rPr>
          <w:rFonts w:eastAsia="Times New Roman"/>
        </w:rPr>
        <w:t xml:space="preserve">the use of 100% hydrogen and </w:t>
      </w:r>
      <w:r w:rsidR="0077081C">
        <w:t xml:space="preserve">potentially the ability to record a different meter correction factor against the </w:t>
      </w:r>
      <w:r w:rsidR="00C27A28">
        <w:t>mprn</w:t>
      </w:r>
      <w:r w:rsidR="0077081C">
        <w:t xml:space="preserve"> to correct the volume readings for increased hydrogen flows.</w:t>
      </w:r>
      <w:r w:rsidR="005D53D8">
        <w:t xml:space="preserve"> We are aware that a similar flag system is being deployed in relation to NGN/Cadent’s HyDeploy Project.</w:t>
      </w:r>
    </w:p>
    <w:p w14:paraId="67CE68B4" w14:textId="77777777" w:rsidR="007A5E53" w:rsidRDefault="007A5E53" w:rsidP="0A6298AD"/>
    <w:p w14:paraId="71128511" w14:textId="3A07961C" w:rsidR="008A434E" w:rsidRPr="008A434E" w:rsidRDefault="008402E3" w:rsidP="0A6298AD">
      <w:pPr>
        <w:rPr>
          <w:b/>
          <w:bCs/>
          <w:u w:val="single"/>
        </w:rPr>
      </w:pPr>
      <w:r>
        <w:rPr>
          <w:b/>
          <w:bCs/>
          <w:u w:val="single"/>
        </w:rPr>
        <w:t>Licencing and Legislation Analysis</w:t>
      </w:r>
    </w:p>
    <w:p w14:paraId="6419DD2B" w14:textId="102ED299" w:rsidR="009C2E08" w:rsidRDefault="006A3D44" w:rsidP="0A6298AD">
      <w:r>
        <w:t>The headlines of the key licencing conclusions and legislation standpoints are summarised below, with a full analysis provided in Appendix O of the submission.</w:t>
      </w:r>
    </w:p>
    <w:p w14:paraId="3DCAD36B" w14:textId="0082093B" w:rsidR="774BF6BD" w:rsidRPr="0098202D" w:rsidRDefault="774BF6BD" w:rsidP="0A6298AD">
      <w:pPr>
        <w:rPr>
          <w:b/>
          <w:bCs/>
        </w:rPr>
      </w:pPr>
      <w:r w:rsidRPr="006A3D44">
        <w:rPr>
          <w:b/>
          <w:bCs/>
        </w:rPr>
        <w:t>Gas Act</w:t>
      </w:r>
      <w:r w:rsidR="006210EA">
        <w:rPr>
          <w:b/>
          <w:bCs/>
        </w:rPr>
        <w:t xml:space="preserve">: </w:t>
      </w:r>
      <w:r>
        <w:t>Under 'Option 1' of our proposal, no activity of SGN Futures should require a licence, nor</w:t>
      </w:r>
      <w:r w:rsidR="0098202D">
        <w:rPr>
          <w:b/>
          <w:bCs/>
        </w:rPr>
        <w:t xml:space="preserve"> </w:t>
      </w:r>
      <w:r>
        <w:t>should ScGN need to obtain any additional licence or a derogation from its transporter</w:t>
      </w:r>
    </w:p>
    <w:p w14:paraId="14549397" w14:textId="4155DAB3" w:rsidR="774BF6BD" w:rsidRDefault="774BF6BD" w:rsidP="0A6298AD">
      <w:r>
        <w:t>licence.</w:t>
      </w:r>
    </w:p>
    <w:p w14:paraId="56B2120E" w14:textId="4D20CA52" w:rsidR="774BF6BD" w:rsidRPr="0098202D" w:rsidRDefault="774BF6BD" w:rsidP="0A6298AD">
      <w:pPr>
        <w:rPr>
          <w:b/>
          <w:bCs/>
        </w:rPr>
      </w:pPr>
      <w:r w:rsidRPr="006A3D44">
        <w:rPr>
          <w:b/>
          <w:bCs/>
        </w:rPr>
        <w:t>Gas Act – Storage Facility</w:t>
      </w:r>
      <w:r w:rsidR="006210EA">
        <w:rPr>
          <w:b/>
          <w:bCs/>
        </w:rPr>
        <w:t xml:space="preserve">: </w:t>
      </w:r>
      <w:r>
        <w:t>The hydrogen storage will not comprise a storage facility under the Gas Act and so SGN</w:t>
      </w:r>
      <w:r w:rsidR="0098202D">
        <w:rPr>
          <w:b/>
          <w:bCs/>
        </w:rPr>
        <w:t xml:space="preserve"> </w:t>
      </w:r>
      <w:r>
        <w:t>does not need to further consider the unbundling, third party access and provision of</w:t>
      </w:r>
      <w:r w:rsidR="0098202D">
        <w:rPr>
          <w:b/>
          <w:bCs/>
        </w:rPr>
        <w:t xml:space="preserve"> </w:t>
      </w:r>
      <w:r>
        <w:t>information provisions.</w:t>
      </w:r>
    </w:p>
    <w:p w14:paraId="24770D2B" w14:textId="5FE23C51" w:rsidR="774BF6BD" w:rsidRPr="006210EA" w:rsidRDefault="774BF6BD" w:rsidP="0A6298AD">
      <w:pPr>
        <w:rPr>
          <w:b/>
          <w:bCs/>
        </w:rPr>
      </w:pPr>
      <w:r w:rsidRPr="006A3D44">
        <w:rPr>
          <w:b/>
          <w:bCs/>
        </w:rPr>
        <w:lastRenderedPageBreak/>
        <w:t>Gas Act (implementing the provisions of the Gas Directive 2009/73/EC)</w:t>
      </w:r>
      <w:r w:rsidR="006210EA">
        <w:rPr>
          <w:b/>
          <w:bCs/>
        </w:rPr>
        <w:t xml:space="preserve">: </w:t>
      </w:r>
      <w:r>
        <w:t>The unbundling regime does not apply given that ScGN does not carry out the</w:t>
      </w:r>
    </w:p>
    <w:p w14:paraId="08C69A34" w14:textId="65DD6933" w:rsidR="774BF6BD" w:rsidRDefault="774BF6BD" w:rsidP="0A6298AD">
      <w:r>
        <w:t>transmission of gas.</w:t>
      </w:r>
    </w:p>
    <w:p w14:paraId="0CBECA44" w14:textId="4AA48D56" w:rsidR="774BF6BD" w:rsidRPr="006A3D44" w:rsidRDefault="774BF6BD" w:rsidP="0A6298AD">
      <w:pPr>
        <w:rPr>
          <w:b/>
          <w:bCs/>
        </w:rPr>
      </w:pPr>
      <w:r w:rsidRPr="006A3D44">
        <w:rPr>
          <w:b/>
          <w:bCs/>
        </w:rPr>
        <w:t>Electricity Act and the Electricity (Class Exemption from the Requirement for a</w:t>
      </w:r>
    </w:p>
    <w:p w14:paraId="05A4ADFE" w14:textId="2D5EB991" w:rsidR="774BF6BD" w:rsidRPr="006210EA" w:rsidRDefault="774BF6BD" w:rsidP="0A6298AD">
      <w:pPr>
        <w:rPr>
          <w:b/>
          <w:bCs/>
        </w:rPr>
      </w:pPr>
      <w:r w:rsidRPr="006A3D44">
        <w:rPr>
          <w:b/>
          <w:bCs/>
        </w:rPr>
        <w:t>Licence) Order 2001</w:t>
      </w:r>
      <w:r w:rsidR="006210EA">
        <w:rPr>
          <w:b/>
          <w:bCs/>
        </w:rPr>
        <w:t xml:space="preserve">: </w:t>
      </w:r>
      <w:r>
        <w:t>Neither ScGN nor SGN Futures will require a licence or exemption in relation to the</w:t>
      </w:r>
      <w:r w:rsidR="006210EA">
        <w:rPr>
          <w:b/>
          <w:bCs/>
        </w:rPr>
        <w:t xml:space="preserve"> </w:t>
      </w:r>
      <w:r>
        <w:t>Electricity Act. ORE Catapult will be generating, distributing and supplying electricity to</w:t>
      </w:r>
      <w:r w:rsidR="006210EA">
        <w:rPr>
          <w:b/>
          <w:bCs/>
        </w:rPr>
        <w:t xml:space="preserve"> </w:t>
      </w:r>
      <w:r>
        <w:t>SGN. However, it should be able to rely on an exemption in each case.</w:t>
      </w:r>
    </w:p>
    <w:p w14:paraId="1D4D010C" w14:textId="26DB09CF" w:rsidR="774BF6BD" w:rsidRPr="001C4A4D" w:rsidRDefault="774BF6BD" w:rsidP="0A6298AD">
      <w:pPr>
        <w:rPr>
          <w:b/>
          <w:bCs/>
        </w:rPr>
      </w:pPr>
      <w:r w:rsidRPr="006210EA">
        <w:rPr>
          <w:b/>
          <w:bCs/>
        </w:rPr>
        <w:t>Licence requirements</w:t>
      </w:r>
      <w:r w:rsidR="006210EA">
        <w:rPr>
          <w:b/>
          <w:bCs/>
        </w:rPr>
        <w:t xml:space="preserve">: </w:t>
      </w:r>
      <w:r>
        <w:t>SGN is satisfied that it would be able to comply with its licence conditions under Option</w:t>
      </w:r>
      <w:r w:rsidR="001C4A4D">
        <w:rPr>
          <w:b/>
          <w:bCs/>
        </w:rPr>
        <w:t xml:space="preserve"> </w:t>
      </w:r>
      <w:r>
        <w:t>1.</w:t>
      </w:r>
    </w:p>
    <w:p w14:paraId="2E98487F" w14:textId="10879D87" w:rsidR="774BF6BD" w:rsidRPr="006210EA" w:rsidRDefault="774BF6BD" w:rsidP="0A6298AD">
      <w:pPr>
        <w:rPr>
          <w:b/>
          <w:bCs/>
        </w:rPr>
      </w:pPr>
      <w:r w:rsidRPr="006210EA">
        <w:rPr>
          <w:b/>
          <w:bCs/>
        </w:rPr>
        <w:t>Gas Safety (Management) Regulations 1996 (GS(M)R)</w:t>
      </w:r>
      <w:r w:rsidR="006210EA">
        <w:rPr>
          <w:b/>
          <w:bCs/>
        </w:rPr>
        <w:t xml:space="preserve">: </w:t>
      </w:r>
      <w:r>
        <w:t>Our intention is that the existing gas network will remain in place without modifications</w:t>
      </w:r>
    </w:p>
    <w:p w14:paraId="69061765" w14:textId="4E064EEA" w:rsidR="774BF6BD" w:rsidRDefault="774BF6BD" w:rsidP="0A6298AD">
      <w:r>
        <w:t>and that a new hydrogen network will be established. The networks are intended to</w:t>
      </w:r>
    </w:p>
    <w:p w14:paraId="55E53835" w14:textId="58753322" w:rsidR="774BF6BD" w:rsidRDefault="774BF6BD" w:rsidP="0A6298AD">
      <w:r>
        <w:t>operate in parallel, to offer flexibility to customers to 'opt in' and switch back if desired.</w:t>
      </w:r>
    </w:p>
    <w:p w14:paraId="75648D9C" w14:textId="7B3403DC" w:rsidR="774BF6BD" w:rsidRDefault="774BF6BD" w:rsidP="0A6298AD">
      <w:r>
        <w:t>This enables us to test a new hydrogen network without putting customers at any</w:t>
      </w:r>
    </w:p>
    <w:p w14:paraId="17B4B93A" w14:textId="25F72B06" w:rsidR="774BF6BD" w:rsidRDefault="774BF6BD" w:rsidP="0A6298AD">
      <w:r>
        <w:t>disadvantage. We will continue to operate in the spirit of GS(M)R and to comply in full</w:t>
      </w:r>
    </w:p>
    <w:p w14:paraId="3C663E81" w14:textId="202E179B" w:rsidR="774BF6BD" w:rsidRDefault="774BF6BD" w:rsidP="0A6298AD">
      <w:r>
        <w:t>with its licence conditions in relation to dealing with emergencies and gas escapes.</w:t>
      </w:r>
    </w:p>
    <w:p w14:paraId="418329E3" w14:textId="218052DA" w:rsidR="774BF6BD" w:rsidRPr="0098202D" w:rsidRDefault="774BF6BD" w:rsidP="0A6298AD">
      <w:pPr>
        <w:rPr>
          <w:b/>
          <w:bCs/>
        </w:rPr>
      </w:pPr>
      <w:r w:rsidRPr="006210EA">
        <w:rPr>
          <w:b/>
          <w:bCs/>
        </w:rPr>
        <w:t>Uniform Network Code</w:t>
      </w:r>
      <w:r w:rsidR="006210EA">
        <w:rPr>
          <w:b/>
          <w:bCs/>
        </w:rPr>
        <w:t xml:space="preserve">: </w:t>
      </w:r>
      <w:r>
        <w:t>We recognise that amendments to the UNC (e.g. the gas composition requirements) are</w:t>
      </w:r>
      <w:r w:rsidR="0098202D">
        <w:rPr>
          <w:b/>
          <w:bCs/>
        </w:rPr>
        <w:t xml:space="preserve"> </w:t>
      </w:r>
      <w:r>
        <w:t>likely to be required, but that the nature of the required amendments will become</w:t>
      </w:r>
      <w:r w:rsidR="0098202D">
        <w:rPr>
          <w:b/>
          <w:bCs/>
        </w:rPr>
        <w:t xml:space="preserve"> </w:t>
      </w:r>
      <w:r>
        <w:t>clearer as the project progresses. SGN will effect such amendments using the</w:t>
      </w:r>
      <w:r w:rsidR="0098202D">
        <w:rPr>
          <w:b/>
          <w:bCs/>
        </w:rPr>
        <w:t xml:space="preserve"> </w:t>
      </w:r>
      <w:r>
        <w:t>modification procedure in the usual way.</w:t>
      </w:r>
    </w:p>
    <w:p w14:paraId="28C7A9A1" w14:textId="545B418C" w:rsidR="774BF6BD" w:rsidRPr="0098202D" w:rsidRDefault="774BF6BD" w:rsidP="0A6298AD">
      <w:pPr>
        <w:rPr>
          <w:b/>
          <w:bCs/>
        </w:rPr>
      </w:pPr>
      <w:r w:rsidRPr="006210EA">
        <w:rPr>
          <w:b/>
          <w:bCs/>
        </w:rPr>
        <w:t>Funding</w:t>
      </w:r>
      <w:r w:rsidR="006210EA">
        <w:rPr>
          <w:b/>
          <w:bCs/>
        </w:rPr>
        <w:t xml:space="preserve">: </w:t>
      </w:r>
      <w:r>
        <w:t>As the funding position matures, the documentation will reflect that. Any NIC funding will</w:t>
      </w:r>
      <w:r w:rsidR="0098202D">
        <w:rPr>
          <w:b/>
          <w:bCs/>
        </w:rPr>
        <w:t xml:space="preserve"> </w:t>
      </w:r>
      <w:r>
        <w:t>be ring fenced and it will be made clear that the pass down of funds will be subject to</w:t>
      </w:r>
      <w:r w:rsidR="0098202D">
        <w:rPr>
          <w:b/>
          <w:bCs/>
        </w:rPr>
        <w:t xml:space="preserve"> </w:t>
      </w:r>
      <w:r>
        <w:t>the requirements of the NIC.</w:t>
      </w:r>
    </w:p>
    <w:p w14:paraId="7427CA7E" w14:textId="696A3D27" w:rsidR="774BF6BD" w:rsidRPr="006210EA" w:rsidRDefault="774BF6BD" w:rsidP="0A6298AD">
      <w:pPr>
        <w:rPr>
          <w:b/>
          <w:bCs/>
        </w:rPr>
      </w:pPr>
      <w:r w:rsidRPr="006210EA">
        <w:rPr>
          <w:b/>
          <w:bCs/>
        </w:rPr>
        <w:t>Planning</w:t>
      </w:r>
      <w:r w:rsidR="006210EA">
        <w:rPr>
          <w:b/>
          <w:bCs/>
        </w:rPr>
        <w:t xml:space="preserve">: </w:t>
      </w:r>
      <w:r>
        <w:t>Our plan for the project contains sufficient time to obtain the necessary planning</w:t>
      </w:r>
    </w:p>
    <w:p w14:paraId="47AA4351" w14:textId="48347315" w:rsidR="774BF6BD" w:rsidRDefault="774BF6BD" w:rsidP="0A6298AD">
      <w:r>
        <w:t>permissions and consents.</w:t>
      </w:r>
    </w:p>
    <w:p w14:paraId="79333575" w14:textId="4385E31D" w:rsidR="774BF6BD" w:rsidRPr="0098202D" w:rsidRDefault="774BF6BD" w:rsidP="0A6298AD">
      <w:pPr>
        <w:rPr>
          <w:b/>
          <w:bCs/>
        </w:rPr>
      </w:pPr>
      <w:r w:rsidRPr="006210EA">
        <w:rPr>
          <w:b/>
          <w:bCs/>
        </w:rPr>
        <w:t>Treating customers fairly – supplier licence conditions</w:t>
      </w:r>
      <w:r w:rsidR="006210EA">
        <w:rPr>
          <w:b/>
          <w:bCs/>
        </w:rPr>
        <w:t xml:space="preserve">: </w:t>
      </w:r>
      <w:r>
        <w:t>It is our intention to obtain customer consent to the switch and this will also be required</w:t>
      </w:r>
      <w:r w:rsidR="0098202D">
        <w:rPr>
          <w:b/>
          <w:bCs/>
        </w:rPr>
        <w:t xml:space="preserve"> </w:t>
      </w:r>
      <w:r>
        <w:t>under the licence conditions of the various licensed suppliers. SGN is also conscious of</w:t>
      </w:r>
      <w:r w:rsidR="0098202D">
        <w:rPr>
          <w:b/>
          <w:bCs/>
        </w:rPr>
        <w:t xml:space="preserve"> </w:t>
      </w:r>
      <w:r>
        <w:t>the need to ensure that the arrangements do not breach ScGN's obligations under its</w:t>
      </w:r>
      <w:r w:rsidR="0098202D">
        <w:rPr>
          <w:b/>
          <w:bCs/>
        </w:rPr>
        <w:t xml:space="preserve"> </w:t>
      </w:r>
      <w:r>
        <w:t>transporter licence to avoid it, any affiliate or any supplier obtaining any unfair</w:t>
      </w:r>
      <w:r w:rsidR="0098202D">
        <w:rPr>
          <w:b/>
          <w:bCs/>
        </w:rPr>
        <w:t xml:space="preserve"> </w:t>
      </w:r>
      <w:r>
        <w:t>commercial advantage.</w:t>
      </w:r>
    </w:p>
    <w:p w14:paraId="48CADC90" w14:textId="3066F0F1" w:rsidR="774BF6BD" w:rsidRDefault="774BF6BD" w:rsidP="008F4A73">
      <w:pPr>
        <w:spacing w:after="240"/>
      </w:pPr>
      <w:r w:rsidRPr="006210EA">
        <w:rPr>
          <w:b/>
          <w:bCs/>
        </w:rPr>
        <w:t>References to 'gas'</w:t>
      </w:r>
      <w:r w:rsidR="006210EA">
        <w:rPr>
          <w:b/>
          <w:bCs/>
        </w:rPr>
        <w:t xml:space="preserve">: </w:t>
      </w:r>
      <w:r>
        <w:t>SGN shall ensure that, where it has the same obligations in respect of hydrogen as it</w:t>
      </w:r>
      <w:r w:rsidR="0098202D">
        <w:rPr>
          <w:b/>
          <w:bCs/>
        </w:rPr>
        <w:t xml:space="preserve"> </w:t>
      </w:r>
      <w:r>
        <w:t>does for natural gas, then it will comply with these obligations in full.</w:t>
      </w:r>
    </w:p>
    <w:p w14:paraId="7B9C11D0" w14:textId="334F9159" w:rsidR="0098202D" w:rsidRDefault="008402E3" w:rsidP="65119C7B">
      <w:pPr>
        <w:rPr>
          <w:b/>
          <w:bCs/>
          <w:u w:val="single"/>
        </w:rPr>
      </w:pPr>
      <w:r w:rsidRPr="65119C7B">
        <w:rPr>
          <w:b/>
          <w:bCs/>
          <w:u w:val="single"/>
        </w:rPr>
        <w:t>Next Steps</w:t>
      </w:r>
      <w:r w:rsidR="0098202D">
        <w:br/>
      </w:r>
      <w:r w:rsidR="00C85F06">
        <w:t xml:space="preserve">Since the submission, we have set up a series of </w:t>
      </w:r>
      <w:r w:rsidR="00D81FED">
        <w:t xml:space="preserve">internal Workings Groups as sub-groups from </w:t>
      </w:r>
      <w:r w:rsidR="00D81FED">
        <w:lastRenderedPageBreak/>
        <w:t xml:space="preserve">the </w:t>
      </w:r>
      <w:r w:rsidR="00125D74">
        <w:t xml:space="preserve">internal </w:t>
      </w:r>
      <w:bookmarkStart w:id="1" w:name="_GoBack"/>
      <w:bookmarkEnd w:id="1"/>
      <w:r w:rsidR="00D81FED">
        <w:t xml:space="preserve">Advisory Group that are focused on specific areas of the project and draw on expertise from across the business. One of these is the Regulation Working Group, set up with the intention of continuing the engagement with Ofgem </w:t>
      </w:r>
      <w:r w:rsidR="00122348">
        <w:t xml:space="preserve">on the regulatory approach of the project, ensuring compliance and </w:t>
      </w:r>
      <w:r w:rsidR="005767CD">
        <w:t xml:space="preserve">mapping a solution to delivering the project </w:t>
      </w:r>
      <w:r w:rsidR="00735A22">
        <w:t>with</w:t>
      </w:r>
      <w:r w:rsidR="005767CD">
        <w:t xml:space="preserve"> </w:t>
      </w:r>
      <w:r w:rsidR="003516E8">
        <w:t xml:space="preserve">a regulatory approach that </w:t>
      </w:r>
      <w:r w:rsidR="003B1B2F">
        <w:t>mirrors</w:t>
      </w:r>
      <w:r w:rsidR="007F067D">
        <w:t xml:space="preserve"> the existing arrangements where possible and </w:t>
      </w:r>
      <w:r w:rsidR="003B1B2F">
        <w:t>endeavours</w:t>
      </w:r>
      <w:r w:rsidR="007F067D">
        <w:t xml:space="preserve"> to provide simplicit</w:t>
      </w:r>
      <w:r w:rsidR="00F32B05">
        <w:t xml:space="preserve">y, no </w:t>
      </w:r>
      <w:r w:rsidR="003B1B2F">
        <w:t>disadvantage</w:t>
      </w:r>
      <w:r w:rsidR="00F32B05">
        <w:t xml:space="preserve"> and minimal disruption to customers</w:t>
      </w:r>
      <w:r w:rsidR="00735A22">
        <w:t>. This includes</w:t>
      </w:r>
      <w:r w:rsidR="00F32B05">
        <w:t xml:space="preserve"> maintaining </w:t>
      </w:r>
      <w:r w:rsidR="003B1B2F">
        <w:t xml:space="preserve">customer </w:t>
      </w:r>
      <w:r w:rsidR="00F32B05">
        <w:t>choice and flexibility around supplier</w:t>
      </w:r>
      <w:r w:rsidR="003B1B2F">
        <w:t xml:space="preserve"> selection</w:t>
      </w:r>
      <w:r w:rsidR="00F32B05">
        <w:t>.</w:t>
      </w:r>
    </w:p>
    <w:sectPr w:rsidR="0098202D" w:rsidSect="00265B97">
      <w:headerReference w:type="even" r:id="rId13"/>
      <w:headerReference w:type="default" r:id="rId14"/>
      <w:footerReference w:type="even" r:id="rId15"/>
      <w:footerReference w:type="default" r:id="rId16"/>
      <w:headerReference w:type="first" r:id="rId17"/>
      <w:footerReference w:type="first" r:id="rId18"/>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40629" w14:textId="77777777" w:rsidR="000E48AD" w:rsidRDefault="000E48AD" w:rsidP="001F6E93">
      <w:r>
        <w:separator/>
      </w:r>
    </w:p>
  </w:endnote>
  <w:endnote w:type="continuationSeparator" w:id="0">
    <w:p w14:paraId="60A8DA1A" w14:textId="77777777" w:rsidR="000E48AD" w:rsidRDefault="000E48AD" w:rsidP="001F6E93">
      <w:r>
        <w:continuationSeparator/>
      </w:r>
    </w:p>
  </w:endnote>
  <w:endnote w:type="continuationNotice" w:id="1">
    <w:p w14:paraId="2111E36D" w14:textId="77777777" w:rsidR="000E48AD" w:rsidRDefault="000E48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E0EA0" w14:textId="77777777" w:rsidR="001A2292" w:rsidRDefault="001A2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69EEB" w14:textId="77777777" w:rsidR="000E48AD" w:rsidRDefault="000E48AD" w:rsidP="001F6E93">
      <w:r>
        <w:separator/>
      </w:r>
    </w:p>
  </w:footnote>
  <w:footnote w:type="continuationSeparator" w:id="0">
    <w:p w14:paraId="4E3ABA88" w14:textId="77777777" w:rsidR="000E48AD" w:rsidRDefault="000E48AD" w:rsidP="001F6E93">
      <w:r>
        <w:continuationSeparator/>
      </w:r>
    </w:p>
  </w:footnote>
  <w:footnote w:type="continuationNotice" w:id="1">
    <w:p w14:paraId="7504DCC7" w14:textId="77777777" w:rsidR="000E48AD" w:rsidRDefault="000E48A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9E1FE" w14:textId="77777777" w:rsidR="001A2292" w:rsidRDefault="001A22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27C5C" w14:textId="77777777" w:rsidR="001A2292" w:rsidRDefault="001A22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E737F4"/>
    <w:multiLevelType w:val="hybridMultilevel"/>
    <w:tmpl w:val="75DE67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4"/>
  </w:num>
  <w:num w:numId="6">
    <w:abstractNumId w:val="11"/>
  </w:num>
  <w:num w:numId="7">
    <w:abstractNumId w:val="5"/>
  </w:num>
  <w:num w:numId="8">
    <w:abstractNumId w:val="6"/>
  </w:num>
  <w:num w:numId="9">
    <w:abstractNumId w:val="2"/>
  </w:num>
  <w:num w:numId="10">
    <w:abstractNumId w:val="7"/>
  </w:num>
  <w:num w:numId="11">
    <w:abstractNumId w:va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1E09"/>
    <w:rsid w:val="00024363"/>
    <w:rsid w:val="00046AFF"/>
    <w:rsid w:val="000704C4"/>
    <w:rsid w:val="00087FA2"/>
    <w:rsid w:val="000B63B4"/>
    <w:rsid w:val="000E48AD"/>
    <w:rsid w:val="000F4635"/>
    <w:rsid w:val="000F6BBE"/>
    <w:rsid w:val="001117FD"/>
    <w:rsid w:val="00122348"/>
    <w:rsid w:val="00125D74"/>
    <w:rsid w:val="001431F3"/>
    <w:rsid w:val="001722DA"/>
    <w:rsid w:val="00177460"/>
    <w:rsid w:val="001A2292"/>
    <w:rsid w:val="001A5456"/>
    <w:rsid w:val="001A68F2"/>
    <w:rsid w:val="001B2A18"/>
    <w:rsid w:val="001B636F"/>
    <w:rsid w:val="001C06F4"/>
    <w:rsid w:val="001C4A4D"/>
    <w:rsid w:val="001F6E93"/>
    <w:rsid w:val="002006A5"/>
    <w:rsid w:val="00263DFC"/>
    <w:rsid w:val="00265B97"/>
    <w:rsid w:val="00284C29"/>
    <w:rsid w:val="00294397"/>
    <w:rsid w:val="002A27A4"/>
    <w:rsid w:val="002E2573"/>
    <w:rsid w:val="002E6536"/>
    <w:rsid w:val="002F27CC"/>
    <w:rsid w:val="002F2C55"/>
    <w:rsid w:val="002F48C3"/>
    <w:rsid w:val="002F7704"/>
    <w:rsid w:val="00313174"/>
    <w:rsid w:val="00330491"/>
    <w:rsid w:val="00331426"/>
    <w:rsid w:val="00342DCC"/>
    <w:rsid w:val="00342F65"/>
    <w:rsid w:val="003516E8"/>
    <w:rsid w:val="00375216"/>
    <w:rsid w:val="00380A9E"/>
    <w:rsid w:val="003B1B2F"/>
    <w:rsid w:val="003C1342"/>
    <w:rsid w:val="003C2D5F"/>
    <w:rsid w:val="003D0181"/>
    <w:rsid w:val="003E0EED"/>
    <w:rsid w:val="004077FE"/>
    <w:rsid w:val="00431249"/>
    <w:rsid w:val="004824AC"/>
    <w:rsid w:val="004A6E56"/>
    <w:rsid w:val="004B2FA7"/>
    <w:rsid w:val="004B58A0"/>
    <w:rsid w:val="004D5FA0"/>
    <w:rsid w:val="004E4ACC"/>
    <w:rsid w:val="004F6BC6"/>
    <w:rsid w:val="00525533"/>
    <w:rsid w:val="005331D0"/>
    <w:rsid w:val="00536E5B"/>
    <w:rsid w:val="00550C24"/>
    <w:rsid w:val="00573B33"/>
    <w:rsid w:val="005767CD"/>
    <w:rsid w:val="0059688D"/>
    <w:rsid w:val="005A5E1D"/>
    <w:rsid w:val="005A7C70"/>
    <w:rsid w:val="005C4066"/>
    <w:rsid w:val="005C7DB8"/>
    <w:rsid w:val="005D4DAC"/>
    <w:rsid w:val="005D53D8"/>
    <w:rsid w:val="005F0460"/>
    <w:rsid w:val="005F6CC3"/>
    <w:rsid w:val="00600994"/>
    <w:rsid w:val="00607D48"/>
    <w:rsid w:val="0061133C"/>
    <w:rsid w:val="006210EA"/>
    <w:rsid w:val="00630267"/>
    <w:rsid w:val="00641E0B"/>
    <w:rsid w:val="00642CA7"/>
    <w:rsid w:val="00643AC3"/>
    <w:rsid w:val="006605C4"/>
    <w:rsid w:val="00661B1B"/>
    <w:rsid w:val="00662A28"/>
    <w:rsid w:val="006A3D44"/>
    <w:rsid w:val="006A5BBE"/>
    <w:rsid w:val="006B764E"/>
    <w:rsid w:val="006C3379"/>
    <w:rsid w:val="006C6124"/>
    <w:rsid w:val="006D211B"/>
    <w:rsid w:val="0072274A"/>
    <w:rsid w:val="00727304"/>
    <w:rsid w:val="0073390F"/>
    <w:rsid w:val="00733D5B"/>
    <w:rsid w:val="00735A22"/>
    <w:rsid w:val="00737C37"/>
    <w:rsid w:val="0077081C"/>
    <w:rsid w:val="00783680"/>
    <w:rsid w:val="007A4F15"/>
    <w:rsid w:val="007A5E53"/>
    <w:rsid w:val="007B66C8"/>
    <w:rsid w:val="007C0D12"/>
    <w:rsid w:val="007C484A"/>
    <w:rsid w:val="007C7E9B"/>
    <w:rsid w:val="007D4AAF"/>
    <w:rsid w:val="007D6A38"/>
    <w:rsid w:val="007F067D"/>
    <w:rsid w:val="007F0694"/>
    <w:rsid w:val="007F1638"/>
    <w:rsid w:val="007F7E00"/>
    <w:rsid w:val="00800A7B"/>
    <w:rsid w:val="008163D2"/>
    <w:rsid w:val="00822639"/>
    <w:rsid w:val="008402E3"/>
    <w:rsid w:val="00844D24"/>
    <w:rsid w:val="00846B69"/>
    <w:rsid w:val="008517F4"/>
    <w:rsid w:val="00855C07"/>
    <w:rsid w:val="0086475A"/>
    <w:rsid w:val="00872AC1"/>
    <w:rsid w:val="008867C2"/>
    <w:rsid w:val="0089032C"/>
    <w:rsid w:val="008A434E"/>
    <w:rsid w:val="008A4ACA"/>
    <w:rsid w:val="008A710C"/>
    <w:rsid w:val="008C1CA8"/>
    <w:rsid w:val="008F4A73"/>
    <w:rsid w:val="009263A8"/>
    <w:rsid w:val="00932027"/>
    <w:rsid w:val="00941BC7"/>
    <w:rsid w:val="009524C4"/>
    <w:rsid w:val="00967DAE"/>
    <w:rsid w:val="0098202D"/>
    <w:rsid w:val="009905C7"/>
    <w:rsid w:val="00993016"/>
    <w:rsid w:val="009944E4"/>
    <w:rsid w:val="009B7453"/>
    <w:rsid w:val="009C2E08"/>
    <w:rsid w:val="009C3378"/>
    <w:rsid w:val="009E2893"/>
    <w:rsid w:val="009E5B19"/>
    <w:rsid w:val="009F574A"/>
    <w:rsid w:val="00A00557"/>
    <w:rsid w:val="00A12F54"/>
    <w:rsid w:val="00A17F94"/>
    <w:rsid w:val="00A22C16"/>
    <w:rsid w:val="00A2785E"/>
    <w:rsid w:val="00A3371D"/>
    <w:rsid w:val="00A46A90"/>
    <w:rsid w:val="00A5318D"/>
    <w:rsid w:val="00A6139E"/>
    <w:rsid w:val="00A90AC1"/>
    <w:rsid w:val="00AA1939"/>
    <w:rsid w:val="00AA4841"/>
    <w:rsid w:val="00AD40BC"/>
    <w:rsid w:val="00AD4FBF"/>
    <w:rsid w:val="00AD4FDD"/>
    <w:rsid w:val="00AE30FA"/>
    <w:rsid w:val="00B12EF9"/>
    <w:rsid w:val="00B343C1"/>
    <w:rsid w:val="00B36A72"/>
    <w:rsid w:val="00B36C3F"/>
    <w:rsid w:val="00B46187"/>
    <w:rsid w:val="00B51F6B"/>
    <w:rsid w:val="00B6133D"/>
    <w:rsid w:val="00B65DF4"/>
    <w:rsid w:val="00B74FD7"/>
    <w:rsid w:val="00B92D1F"/>
    <w:rsid w:val="00B932D5"/>
    <w:rsid w:val="00B95235"/>
    <w:rsid w:val="00B96B4C"/>
    <w:rsid w:val="00BC24C5"/>
    <w:rsid w:val="00BC33B5"/>
    <w:rsid w:val="00C00699"/>
    <w:rsid w:val="00C27A28"/>
    <w:rsid w:val="00C32D82"/>
    <w:rsid w:val="00C471D1"/>
    <w:rsid w:val="00C5030B"/>
    <w:rsid w:val="00C5031B"/>
    <w:rsid w:val="00C54E19"/>
    <w:rsid w:val="00C570BB"/>
    <w:rsid w:val="00C840A6"/>
    <w:rsid w:val="00C85F06"/>
    <w:rsid w:val="00C90E51"/>
    <w:rsid w:val="00D00325"/>
    <w:rsid w:val="00D07F1E"/>
    <w:rsid w:val="00D12144"/>
    <w:rsid w:val="00D217DF"/>
    <w:rsid w:val="00D348BC"/>
    <w:rsid w:val="00D54CBB"/>
    <w:rsid w:val="00D61087"/>
    <w:rsid w:val="00D81FED"/>
    <w:rsid w:val="00D82FB9"/>
    <w:rsid w:val="00D938C3"/>
    <w:rsid w:val="00D948CF"/>
    <w:rsid w:val="00D94E5E"/>
    <w:rsid w:val="00DA2A9D"/>
    <w:rsid w:val="00DC00BF"/>
    <w:rsid w:val="00DC3B7D"/>
    <w:rsid w:val="00DD395C"/>
    <w:rsid w:val="00DD63C8"/>
    <w:rsid w:val="00DF6119"/>
    <w:rsid w:val="00E108AC"/>
    <w:rsid w:val="00E21BF6"/>
    <w:rsid w:val="00E41B32"/>
    <w:rsid w:val="00E4392A"/>
    <w:rsid w:val="00E60B51"/>
    <w:rsid w:val="00E73F40"/>
    <w:rsid w:val="00EB7326"/>
    <w:rsid w:val="00EB754F"/>
    <w:rsid w:val="00EC59D1"/>
    <w:rsid w:val="00ED043A"/>
    <w:rsid w:val="00F0217E"/>
    <w:rsid w:val="00F02FCD"/>
    <w:rsid w:val="00F225D1"/>
    <w:rsid w:val="00F32B05"/>
    <w:rsid w:val="00F53EB9"/>
    <w:rsid w:val="00F57AD1"/>
    <w:rsid w:val="00F64250"/>
    <w:rsid w:val="00F71121"/>
    <w:rsid w:val="00F90EF8"/>
    <w:rsid w:val="00F91364"/>
    <w:rsid w:val="00F92DE6"/>
    <w:rsid w:val="00F937F4"/>
    <w:rsid w:val="00F953E5"/>
    <w:rsid w:val="00FB0759"/>
    <w:rsid w:val="00FD689B"/>
    <w:rsid w:val="03D548AC"/>
    <w:rsid w:val="06E5E77D"/>
    <w:rsid w:val="0A6298AD"/>
    <w:rsid w:val="0CC3FB72"/>
    <w:rsid w:val="0E55E641"/>
    <w:rsid w:val="1979C6C7"/>
    <w:rsid w:val="2056B8AC"/>
    <w:rsid w:val="2E5431A4"/>
    <w:rsid w:val="3AF21E8C"/>
    <w:rsid w:val="3BA222E3"/>
    <w:rsid w:val="3E219FF2"/>
    <w:rsid w:val="41CA50F1"/>
    <w:rsid w:val="57DE3A3A"/>
    <w:rsid w:val="65119C7B"/>
    <w:rsid w:val="7339E94B"/>
    <w:rsid w:val="74E82BAD"/>
    <w:rsid w:val="765C81AC"/>
    <w:rsid w:val="774BF6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ADB02AB2-3E17-41A0-A1FF-B12121A3F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character" w:styleId="CommentReference">
    <w:name w:val="annotation reference"/>
    <w:basedOn w:val="DefaultParagraphFont"/>
    <w:uiPriority w:val="99"/>
    <w:semiHidden/>
    <w:unhideWhenUsed/>
    <w:rsid w:val="00573B33"/>
    <w:rPr>
      <w:sz w:val="16"/>
      <w:szCs w:val="16"/>
    </w:rPr>
  </w:style>
  <w:style w:type="paragraph" w:styleId="CommentText">
    <w:name w:val="annotation text"/>
    <w:basedOn w:val="Normal"/>
    <w:link w:val="CommentTextChar"/>
    <w:uiPriority w:val="99"/>
    <w:semiHidden/>
    <w:unhideWhenUsed/>
    <w:rsid w:val="00573B33"/>
    <w:pPr>
      <w:spacing w:line="240" w:lineRule="auto"/>
    </w:pPr>
    <w:rPr>
      <w:szCs w:val="20"/>
    </w:rPr>
  </w:style>
  <w:style w:type="character" w:customStyle="1" w:styleId="CommentTextChar">
    <w:name w:val="Comment Text Char"/>
    <w:basedOn w:val="DefaultParagraphFont"/>
    <w:link w:val="CommentText"/>
    <w:uiPriority w:val="99"/>
    <w:semiHidden/>
    <w:rsid w:val="00573B33"/>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573B33"/>
    <w:rPr>
      <w:b/>
      <w:bCs/>
    </w:rPr>
  </w:style>
  <w:style w:type="character" w:customStyle="1" w:styleId="CommentSubjectChar">
    <w:name w:val="Comment Subject Char"/>
    <w:basedOn w:val="CommentTextChar"/>
    <w:link w:val="CommentSubject"/>
    <w:uiPriority w:val="99"/>
    <w:semiHidden/>
    <w:rsid w:val="00573B33"/>
    <w:rPr>
      <w:rFonts w:ascii="Verdana" w:hAnsi="Verdana"/>
      <w:b/>
      <w:bCs/>
      <w:sz w:val="20"/>
      <w:szCs w:val="20"/>
      <w:lang w:val="en-GB"/>
    </w:rPr>
  </w:style>
  <w:style w:type="character" w:styleId="UnresolvedMention">
    <w:name w:val="Unresolved Mention"/>
    <w:basedOn w:val="DefaultParagraphFont"/>
    <w:uiPriority w:val="99"/>
    <w:unhideWhenUsed/>
    <w:rsid w:val="00A5318D"/>
    <w:rPr>
      <w:color w:val="605E5C"/>
      <w:shd w:val="clear" w:color="auto" w:fill="E1DFDD"/>
    </w:rPr>
  </w:style>
  <w:style w:type="character" w:styleId="Mention">
    <w:name w:val="Mention"/>
    <w:basedOn w:val="DefaultParagraphFont"/>
    <w:uiPriority w:val="99"/>
    <w:unhideWhenUsed/>
    <w:rsid w:val="00A531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440807867">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193491671">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052802753">
      <w:bodyDiv w:val="1"/>
      <w:marLeft w:val="0"/>
      <w:marRight w:val="0"/>
      <w:marTop w:val="0"/>
      <w:marBottom w:val="0"/>
      <w:divBdr>
        <w:top w:val="none" w:sz="0" w:space="0" w:color="auto"/>
        <w:left w:val="none" w:sz="0" w:space="0" w:color="auto"/>
        <w:bottom w:val="none" w:sz="0" w:space="0" w:color="auto"/>
        <w:right w:val="none" w:sz="0" w:space="0" w:color="auto"/>
      </w:divBdr>
    </w:div>
    <w:div w:id="2058628087">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973D4E8-2B79-4219-8224-20C61B473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1306</Words>
  <Characters>7449</Characters>
  <Application>Microsoft Office Word</Application>
  <DocSecurity>0</DocSecurity>
  <Lines>62</Lines>
  <Paragraphs>17</Paragraphs>
  <ScaleCrop>false</ScaleCrop>
  <Company>Ofgem</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Stephen Tomlinson</cp:lastModifiedBy>
  <cp:revision>69</cp:revision>
  <dcterms:created xsi:type="dcterms:W3CDTF">2020-09-10T18:13:00Z</dcterms:created>
  <dcterms:modified xsi:type="dcterms:W3CDTF">2020-09-14T15:22:00Z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