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5"/>
        <w:gridCol w:w="2721"/>
        <w:gridCol w:w="3280"/>
      </w:tblGrid>
      <w:tr w:rsidR="004A3C19" w14:paraId="33D8AFF1" w14:textId="77777777">
        <w:trPr>
          <w:trHeight w:hRule="exact" w:val="72"/>
          <w:tblHeader/>
        </w:trPr>
        <w:tc>
          <w:tcPr>
            <w:tcW w:w="3595" w:type="dxa"/>
            <w:shd w:val="clear" w:color="auto" w:fill="F58220"/>
            <w:tcMar>
              <w:top w:w="5" w:type="dxa"/>
              <w:left w:w="221" w:type="dxa"/>
              <w:bottom w:w="5" w:type="dxa"/>
              <w:right w:w="221" w:type="dxa"/>
            </w:tcMar>
            <w:vAlign w:val="center"/>
          </w:tcPr>
          <w:p w14:paraId="1BAB6304" w14:textId="77777777" w:rsidR="004A3C19" w:rsidRDefault="004A3C19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F58220"/>
            <w:tcMar>
              <w:top w:w="5" w:type="dxa"/>
              <w:left w:w="149" w:type="dxa"/>
              <w:bottom w:w="5" w:type="dxa"/>
              <w:right w:w="149" w:type="dxa"/>
            </w:tcMar>
            <w:vAlign w:val="center"/>
          </w:tcPr>
          <w:p w14:paraId="19025A69" w14:textId="77777777" w:rsidR="004A3C19" w:rsidRDefault="004A3C19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F58220"/>
            <w:tcMar>
              <w:top w:w="5" w:type="dxa"/>
              <w:left w:w="221" w:type="dxa"/>
              <w:bottom w:w="5" w:type="dxa"/>
              <w:right w:w="221" w:type="dxa"/>
            </w:tcMar>
            <w:vAlign w:val="center"/>
          </w:tcPr>
          <w:p w14:paraId="0A532C57" w14:textId="77777777" w:rsidR="004A3C19" w:rsidRDefault="004A3C19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4A3C19" w14:paraId="7DBEE8B3" w14:textId="77777777">
        <w:trPr>
          <w:trHeight w:hRule="exact" w:val="648"/>
          <w:tblHeader/>
        </w:trPr>
        <w:tc>
          <w:tcPr>
            <w:tcW w:w="9596" w:type="dxa"/>
            <w:gridSpan w:val="3"/>
            <w:tcBorders>
              <w:bottom w:val="dotted" w:sz="6" w:space="0" w:color="7F7F7F"/>
            </w:tcBorders>
            <w:shd w:val="clear" w:color="auto" w:fill="EEF0F2"/>
            <w:tcMar>
              <w:top w:w="5" w:type="dxa"/>
              <w:left w:w="221" w:type="dxa"/>
              <w:bottom w:w="8" w:type="dxa"/>
              <w:right w:w="221" w:type="dxa"/>
            </w:tcMar>
            <w:vAlign w:val="center"/>
            <w:hideMark/>
          </w:tcPr>
          <w:p w14:paraId="1AE27C15" w14:textId="77777777" w:rsidR="004A3C19" w:rsidRDefault="00263B9A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spacing w:val="-10"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FF20846" w14:textId="77777777" w:rsidR="004A3C19" w:rsidRDefault="004A3C19">
      <w:pPr>
        <w:spacing w:line="360" w:lineRule="auto"/>
        <w:rPr>
          <w:sz w:val="20"/>
          <w:szCs w:val="20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1990"/>
        <w:gridCol w:w="2268"/>
        <w:gridCol w:w="2361"/>
      </w:tblGrid>
      <w:tr w:rsidR="004A3C19" w14:paraId="6AF06C3B" w14:textId="77777777">
        <w:trPr>
          <w:trHeight w:val="879"/>
        </w:trPr>
        <w:tc>
          <w:tcPr>
            <w:tcW w:w="29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33438FA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Project Name</w:t>
            </w:r>
          </w:p>
        </w:tc>
        <w:tc>
          <w:tcPr>
            <w:tcW w:w="6619" w:type="dxa"/>
            <w:gridSpan w:val="3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57A969B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</w:t>
            </w:r>
          </w:p>
        </w:tc>
      </w:tr>
      <w:tr w:rsidR="004A3C19" w14:paraId="6B1AEB86" w14:textId="77777777">
        <w:tc>
          <w:tcPr>
            <w:tcW w:w="2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4750EEB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number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9CA0E09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#14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17893FBF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Pro forma section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75F3903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Section 2</w:t>
            </w:r>
          </w:p>
        </w:tc>
      </w:tr>
      <w:tr w:rsidR="004A3C19" w14:paraId="0FDA29D1" w14:textId="77777777">
        <w:tc>
          <w:tcPr>
            <w:tcW w:w="2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2CA5FCE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date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8CA1982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25/08/20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C41687E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Answer date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4529992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27/08/20</w:t>
            </w:r>
          </w:p>
        </w:tc>
      </w:tr>
      <w:tr w:rsidR="004A3C19" w14:paraId="0ADC6BFE" w14:textId="77777777">
        <w:tc>
          <w:tcPr>
            <w:tcW w:w="296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F82FE1C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summary</w:t>
            </w:r>
          </w:p>
        </w:tc>
        <w:tc>
          <w:tcPr>
            <w:tcW w:w="6619" w:type="dxa"/>
            <w:gridSpan w:val="3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1F5B4114" w14:textId="77777777" w:rsidR="004A3C19" w:rsidRDefault="00263B9A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Please explain how the length of the trials were determined and how the information will be extrapolated to seasonal variations not measured.</w:t>
            </w:r>
          </w:p>
        </w:tc>
      </w:tr>
    </w:tbl>
    <w:p w14:paraId="4527ACF0" w14:textId="77777777" w:rsidR="004A3C19" w:rsidRDefault="004A3C19">
      <w:pPr>
        <w:pStyle w:val="Heading2"/>
        <w:keepLines/>
        <w:spacing w:before="40" w:after="180" w:line="360" w:lineRule="auto"/>
      </w:pPr>
      <w:bookmarkStart w:id="0" w:name="_Toc513709470"/>
    </w:p>
    <w:bookmarkEnd w:id="0"/>
    <w:p w14:paraId="1E225FD6" w14:textId="77777777" w:rsidR="004A3C19" w:rsidRDefault="00263B9A">
      <w:pPr>
        <w:pStyle w:val="Heading2"/>
        <w:keepLines/>
        <w:spacing w:before="40" w:after="180" w:line="360" w:lineRule="auto"/>
      </w:pPr>
      <w:r>
        <w:rPr>
          <w:rFonts w:ascii="Verdana" w:eastAsia="Verdana" w:hAnsi="Verdana" w:cs="Verdana"/>
          <w:iCs w:val="0"/>
          <w:sz w:val="24"/>
          <w:szCs w:val="24"/>
        </w:rPr>
        <w:t>Answer (please retain document formatting and do not exceed 2 pages unless otherwise agreed with Ofgem)</w:t>
      </w:r>
    </w:p>
    <w:p w14:paraId="27C356C1" w14:textId="7EE6A660" w:rsidR="004A3C19" w:rsidRDefault="00263B9A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The trials will run for 12 months</w:t>
      </w:r>
      <w:r w:rsidR="003F113B">
        <w:rPr>
          <w:rFonts w:ascii="Verdana" w:eastAsia="Verdana" w:hAnsi="Verdana" w:cs="Verdana"/>
          <w:sz w:val="20"/>
          <w:szCs w:val="20"/>
        </w:rPr>
        <w:t xml:space="preserve">; </w:t>
      </w:r>
      <w:r>
        <w:rPr>
          <w:rFonts w:ascii="Verdana" w:eastAsia="Verdana" w:hAnsi="Verdana" w:cs="Verdana"/>
          <w:sz w:val="20"/>
          <w:szCs w:val="20"/>
        </w:rPr>
        <w:t>a full year of data</w:t>
      </w:r>
      <w:r w:rsidR="003F113B">
        <w:rPr>
          <w:rFonts w:ascii="Verdana" w:eastAsia="Verdana" w:hAnsi="Verdana" w:cs="Verdana"/>
          <w:sz w:val="20"/>
          <w:szCs w:val="20"/>
        </w:rPr>
        <w:t xml:space="preserve"> capture </w:t>
      </w:r>
      <w:r>
        <w:rPr>
          <w:rFonts w:ascii="Verdana" w:eastAsia="Verdana" w:hAnsi="Verdana" w:cs="Verdana"/>
          <w:sz w:val="20"/>
          <w:szCs w:val="20"/>
        </w:rPr>
        <w:t>will</w:t>
      </w:r>
      <w:r w:rsidR="00615C40">
        <w:rPr>
          <w:rFonts w:ascii="Verdana" w:eastAsia="Verdana" w:hAnsi="Verdana" w:cs="Verdana"/>
          <w:sz w:val="20"/>
          <w:szCs w:val="20"/>
        </w:rPr>
        <w:t xml:space="preserve"> provide data for</w:t>
      </w:r>
      <w:r>
        <w:rPr>
          <w:rFonts w:ascii="Verdana" w:eastAsia="Verdana" w:hAnsi="Verdana" w:cs="Verdana"/>
          <w:sz w:val="20"/>
          <w:szCs w:val="20"/>
        </w:rPr>
        <w:t xml:space="preserve"> all seasons, </w:t>
      </w:r>
      <w:r w:rsidR="00062B85">
        <w:rPr>
          <w:rFonts w:ascii="Verdana" w:eastAsia="Verdana" w:hAnsi="Verdana" w:cs="Verdana"/>
          <w:sz w:val="20"/>
          <w:szCs w:val="20"/>
        </w:rPr>
        <w:t>incorporating</w:t>
      </w:r>
      <w:r>
        <w:rPr>
          <w:rFonts w:ascii="Verdana" w:eastAsia="Verdana" w:hAnsi="Verdana" w:cs="Verdana"/>
          <w:sz w:val="20"/>
          <w:szCs w:val="20"/>
        </w:rPr>
        <w:t xml:space="preserve"> different QUEST solution configurations and a </w:t>
      </w:r>
      <w:r w:rsidR="007175D1">
        <w:rPr>
          <w:rFonts w:ascii="Verdana" w:eastAsia="Verdana" w:hAnsi="Verdana" w:cs="Verdana"/>
          <w:sz w:val="20"/>
          <w:szCs w:val="20"/>
        </w:rPr>
        <w:t>range</w:t>
      </w:r>
      <w:r>
        <w:rPr>
          <w:rFonts w:ascii="Verdana" w:eastAsia="Verdana" w:hAnsi="Verdana" w:cs="Verdana"/>
          <w:sz w:val="20"/>
          <w:szCs w:val="20"/>
        </w:rPr>
        <w:t xml:space="preserve"> of operating conditions.  </w:t>
      </w:r>
      <w:r w:rsidR="00245DFC">
        <w:rPr>
          <w:rFonts w:ascii="Verdana" w:eastAsia="Verdana" w:hAnsi="Verdana" w:cs="Verdana"/>
          <w:sz w:val="20"/>
          <w:szCs w:val="20"/>
        </w:rPr>
        <w:t>A trial of 12 months</w:t>
      </w:r>
      <w:r w:rsidR="0035757C">
        <w:rPr>
          <w:rFonts w:ascii="Verdana" w:eastAsia="Verdana" w:hAnsi="Verdana" w:cs="Verdana"/>
          <w:sz w:val="20"/>
          <w:szCs w:val="20"/>
        </w:rPr>
        <w:t xml:space="preserve"> </w:t>
      </w:r>
      <w:r w:rsidR="003F113B">
        <w:rPr>
          <w:rFonts w:ascii="Verdana" w:eastAsia="Verdana" w:hAnsi="Verdana" w:cs="Verdana"/>
          <w:sz w:val="20"/>
          <w:szCs w:val="20"/>
        </w:rPr>
        <w:t>will</w:t>
      </w:r>
      <w:r w:rsidR="00245DFC">
        <w:rPr>
          <w:rFonts w:ascii="Verdana" w:eastAsia="Verdana" w:hAnsi="Verdana" w:cs="Verdana"/>
          <w:sz w:val="20"/>
          <w:szCs w:val="20"/>
        </w:rPr>
        <w:t xml:space="preserve"> provide</w:t>
      </w:r>
      <w:r w:rsidR="0035757C">
        <w:rPr>
          <w:rFonts w:ascii="Verdana" w:eastAsia="Verdana" w:hAnsi="Verdana" w:cs="Verdana"/>
          <w:sz w:val="20"/>
          <w:szCs w:val="20"/>
        </w:rPr>
        <w:t xml:space="preserve"> a wide range of interseasonal effects,</w:t>
      </w:r>
      <w:r w:rsidR="00245DFC">
        <w:rPr>
          <w:rFonts w:ascii="Verdana" w:eastAsia="Verdana" w:hAnsi="Verdana" w:cs="Verdana"/>
          <w:sz w:val="20"/>
          <w:szCs w:val="20"/>
        </w:rPr>
        <w:t xml:space="preserve"> which will be</w:t>
      </w:r>
      <w:r w:rsidR="0035757C">
        <w:rPr>
          <w:rFonts w:ascii="Verdana" w:eastAsia="Verdana" w:hAnsi="Verdana" w:cs="Verdana"/>
          <w:sz w:val="20"/>
          <w:szCs w:val="20"/>
        </w:rPr>
        <w:t xml:space="preserve"> measured and analysed</w:t>
      </w:r>
      <w:r w:rsidR="00245DFC">
        <w:rPr>
          <w:rFonts w:ascii="Verdana" w:eastAsia="Verdana" w:hAnsi="Verdana" w:cs="Verdana"/>
          <w:sz w:val="20"/>
          <w:szCs w:val="20"/>
        </w:rPr>
        <w:t xml:space="preserve">. We </w:t>
      </w:r>
      <w:r w:rsidR="00576C46">
        <w:rPr>
          <w:rFonts w:ascii="Verdana" w:eastAsia="Verdana" w:hAnsi="Verdana" w:cs="Verdana"/>
          <w:sz w:val="20"/>
          <w:szCs w:val="20"/>
        </w:rPr>
        <w:t>do</w:t>
      </w:r>
      <w:r w:rsidR="00245DFC">
        <w:rPr>
          <w:rFonts w:ascii="Verdana" w:eastAsia="Verdana" w:hAnsi="Verdana" w:cs="Verdana"/>
          <w:sz w:val="20"/>
          <w:szCs w:val="20"/>
        </w:rPr>
        <w:t xml:space="preserve"> not expect to see any significant inter-year effects, and therefore do not </w:t>
      </w:r>
      <w:r w:rsidR="00576C46">
        <w:rPr>
          <w:rFonts w:ascii="Verdana" w:eastAsia="Verdana" w:hAnsi="Verdana" w:cs="Verdana"/>
          <w:sz w:val="20"/>
          <w:szCs w:val="20"/>
        </w:rPr>
        <w:t>believe</w:t>
      </w:r>
      <w:r w:rsidR="00245DFC">
        <w:rPr>
          <w:rFonts w:ascii="Verdana" w:eastAsia="Verdana" w:hAnsi="Verdana" w:cs="Verdana"/>
          <w:sz w:val="20"/>
          <w:szCs w:val="20"/>
        </w:rPr>
        <w:t xml:space="preserve"> </w:t>
      </w:r>
      <w:r w:rsidR="00576C46">
        <w:rPr>
          <w:rFonts w:ascii="Verdana" w:eastAsia="Verdana" w:hAnsi="Verdana" w:cs="Verdana"/>
          <w:sz w:val="20"/>
          <w:szCs w:val="20"/>
        </w:rPr>
        <w:t>an extension of 12-24 months</w:t>
      </w:r>
      <w:r w:rsidR="00062B85">
        <w:rPr>
          <w:rFonts w:ascii="Verdana" w:eastAsia="Verdana" w:hAnsi="Verdana" w:cs="Verdana"/>
          <w:sz w:val="20"/>
          <w:szCs w:val="20"/>
        </w:rPr>
        <w:t>, which would incur additional project costs,</w:t>
      </w:r>
      <w:r w:rsidR="00576C46">
        <w:rPr>
          <w:rFonts w:ascii="Verdana" w:eastAsia="Verdana" w:hAnsi="Verdana" w:cs="Verdana"/>
          <w:sz w:val="20"/>
          <w:szCs w:val="20"/>
        </w:rPr>
        <w:t xml:space="preserve"> would yield any </w:t>
      </w:r>
      <w:r w:rsidR="00062B85">
        <w:rPr>
          <w:rFonts w:ascii="Verdana" w:eastAsia="Verdana" w:hAnsi="Verdana" w:cs="Verdana"/>
          <w:sz w:val="20"/>
          <w:szCs w:val="20"/>
        </w:rPr>
        <w:t xml:space="preserve">material </w:t>
      </w:r>
      <w:r w:rsidR="00576C46">
        <w:rPr>
          <w:rFonts w:ascii="Verdana" w:eastAsia="Verdana" w:hAnsi="Verdana" w:cs="Verdana"/>
          <w:sz w:val="20"/>
          <w:szCs w:val="20"/>
        </w:rPr>
        <w:t xml:space="preserve">additional benefit. </w:t>
      </w:r>
    </w:p>
    <w:p w14:paraId="0BE404EE" w14:textId="77777777" w:rsidR="00BD5140" w:rsidRDefault="00BD5140">
      <w:pPr>
        <w:spacing w:line="360" w:lineRule="auto"/>
        <w:rPr>
          <w:sz w:val="20"/>
          <w:szCs w:val="20"/>
        </w:rPr>
      </w:pPr>
    </w:p>
    <w:p w14:paraId="459DD7A2" w14:textId="77777777" w:rsidR="004A3C19" w:rsidRDefault="00263B9A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SGS will asses</w:t>
      </w:r>
      <w:r w:rsidR="00576C46"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 xml:space="preserve"> the benefits</w:t>
      </w:r>
      <w:r w:rsidR="00576C46">
        <w:rPr>
          <w:rFonts w:ascii="Verdana" w:eastAsia="Verdana" w:hAnsi="Verdana" w:cs="Verdana"/>
          <w:sz w:val="20"/>
          <w:szCs w:val="20"/>
        </w:rPr>
        <w:t xml:space="preserve"> of the trial results</w:t>
      </w:r>
      <w:r>
        <w:rPr>
          <w:rFonts w:ascii="Verdana" w:eastAsia="Verdana" w:hAnsi="Verdana" w:cs="Verdana"/>
          <w:sz w:val="20"/>
          <w:szCs w:val="20"/>
        </w:rPr>
        <w:t xml:space="preserve"> using modelling </w:t>
      </w:r>
      <w:proofErr w:type="gramStart"/>
      <w:r>
        <w:rPr>
          <w:rFonts w:ascii="Verdana" w:eastAsia="Verdana" w:hAnsi="Verdana" w:cs="Verdana"/>
          <w:sz w:val="20"/>
          <w:szCs w:val="20"/>
        </w:rPr>
        <w:t>tech</w:t>
      </w:r>
      <w:bookmarkStart w:id="1" w:name="_GoBack"/>
      <w:bookmarkEnd w:id="1"/>
      <w:r>
        <w:rPr>
          <w:rFonts w:ascii="Verdana" w:eastAsia="Verdana" w:hAnsi="Verdana" w:cs="Verdana"/>
          <w:sz w:val="20"/>
          <w:szCs w:val="20"/>
        </w:rPr>
        <w:t>niques</w:t>
      </w:r>
      <w:r w:rsidR="00576C46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and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will extrapolate</w:t>
      </w:r>
      <w:r w:rsidR="00576C46">
        <w:rPr>
          <w:rFonts w:ascii="Verdana" w:eastAsia="Verdana" w:hAnsi="Verdana" w:cs="Verdana"/>
          <w:sz w:val="20"/>
          <w:szCs w:val="20"/>
        </w:rPr>
        <w:t xml:space="preserve"> the data</w:t>
      </w:r>
      <w:r>
        <w:rPr>
          <w:rFonts w:ascii="Verdana" w:eastAsia="Verdana" w:hAnsi="Verdana" w:cs="Verdana"/>
          <w:sz w:val="20"/>
          <w:szCs w:val="20"/>
        </w:rPr>
        <w:t xml:space="preserve"> as necessary to </w:t>
      </w:r>
      <w:r w:rsidR="00576C46">
        <w:rPr>
          <w:rFonts w:ascii="Verdana" w:eastAsia="Verdana" w:hAnsi="Verdana" w:cs="Verdana"/>
          <w:sz w:val="20"/>
          <w:szCs w:val="20"/>
        </w:rPr>
        <w:t>ensure that the</w:t>
      </w:r>
      <w:r>
        <w:rPr>
          <w:rFonts w:ascii="Verdana" w:eastAsia="Verdana" w:hAnsi="Verdana" w:cs="Verdana"/>
          <w:sz w:val="20"/>
          <w:szCs w:val="20"/>
        </w:rPr>
        <w:t xml:space="preserve"> different seasonal </w:t>
      </w:r>
      <w:r w:rsidR="00576C46">
        <w:rPr>
          <w:rFonts w:ascii="Verdana" w:eastAsia="Verdana" w:hAnsi="Verdana" w:cs="Verdana"/>
          <w:sz w:val="20"/>
          <w:szCs w:val="20"/>
        </w:rPr>
        <w:t>and</w:t>
      </w:r>
      <w:r>
        <w:rPr>
          <w:rFonts w:ascii="Verdana" w:eastAsia="Verdana" w:hAnsi="Verdana" w:cs="Verdana"/>
          <w:sz w:val="20"/>
          <w:szCs w:val="20"/>
        </w:rPr>
        <w:t xml:space="preserve"> demand/generation scenarios</w:t>
      </w:r>
      <w:r w:rsidR="00576C46">
        <w:rPr>
          <w:rFonts w:ascii="Verdana" w:eastAsia="Verdana" w:hAnsi="Verdana" w:cs="Verdana"/>
          <w:sz w:val="20"/>
          <w:szCs w:val="20"/>
        </w:rPr>
        <w:t xml:space="preserve"> are covered</w:t>
      </w:r>
      <w:r>
        <w:rPr>
          <w:rFonts w:ascii="Verdana" w:eastAsia="Verdana" w:hAnsi="Verdana" w:cs="Verdana"/>
          <w:sz w:val="20"/>
          <w:szCs w:val="20"/>
        </w:rPr>
        <w:t xml:space="preserve">.  The bench-testing modelling regime will be </w:t>
      </w:r>
      <w:r>
        <w:rPr>
          <w:rFonts w:ascii="Verdana" w:eastAsia="Verdana" w:hAnsi="Verdana" w:cs="Verdana"/>
          <w:sz w:val="20"/>
          <w:szCs w:val="20"/>
        </w:rPr>
        <w:lastRenderedPageBreak/>
        <w:t>populated with trial data to enable th</w:t>
      </w:r>
      <w:r w:rsidR="00576C46"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 xml:space="preserve"> extrapolation and generalisation of results to the wider system</w:t>
      </w:r>
      <w:r w:rsidR="00576C46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and for different load, generation</w:t>
      </w:r>
      <w:r w:rsidR="00576C46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and low carbon technology implementation cases.  By validating the bench models to the operational trial results, </w:t>
      </w:r>
      <w:r w:rsidR="006549F7">
        <w:rPr>
          <w:rFonts w:ascii="Verdana" w:eastAsia="Verdana" w:hAnsi="Verdana" w:cs="Verdana"/>
          <w:sz w:val="20"/>
          <w:szCs w:val="20"/>
        </w:rPr>
        <w:t xml:space="preserve">we can address </w:t>
      </w:r>
      <w:r>
        <w:rPr>
          <w:rFonts w:ascii="Verdana" w:eastAsia="Verdana" w:hAnsi="Verdana" w:cs="Verdana"/>
          <w:sz w:val="20"/>
          <w:szCs w:val="20"/>
        </w:rPr>
        <w:t>a much wider set of questions (including various scale</w:t>
      </w:r>
      <w:r w:rsidR="00576C46">
        <w:rPr>
          <w:rFonts w:ascii="Verdana" w:eastAsia="Verdana" w:hAnsi="Verdana" w:cs="Verdana"/>
          <w:sz w:val="20"/>
          <w:szCs w:val="20"/>
        </w:rPr>
        <w:t>-</w:t>
      </w:r>
      <w:r>
        <w:rPr>
          <w:rFonts w:ascii="Verdana" w:eastAsia="Verdana" w:hAnsi="Verdana" w:cs="Verdana"/>
          <w:sz w:val="20"/>
          <w:szCs w:val="20"/>
        </w:rPr>
        <w:t>up cases)</w:t>
      </w:r>
      <w:r w:rsidR="006549F7">
        <w:rPr>
          <w:rFonts w:ascii="Verdana" w:eastAsia="Verdana" w:hAnsi="Verdana" w:cs="Verdana"/>
          <w:sz w:val="20"/>
          <w:szCs w:val="20"/>
        </w:rPr>
        <w:t xml:space="preserve"> and remove the</w:t>
      </w:r>
      <w:r>
        <w:rPr>
          <w:rFonts w:ascii="Verdana" w:eastAsia="Verdana" w:hAnsi="Verdana" w:cs="Verdana"/>
          <w:sz w:val="20"/>
          <w:szCs w:val="20"/>
        </w:rPr>
        <w:t xml:space="preserve"> require</w:t>
      </w:r>
      <w:r w:rsidR="006549F7">
        <w:rPr>
          <w:rFonts w:ascii="Verdana" w:eastAsia="Verdana" w:hAnsi="Verdana" w:cs="Verdana"/>
          <w:sz w:val="20"/>
          <w:szCs w:val="20"/>
        </w:rPr>
        <w:t xml:space="preserve">ment and </w:t>
      </w:r>
      <w:r>
        <w:rPr>
          <w:rFonts w:ascii="Verdana" w:eastAsia="Verdana" w:hAnsi="Verdana" w:cs="Verdana"/>
          <w:sz w:val="20"/>
          <w:szCs w:val="20"/>
        </w:rPr>
        <w:t>expense of extended trials.</w:t>
      </w:r>
    </w:p>
    <w:p w14:paraId="53662C08" w14:textId="77777777" w:rsidR="00BD5140" w:rsidRDefault="00BD5140">
      <w:pPr>
        <w:spacing w:line="360" w:lineRule="auto"/>
        <w:rPr>
          <w:sz w:val="20"/>
          <w:szCs w:val="20"/>
        </w:rPr>
      </w:pPr>
    </w:p>
    <w:p w14:paraId="11B40201" w14:textId="77777777" w:rsidR="004A3C19" w:rsidRDefault="00263B9A">
      <w:pPr>
        <w:spacing w:line="360" w:lineRule="auto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As QUEST will be implemented in the NMS</w:t>
      </w:r>
      <w:r w:rsidR="00723EF8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it is relatively straightforward to switch between trial modes and deliver a streamlined but highly effective set of trials. If necessary, we will consider </w:t>
      </w:r>
      <w:proofErr w:type="gramStart"/>
      <w:r w:rsidR="00723EF8">
        <w:rPr>
          <w:rFonts w:ascii="Verdana" w:eastAsia="Verdana" w:hAnsi="Verdana" w:cs="Verdana"/>
          <w:sz w:val="20"/>
          <w:szCs w:val="20"/>
        </w:rPr>
        <w:t xml:space="preserve">making </w:t>
      </w:r>
      <w:r>
        <w:rPr>
          <w:rFonts w:ascii="Verdana" w:eastAsia="Verdana" w:hAnsi="Verdana" w:cs="Verdana"/>
          <w:sz w:val="20"/>
          <w:szCs w:val="20"/>
        </w:rPr>
        <w:t>adjustments to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the trial regime</w:t>
      </w:r>
      <w:r w:rsidR="00723EF8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723EF8">
        <w:rPr>
          <w:rFonts w:ascii="Verdana" w:eastAsia="Verdana" w:hAnsi="Verdana" w:cs="Verdana"/>
          <w:sz w:val="20"/>
          <w:szCs w:val="20"/>
        </w:rPr>
        <w:t>for example, by</w:t>
      </w:r>
      <w:r>
        <w:rPr>
          <w:rFonts w:ascii="Verdana" w:eastAsia="Verdana" w:hAnsi="Verdana" w:cs="Verdana"/>
          <w:sz w:val="20"/>
          <w:szCs w:val="20"/>
        </w:rPr>
        <w:t xml:space="preserve"> chang</w:t>
      </w:r>
      <w:r w:rsidR="00723EF8">
        <w:rPr>
          <w:rFonts w:ascii="Verdana" w:eastAsia="Verdana" w:hAnsi="Verdana" w:cs="Verdana"/>
          <w:sz w:val="20"/>
          <w:szCs w:val="20"/>
        </w:rPr>
        <w:t>ing</w:t>
      </w:r>
      <w:r>
        <w:rPr>
          <w:rFonts w:ascii="Verdana" w:eastAsia="Verdana" w:hAnsi="Verdana" w:cs="Verdana"/>
          <w:sz w:val="20"/>
          <w:szCs w:val="20"/>
        </w:rPr>
        <w:t xml:space="preserve"> the operating modes throughout the year</w:t>
      </w:r>
      <w:r w:rsidR="00723EF8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to ensure </w:t>
      </w:r>
      <w:r w:rsidR="00723EF8">
        <w:rPr>
          <w:rFonts w:ascii="Verdana" w:eastAsia="Verdana" w:hAnsi="Verdana" w:cs="Verdana"/>
          <w:sz w:val="20"/>
          <w:szCs w:val="20"/>
        </w:rPr>
        <w:t xml:space="preserve">that </w:t>
      </w:r>
      <w:r>
        <w:rPr>
          <w:rFonts w:ascii="Verdana" w:eastAsia="Verdana" w:hAnsi="Verdana" w:cs="Verdana"/>
          <w:sz w:val="20"/>
          <w:szCs w:val="20"/>
        </w:rPr>
        <w:t xml:space="preserve">we deliver the maximum learning.  The </w:t>
      </w:r>
      <w:r w:rsidR="00BD5140">
        <w:rPr>
          <w:rFonts w:ascii="Verdana" w:eastAsia="Verdana" w:hAnsi="Verdana" w:cs="Verdana"/>
          <w:sz w:val="20"/>
          <w:szCs w:val="20"/>
        </w:rPr>
        <w:t>12-month</w:t>
      </w:r>
      <w:r>
        <w:rPr>
          <w:rFonts w:ascii="Verdana" w:eastAsia="Verdana" w:hAnsi="Verdana" w:cs="Verdana"/>
          <w:sz w:val="20"/>
          <w:szCs w:val="20"/>
        </w:rPr>
        <w:t xml:space="preserve"> trial period with any alternate QUEST configurations will allow important architecture, design, </w:t>
      </w:r>
      <w:r w:rsidR="00723EF8">
        <w:rPr>
          <w:rFonts w:ascii="Verdana" w:eastAsia="Verdana" w:hAnsi="Verdana" w:cs="Verdana"/>
          <w:sz w:val="20"/>
          <w:szCs w:val="20"/>
        </w:rPr>
        <w:t>decentrali</w:t>
      </w:r>
      <w:r w:rsidR="00A111DD">
        <w:rPr>
          <w:rFonts w:ascii="Verdana" w:eastAsia="Verdana" w:hAnsi="Verdana" w:cs="Verdana"/>
          <w:sz w:val="20"/>
          <w:szCs w:val="20"/>
        </w:rPr>
        <w:t>s</w:t>
      </w:r>
      <w:r w:rsidR="00723EF8">
        <w:rPr>
          <w:rFonts w:ascii="Verdana" w:eastAsia="Verdana" w:hAnsi="Verdana" w:cs="Verdana"/>
          <w:sz w:val="20"/>
          <w:szCs w:val="20"/>
        </w:rPr>
        <w:t>ation,</w:t>
      </w:r>
      <w:r>
        <w:rPr>
          <w:rFonts w:ascii="Verdana" w:eastAsia="Verdana" w:hAnsi="Verdana" w:cs="Verdana"/>
          <w:sz w:val="20"/>
          <w:szCs w:val="20"/>
        </w:rPr>
        <w:t xml:space="preserve"> and co</w:t>
      </w:r>
      <w:r w:rsidR="00723EF8">
        <w:rPr>
          <w:rFonts w:ascii="Verdana" w:eastAsia="Verdana" w:hAnsi="Verdana" w:cs="Verdana"/>
          <w:sz w:val="20"/>
          <w:szCs w:val="20"/>
        </w:rPr>
        <w:t>-</w:t>
      </w:r>
      <w:r>
        <w:rPr>
          <w:rFonts w:ascii="Verdana" w:eastAsia="Verdana" w:hAnsi="Verdana" w:cs="Verdana"/>
          <w:sz w:val="20"/>
          <w:szCs w:val="20"/>
        </w:rPr>
        <w:t>ordination questions to be addressed without an unnecessarily lengthy project.</w:t>
      </w:r>
    </w:p>
    <w:p w14:paraId="41BDA4B3" w14:textId="77777777" w:rsidR="004A3C19" w:rsidRDefault="004A3C19">
      <w:pPr>
        <w:spacing w:line="360" w:lineRule="auto"/>
        <w:rPr>
          <w:sz w:val="20"/>
          <w:szCs w:val="20"/>
        </w:rPr>
      </w:pPr>
    </w:p>
    <w:sectPr w:rsidR="004A3C19">
      <w:headerReference w:type="default" r:id="rId6"/>
      <w:footerReference w:type="default" r:id="rId7"/>
      <w:pgSz w:w="11906" w:h="16838"/>
      <w:pgMar w:top="2592" w:right="1152" w:bottom="1440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80D33" w14:textId="77777777" w:rsidR="005D5897" w:rsidRDefault="005D5897">
      <w:r>
        <w:separator/>
      </w:r>
    </w:p>
  </w:endnote>
  <w:endnote w:type="continuationSeparator" w:id="0">
    <w:p w14:paraId="50F570C9" w14:textId="77777777" w:rsidR="005D5897" w:rsidRDefault="005D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036749"/>
      <w:placeholder>
        <w:docPart w:val="DefaultPlaceholder_22675703"/>
      </w:placeholder>
    </w:sdtPr>
    <w:sdtEndPr/>
    <w:sdtContent>
      <w:p w14:paraId="1BD66921" w14:textId="77777777" w:rsidR="004A3C19" w:rsidRDefault="00263B9A">
        <w:pPr>
          <w:spacing w:line="360" w:lineRule="auto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35757C">
          <w:rPr>
            <w:noProof/>
            <w:sz w:val="20"/>
            <w:szCs w:val="20"/>
          </w:rPr>
          <w:t>1</w:t>
        </w:r>
        <w:r>
          <w:rPr>
            <w:rFonts w:ascii="Verdana" w:eastAsia="Verdana" w:hAnsi="Verdana" w:cs="Verdana"/>
            <w:sz w:val="20"/>
            <w:szCs w:val="20"/>
          </w:rPr>
          <w:fldChar w:fldCharType="end"/>
        </w:r>
      </w:p>
    </w:sdtContent>
  </w:sdt>
  <w:p w14:paraId="0B8BCCCA" w14:textId="77777777" w:rsidR="004A3C19" w:rsidRDefault="00263B9A">
    <w:pPr>
      <w:spacing w:line="360" w:lineRule="auto"/>
      <w:rPr>
        <w:sz w:val="20"/>
        <w:szCs w:val="20"/>
      </w:rPr>
    </w:pP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4EB9E346" wp14:editId="4C50C2A8">
          <wp:simplePos x="0" y="0"/>
          <wp:positionH relativeFrom="column">
            <wp:posOffset>-338455</wp:posOffset>
          </wp:positionH>
          <wp:positionV relativeFrom="paragraph">
            <wp:posOffset>49911</wp:posOffset>
          </wp:positionV>
          <wp:extent cx="600075" cy="180975"/>
          <wp:effectExtent l="0" t="0" r="0" b="0"/>
          <wp:wrapNone/>
          <wp:docPr id="100003" name="Picture 100003" descr="Job numb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168BF" w14:textId="77777777" w:rsidR="005D5897" w:rsidRDefault="005D5897">
      <w:r>
        <w:separator/>
      </w:r>
    </w:p>
  </w:footnote>
  <w:footnote w:type="continuationSeparator" w:id="0">
    <w:p w14:paraId="2F5923F0" w14:textId="77777777" w:rsidR="005D5897" w:rsidRDefault="005D5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F391" w14:textId="77777777" w:rsidR="004A3C19" w:rsidRDefault="00263B9A">
    <w:pPr>
      <w:spacing w:line="360" w:lineRule="auto"/>
      <w:rPr>
        <w:sz w:val="20"/>
        <w:szCs w:val="20"/>
      </w:rPr>
    </w:pP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2067DE36" wp14:editId="4BC48F4A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62100" cy="914400"/>
          <wp:effectExtent l="0" t="0" r="0" b="0"/>
          <wp:wrapNone/>
          <wp:docPr id="100001" name="Picture 100001" descr="Ofg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1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C19"/>
    <w:rsid w:val="00062B85"/>
    <w:rsid w:val="00245DFC"/>
    <w:rsid w:val="00263B9A"/>
    <w:rsid w:val="0035757C"/>
    <w:rsid w:val="003F113B"/>
    <w:rsid w:val="004A3C19"/>
    <w:rsid w:val="00576C46"/>
    <w:rsid w:val="005D5897"/>
    <w:rsid w:val="005D62B5"/>
    <w:rsid w:val="00615C40"/>
    <w:rsid w:val="006549F7"/>
    <w:rsid w:val="007175D1"/>
    <w:rsid w:val="00723EF8"/>
    <w:rsid w:val="00845F87"/>
    <w:rsid w:val="00997E46"/>
    <w:rsid w:val="00A111DD"/>
    <w:rsid w:val="00B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854FF"/>
  <w15:docId w15:val="{6FAC1E2C-EC2F-4129-80FD-F41B62CA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5D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5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BB5DA-9BC3-492A-B8BB-6F8AB5D3B7E3}"/>
      </w:docPartPr>
      <w:docPartBody>
        <w:p w:rsidR="00B83D5E" w:rsidRDefault="00B83D5E">
          <w:r>
            <w:rPr>
              <w:rStyle w:val="Placeholder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D5E"/>
    <w:rsid w:val="00B83D5E"/>
    <w:rsid w:val="00F3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Paterson, Geraldine</cp:lastModifiedBy>
  <cp:revision>2</cp:revision>
  <dcterms:created xsi:type="dcterms:W3CDTF">2020-08-27T15:28:00Z</dcterms:created>
  <dcterms:modified xsi:type="dcterms:W3CDTF">2020-08-27T15:28:00Z</dcterms:modified>
</cp:coreProperties>
</file>