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4FE43C2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0A8DFF68" w14:textId="77777777" w:rsidR="00F92DE6" w:rsidRPr="002A27A4" w:rsidRDefault="00F92DE6" w:rsidP="001F6E93">
            <w:pPr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048BF793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08A57E20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64BDC74C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1E5B783" w14:textId="77777777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5F939CFB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179091D7" w14:textId="77777777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3CFA2904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64046481" w14:textId="77777777" w:rsidR="002F2C55" w:rsidRPr="006605C4" w:rsidRDefault="003A3D6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7929F0D1" w14:textId="77777777" w:rsidTr="002F2C55">
        <w:tc>
          <w:tcPr>
            <w:tcW w:w="2967" w:type="dxa"/>
            <w:shd w:val="clear" w:color="auto" w:fill="E7E6E6" w:themeFill="background2"/>
          </w:tcPr>
          <w:p w14:paraId="2037AAF1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12A59E1E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3A3D61">
              <w:rPr>
                <w:rFonts w:eastAsia="Times New Roman"/>
                <w:sz w:val="24"/>
              </w:rPr>
              <w:t>26</w:t>
            </w:r>
          </w:p>
        </w:tc>
        <w:tc>
          <w:tcPr>
            <w:tcW w:w="2268" w:type="dxa"/>
            <w:shd w:val="clear" w:color="auto" w:fill="E7E6E6" w:themeFill="background2"/>
          </w:tcPr>
          <w:p w14:paraId="76AFB212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4D4F6030" w14:textId="77777777" w:rsidR="002F2C55" w:rsidRPr="006605C4" w:rsidRDefault="003A3D6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</w:t>
            </w:r>
          </w:p>
        </w:tc>
      </w:tr>
      <w:tr w:rsidR="002F2C55" w:rsidRPr="006605C4" w14:paraId="30C440D0" w14:textId="77777777" w:rsidTr="002F2C55">
        <w:tc>
          <w:tcPr>
            <w:tcW w:w="2967" w:type="dxa"/>
            <w:shd w:val="clear" w:color="auto" w:fill="E7E6E6" w:themeFill="background2"/>
          </w:tcPr>
          <w:p w14:paraId="59088AE5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37C54E88" w14:textId="77777777" w:rsidR="002F2C55" w:rsidRPr="006605C4" w:rsidRDefault="003A3D6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08/09/20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27627AFE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081535F9" w14:textId="77777777" w:rsidR="002F2C55" w:rsidRPr="006605C4" w:rsidRDefault="003A3D6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10/09/20</w:t>
            </w:r>
          </w:p>
        </w:tc>
      </w:tr>
      <w:tr w:rsidR="002F2C55" w:rsidRPr="006605C4" w14:paraId="6F751143" w14:textId="77777777" w:rsidTr="002F2C55">
        <w:tc>
          <w:tcPr>
            <w:tcW w:w="2967" w:type="dxa"/>
            <w:shd w:val="clear" w:color="auto" w:fill="E7E6E6" w:themeFill="background2"/>
          </w:tcPr>
          <w:p w14:paraId="73F73D9B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6F035F8A" w14:textId="77777777" w:rsidR="002F2C55" w:rsidRPr="006605C4" w:rsidRDefault="003A3D61" w:rsidP="001F6E93">
            <w:pPr>
              <w:pStyle w:val="Heading1"/>
              <w:rPr>
                <w:rFonts w:eastAsia="Times New Roman"/>
                <w:sz w:val="24"/>
              </w:rPr>
            </w:pPr>
            <w:r w:rsidRPr="003A3D61">
              <w:rPr>
                <w:rFonts w:eastAsia="Times New Roman"/>
                <w:sz w:val="24"/>
              </w:rPr>
              <w:t xml:space="preserve">Do your estimates for reduction in losses and reduction in consumption assume a constant </w:t>
            </w:r>
            <w:proofErr w:type="spellStart"/>
            <w:proofErr w:type="gramStart"/>
            <w:r w:rsidRPr="003A3D61">
              <w:rPr>
                <w:rFonts w:eastAsia="Times New Roman"/>
                <w:sz w:val="24"/>
              </w:rPr>
              <w:t>voltage:current</w:t>
            </w:r>
            <w:proofErr w:type="spellEnd"/>
            <w:proofErr w:type="gramEnd"/>
            <w:r w:rsidRPr="003A3D61">
              <w:rPr>
                <w:rFonts w:eastAsia="Times New Roman"/>
                <w:sz w:val="24"/>
              </w:rPr>
              <w:t xml:space="preserve"> relationship to 2050? If they do, please illustrate how these benefits might be moderated by change in that relationship resulting from new LCTs on the network.</w:t>
            </w:r>
          </w:p>
        </w:tc>
      </w:tr>
    </w:tbl>
    <w:p w14:paraId="79243956" w14:textId="77777777" w:rsidR="002F2C55" w:rsidRDefault="002F2C55" w:rsidP="001F6E93">
      <w:pPr>
        <w:pStyle w:val="Heading2"/>
        <w:rPr>
          <w:rFonts w:eastAsia="Times New Roman"/>
        </w:rPr>
      </w:pPr>
      <w:bookmarkStart w:id="1" w:name="_Toc513709470"/>
    </w:p>
    <w:bookmarkEnd w:id="1"/>
    <w:p w14:paraId="7DB89E23" w14:textId="77777777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2E979555" w14:textId="77777777" w:rsidR="00624E65" w:rsidRDefault="00624E65" w:rsidP="002F2C55">
      <w:bookmarkStart w:id="2" w:name="_Hlk50551315"/>
      <w:r>
        <w:t xml:space="preserve">Our approach to estimating the reduction in losses and consumption associated with our use of QUEST </w:t>
      </w:r>
      <w:r w:rsidR="00633E1B">
        <w:t>differ</w:t>
      </w:r>
      <w:r w:rsidR="00603B93">
        <w:t>s</w:t>
      </w:r>
      <w:r w:rsidR="00633E1B">
        <w:t xml:space="preserve"> for HV and LV connected customers.</w:t>
      </w:r>
    </w:p>
    <w:p w14:paraId="0848B805" w14:textId="77777777" w:rsidR="00633E1B" w:rsidRDefault="00633E1B" w:rsidP="002F2C55"/>
    <w:p w14:paraId="68C85EFF" w14:textId="71EEF32C" w:rsidR="002F2C55" w:rsidRDefault="00633E1B" w:rsidP="002F2C55">
      <w:r>
        <w:t>F</w:t>
      </w:r>
      <w:r w:rsidR="008E28E2">
        <w:t>or HV customers</w:t>
      </w:r>
      <w:r w:rsidR="00603B93">
        <w:t>,</w:t>
      </w:r>
      <w:r w:rsidR="008E28E2">
        <w:t xml:space="preserve"> </w:t>
      </w:r>
      <w:r>
        <w:t xml:space="preserve">we </w:t>
      </w:r>
      <w:r w:rsidR="009F4BCC">
        <w:t>use t</w:t>
      </w:r>
      <w:r w:rsidR="004165C7">
        <w:t>he</w:t>
      </w:r>
      <w:bookmarkEnd w:id="2"/>
      <w:r w:rsidR="004165C7">
        <w:t xml:space="preserve"> voltage demand relationship</w:t>
      </w:r>
      <w:r w:rsidR="00624E65">
        <w:t xml:space="preserve"> initially</w:t>
      </w:r>
      <w:r w:rsidR="004165C7">
        <w:t xml:space="preserve"> developed in the CLASS LNCF project</w:t>
      </w:r>
      <w:r w:rsidR="009F4BCC">
        <w:t>. Th</w:t>
      </w:r>
      <w:r w:rsidR="00624E65">
        <w:t>e relationship</w:t>
      </w:r>
      <w:r w:rsidR="004165C7">
        <w:t xml:space="preserve"> is described by the following equation:</w:t>
      </w:r>
    </w:p>
    <w:p w14:paraId="69F14BE7" w14:textId="77777777" w:rsidR="004165C7" w:rsidRPr="001F6E93" w:rsidRDefault="004165C7" w:rsidP="002F2C55">
      <m:oMathPara>
        <m:oMath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sup>
          </m:sSup>
        </m:oMath>
      </m:oMathPara>
    </w:p>
    <w:p w14:paraId="68F9D301" w14:textId="77777777" w:rsidR="00624E65" w:rsidRDefault="0096235E" w:rsidP="00624E65">
      <w:pPr>
        <w:pStyle w:val="ListParagraph"/>
        <w:numPr>
          <w:ilvl w:val="0"/>
          <w:numId w:val="2"/>
        </w:numPr>
      </w:pPr>
      <w:r>
        <w:lastRenderedPageBreak/>
        <w:t>where P</w:t>
      </w:r>
      <w:r w:rsidRPr="00624E65">
        <w:rPr>
          <w:vertAlign w:val="subscript"/>
        </w:rPr>
        <w:t>0</w:t>
      </w:r>
      <w:r>
        <w:t xml:space="preserve"> and V</w:t>
      </w:r>
      <w:r w:rsidRPr="00624E65">
        <w:rPr>
          <w:vertAlign w:val="subscript"/>
        </w:rPr>
        <w:t>0</w:t>
      </w:r>
      <w:r>
        <w:t xml:space="preserve"> are the power and voltage before the </w:t>
      </w:r>
      <w:r w:rsidR="00624E65">
        <w:t xml:space="preserve">voltage </w:t>
      </w:r>
      <w:r>
        <w:t xml:space="preserve">reduction, P and V are the power and voltage after the </w:t>
      </w:r>
      <w:r w:rsidR="00624E65">
        <w:t xml:space="preserve">voltage </w:t>
      </w:r>
      <w:r>
        <w:t xml:space="preserve">reduction and </w:t>
      </w:r>
      <w:proofErr w:type="spellStart"/>
      <w:r>
        <w:t>k</w:t>
      </w:r>
      <w:r w:rsidRPr="00624E65">
        <w:rPr>
          <w:vertAlign w:val="subscript"/>
        </w:rPr>
        <w:t>p</w:t>
      </w:r>
      <w:proofErr w:type="spellEnd"/>
      <w:r>
        <w:t xml:space="preserve"> is the voltage exponent of real power.</w:t>
      </w:r>
    </w:p>
    <w:p w14:paraId="5320B164" w14:textId="77777777" w:rsidR="0063440E" w:rsidRPr="0096235E" w:rsidRDefault="0063440E" w:rsidP="007B5843">
      <w:pPr>
        <w:pStyle w:val="ListParagraph"/>
      </w:pPr>
    </w:p>
    <w:p w14:paraId="284235FA" w14:textId="1BB4BB12" w:rsidR="00624E65" w:rsidRDefault="004165C7" w:rsidP="0051662E">
      <w:r>
        <w:t>During the CLASS</w:t>
      </w:r>
      <w:r w:rsidR="00624E65">
        <w:t xml:space="preserve"> project</w:t>
      </w:r>
      <w:r>
        <w:t xml:space="preserve"> trials</w:t>
      </w:r>
      <w:r w:rsidR="00624E65">
        <w:t>,</w:t>
      </w:r>
      <w:r>
        <w:t xml:space="preserve"> </w:t>
      </w:r>
      <w:r w:rsidR="00624E65">
        <w:t xml:space="preserve">a range of </w:t>
      </w:r>
      <w:r>
        <w:t>value</w:t>
      </w:r>
      <w:r w:rsidR="00624E65">
        <w:t>s</w:t>
      </w:r>
      <w:r>
        <w:t xml:space="preserve"> of </w:t>
      </w:r>
      <w:proofErr w:type="spellStart"/>
      <w:r>
        <w:t>k</w:t>
      </w:r>
      <w:r>
        <w:rPr>
          <w:vertAlign w:val="subscript"/>
        </w:rPr>
        <w:t>p</w:t>
      </w:r>
      <w:proofErr w:type="spellEnd"/>
      <w:r>
        <w:t xml:space="preserve"> </w:t>
      </w:r>
      <w:r w:rsidR="00624E65">
        <w:t xml:space="preserve">were </w:t>
      </w:r>
      <w:r>
        <w:t xml:space="preserve">calculated </w:t>
      </w:r>
      <w:r w:rsidR="00624E65">
        <w:t xml:space="preserve">using network </w:t>
      </w:r>
      <w:r>
        <w:t>measurements</w:t>
      </w:r>
      <w:r w:rsidR="007353CC">
        <w:t>,</w:t>
      </w:r>
      <w:r>
        <w:t xml:space="preserve"> depending on seasonality</w:t>
      </w:r>
      <w:r w:rsidR="000D3E17">
        <w:t xml:space="preserve"> and the mix of customer type</w:t>
      </w:r>
      <w:r w:rsidR="00AF2C39">
        <w:t xml:space="preserve"> </w:t>
      </w:r>
      <w:r w:rsidR="00624E65">
        <w:t xml:space="preserve">as </w:t>
      </w:r>
      <w:r w:rsidR="00AF2C39">
        <w:t>presented in table 1</w:t>
      </w:r>
      <w:r>
        <w:t>.</w:t>
      </w:r>
      <w:r w:rsidR="005443A8">
        <w:t xml:space="preserve"> </w:t>
      </w:r>
    </w:p>
    <w:p w14:paraId="0F1D79D6" w14:textId="77777777" w:rsidR="00624E65" w:rsidRDefault="00624E65" w:rsidP="0051662E"/>
    <w:p w14:paraId="78D7BB30" w14:textId="215ABBAA" w:rsidR="0051662E" w:rsidRDefault="007B5843" w:rsidP="0051662E">
      <w:r>
        <w:t xml:space="preserve">As this as HV, </w:t>
      </w:r>
      <w:r w:rsidR="00E817A5">
        <w:t>i</w:t>
      </w:r>
      <w:r w:rsidR="0051662E">
        <w:t xml:space="preserve">n </w:t>
      </w:r>
      <w:r w:rsidR="00624E65">
        <w:t>our assessmen</w:t>
      </w:r>
      <w:r>
        <w:t>t</w:t>
      </w:r>
      <w:r w:rsidR="00624E65">
        <w:t xml:space="preserve"> of </w:t>
      </w:r>
      <w:r w:rsidR="0051662E">
        <w:t xml:space="preserve">QUEST benefits, we have selected the </w:t>
      </w:r>
      <w:r w:rsidR="00624E65">
        <w:t>‘</w:t>
      </w:r>
      <w:r w:rsidR="0051662E">
        <w:t>mainly non-domestic</w:t>
      </w:r>
      <w:r w:rsidR="00624E65">
        <w:t>’</w:t>
      </w:r>
      <w:r w:rsidR="0051662E">
        <w:t xml:space="preserve"> seasonal average </w:t>
      </w:r>
      <w:proofErr w:type="spellStart"/>
      <w:r w:rsidR="0051662E">
        <w:t>k</w:t>
      </w:r>
      <w:r w:rsidR="0051662E" w:rsidRPr="00E817A5">
        <w:rPr>
          <w:vertAlign w:val="subscript"/>
        </w:rPr>
        <w:t>p</w:t>
      </w:r>
      <w:proofErr w:type="spellEnd"/>
      <w:r w:rsidR="0051662E">
        <w:t xml:space="preserve"> values (highlighted in blue) and assumed they remain constant out to 2050. </w:t>
      </w:r>
    </w:p>
    <w:p w14:paraId="1D0C7B80" w14:textId="77777777" w:rsidR="00AF2C39" w:rsidRPr="00BB6A74" w:rsidRDefault="008E28E2" w:rsidP="001F6E93">
      <w:pPr>
        <w:rPr>
          <w:i/>
          <w:color w:val="7AC143"/>
        </w:rPr>
      </w:pPr>
      <w:r w:rsidRPr="00BB6A74">
        <w:rPr>
          <w:i/>
          <w:color w:val="7AC143"/>
        </w:rPr>
        <w:t xml:space="preserve">Table 1: </w:t>
      </w:r>
      <w:proofErr w:type="spellStart"/>
      <w:r w:rsidRPr="00BB6A74">
        <w:rPr>
          <w:i/>
          <w:color w:val="7AC143"/>
        </w:rPr>
        <w:t>k</w:t>
      </w:r>
      <w:r w:rsidRPr="00BB6A74">
        <w:rPr>
          <w:i/>
          <w:color w:val="7AC143"/>
          <w:vertAlign w:val="subscript"/>
        </w:rPr>
        <w:t>p</w:t>
      </w:r>
      <w:proofErr w:type="spellEnd"/>
      <w:r w:rsidRPr="00BB6A74">
        <w:rPr>
          <w:i/>
          <w:color w:val="7AC143"/>
        </w:rPr>
        <w:t xml:space="preserve"> values calculated in the CLASS trials</w:t>
      </w:r>
    </w:p>
    <w:tbl>
      <w:tblPr>
        <w:tblStyle w:val="Table1"/>
        <w:tblW w:w="9631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F2C39" w:rsidRPr="000D3E17" w14:paraId="05C11F14" w14:textId="77777777" w:rsidTr="00BB6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vMerge w:val="restart"/>
            <w:shd w:val="clear" w:color="auto" w:fill="7AC143"/>
          </w:tcPr>
          <w:p w14:paraId="02EA9134" w14:textId="77777777" w:rsidR="00AF2C39" w:rsidRPr="00455EF6" w:rsidRDefault="00AF2C39" w:rsidP="00AF2C39">
            <w:pPr>
              <w:rPr>
                <w:color w:val="FFFFFF" w:themeColor="background1"/>
              </w:rPr>
            </w:pPr>
            <w:bookmarkStart w:id="3" w:name="_Hlk50549662"/>
          </w:p>
        </w:tc>
        <w:tc>
          <w:tcPr>
            <w:tcW w:w="2835" w:type="dxa"/>
            <w:gridSpan w:val="3"/>
            <w:shd w:val="clear" w:color="auto" w:fill="7AC143"/>
            <w:noWrap/>
            <w:vAlign w:val="center"/>
            <w:hideMark/>
          </w:tcPr>
          <w:p w14:paraId="7BD1381A" w14:textId="77777777" w:rsidR="00AF2C39" w:rsidRPr="008E28E2" w:rsidRDefault="008E28E2" w:rsidP="00BB6A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8E28E2">
              <w:rPr>
                <w:color w:val="FFFFFF" w:themeColor="background1"/>
              </w:rPr>
              <w:t>Mainly domestic</w:t>
            </w:r>
          </w:p>
        </w:tc>
        <w:tc>
          <w:tcPr>
            <w:tcW w:w="2835" w:type="dxa"/>
            <w:gridSpan w:val="3"/>
            <w:shd w:val="clear" w:color="auto" w:fill="7AC143"/>
            <w:vAlign w:val="center"/>
          </w:tcPr>
          <w:p w14:paraId="246230D7" w14:textId="77777777" w:rsidR="00AF2C39" w:rsidRPr="008E28E2" w:rsidRDefault="008E28E2" w:rsidP="00BB6A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8E28E2">
              <w:rPr>
                <w:color w:val="FFFFFF" w:themeColor="background1"/>
              </w:rPr>
              <w:t>Mainly non-domestic</w:t>
            </w:r>
          </w:p>
        </w:tc>
        <w:tc>
          <w:tcPr>
            <w:tcW w:w="2835" w:type="dxa"/>
            <w:gridSpan w:val="3"/>
            <w:shd w:val="clear" w:color="auto" w:fill="7AC143"/>
            <w:vAlign w:val="center"/>
          </w:tcPr>
          <w:p w14:paraId="65F8682B" w14:textId="77777777" w:rsidR="00AF2C39" w:rsidRPr="008E28E2" w:rsidRDefault="008E28E2" w:rsidP="00BB6A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8E28E2">
              <w:rPr>
                <w:color w:val="FFFFFF" w:themeColor="background1"/>
              </w:rPr>
              <w:t>Mixed</w:t>
            </w:r>
          </w:p>
        </w:tc>
      </w:tr>
      <w:tr w:rsidR="00BB6A74" w:rsidRPr="000D3E17" w14:paraId="088B6478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vMerge/>
            <w:shd w:val="clear" w:color="auto" w:fill="7AC143"/>
          </w:tcPr>
          <w:p w14:paraId="5CD1F37E" w14:textId="77777777" w:rsidR="00AF2C39" w:rsidRPr="000D3E17" w:rsidRDefault="00AF2C39" w:rsidP="00AF2C39"/>
        </w:tc>
        <w:tc>
          <w:tcPr>
            <w:tcW w:w="945" w:type="dxa"/>
            <w:shd w:val="clear" w:color="auto" w:fill="7AC143"/>
            <w:noWrap/>
            <w:vAlign w:val="center"/>
            <w:hideMark/>
          </w:tcPr>
          <w:p w14:paraId="7D770F92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Min</w:t>
            </w:r>
          </w:p>
        </w:tc>
        <w:tc>
          <w:tcPr>
            <w:tcW w:w="945" w:type="dxa"/>
            <w:shd w:val="clear" w:color="auto" w:fill="7AC143"/>
            <w:noWrap/>
            <w:vAlign w:val="center"/>
            <w:hideMark/>
          </w:tcPr>
          <w:p w14:paraId="5B9D5C55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Max</w:t>
            </w:r>
          </w:p>
        </w:tc>
        <w:tc>
          <w:tcPr>
            <w:tcW w:w="945" w:type="dxa"/>
            <w:shd w:val="clear" w:color="auto" w:fill="7AC143"/>
            <w:noWrap/>
            <w:vAlign w:val="center"/>
            <w:hideMark/>
          </w:tcPr>
          <w:p w14:paraId="3EEC124E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Ave</w:t>
            </w:r>
          </w:p>
        </w:tc>
        <w:tc>
          <w:tcPr>
            <w:tcW w:w="945" w:type="dxa"/>
            <w:shd w:val="clear" w:color="auto" w:fill="7AC143"/>
            <w:vAlign w:val="center"/>
          </w:tcPr>
          <w:p w14:paraId="0187039F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Min</w:t>
            </w:r>
          </w:p>
        </w:tc>
        <w:tc>
          <w:tcPr>
            <w:tcW w:w="945" w:type="dxa"/>
            <w:shd w:val="clear" w:color="auto" w:fill="7AC143"/>
            <w:vAlign w:val="center"/>
          </w:tcPr>
          <w:p w14:paraId="33A2909A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Max</w:t>
            </w:r>
          </w:p>
        </w:tc>
        <w:tc>
          <w:tcPr>
            <w:tcW w:w="945" w:type="dxa"/>
            <w:shd w:val="clear" w:color="auto" w:fill="7AC143"/>
            <w:vAlign w:val="center"/>
          </w:tcPr>
          <w:p w14:paraId="7E92335E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Ave</w:t>
            </w:r>
          </w:p>
        </w:tc>
        <w:tc>
          <w:tcPr>
            <w:tcW w:w="945" w:type="dxa"/>
            <w:shd w:val="clear" w:color="auto" w:fill="7AC143"/>
            <w:vAlign w:val="center"/>
          </w:tcPr>
          <w:p w14:paraId="49C9972B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Min</w:t>
            </w:r>
          </w:p>
        </w:tc>
        <w:tc>
          <w:tcPr>
            <w:tcW w:w="945" w:type="dxa"/>
            <w:shd w:val="clear" w:color="auto" w:fill="7AC143"/>
            <w:vAlign w:val="center"/>
          </w:tcPr>
          <w:p w14:paraId="55B93226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Max</w:t>
            </w:r>
          </w:p>
        </w:tc>
        <w:tc>
          <w:tcPr>
            <w:tcW w:w="945" w:type="dxa"/>
            <w:shd w:val="clear" w:color="auto" w:fill="7AC143"/>
            <w:vAlign w:val="center"/>
          </w:tcPr>
          <w:p w14:paraId="3CC5BA5D" w14:textId="77777777" w:rsidR="00AF2C39" w:rsidRPr="008E28E2" w:rsidRDefault="00AF2C39" w:rsidP="00BB6A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E28E2">
              <w:rPr>
                <w:b/>
                <w:color w:val="FFFFFF" w:themeColor="background1"/>
              </w:rPr>
              <w:t>Ave</w:t>
            </w:r>
          </w:p>
        </w:tc>
      </w:tr>
      <w:tr w:rsidR="008E28E2" w:rsidRPr="000D3E17" w14:paraId="2112ECEA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shd w:val="clear" w:color="auto" w:fill="E2EFD9" w:themeFill="accent6" w:themeFillTint="33"/>
            <w:noWrap/>
            <w:vAlign w:val="center"/>
            <w:hideMark/>
          </w:tcPr>
          <w:p w14:paraId="669A0B89" w14:textId="77777777" w:rsidR="008E28E2" w:rsidRPr="00BB6A74" w:rsidRDefault="008E28E2" w:rsidP="008E28E2">
            <w:pPr>
              <w:rPr>
                <w:color w:val="002060"/>
              </w:rPr>
            </w:pPr>
            <w:r w:rsidRPr="00BB6A74">
              <w:rPr>
                <w:color w:val="002060"/>
              </w:rPr>
              <w:t>Spring</w:t>
            </w:r>
          </w:p>
        </w:tc>
        <w:tc>
          <w:tcPr>
            <w:tcW w:w="945" w:type="dxa"/>
            <w:shd w:val="clear" w:color="auto" w:fill="E2EFD9" w:themeFill="accent6" w:themeFillTint="33"/>
            <w:noWrap/>
            <w:vAlign w:val="center"/>
          </w:tcPr>
          <w:p w14:paraId="3EB96C99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0.83</w:t>
            </w:r>
          </w:p>
        </w:tc>
        <w:tc>
          <w:tcPr>
            <w:tcW w:w="945" w:type="dxa"/>
            <w:shd w:val="clear" w:color="auto" w:fill="E2EFD9" w:themeFill="accent6" w:themeFillTint="33"/>
            <w:noWrap/>
            <w:vAlign w:val="center"/>
          </w:tcPr>
          <w:p w14:paraId="6A87FDA6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1.86</w:t>
            </w:r>
          </w:p>
        </w:tc>
        <w:tc>
          <w:tcPr>
            <w:tcW w:w="945" w:type="dxa"/>
            <w:shd w:val="clear" w:color="auto" w:fill="E2EFD9" w:themeFill="accent6" w:themeFillTint="33"/>
            <w:noWrap/>
            <w:vAlign w:val="center"/>
          </w:tcPr>
          <w:p w14:paraId="7E1AC1DC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1.32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638C1F16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1.02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11918D1A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1.80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17DEC676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1.39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58705031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0.8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67C151E6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1.68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7E6FC62F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1.20</w:t>
            </w:r>
          </w:p>
        </w:tc>
      </w:tr>
      <w:tr w:rsidR="00BB6A74" w:rsidRPr="000D3E17" w14:paraId="0A3AC6C8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shd w:val="clear" w:color="auto" w:fill="C5E0B3" w:themeFill="accent6" w:themeFillTint="66"/>
            <w:noWrap/>
            <w:vAlign w:val="center"/>
            <w:hideMark/>
          </w:tcPr>
          <w:p w14:paraId="6E179FF3" w14:textId="77777777" w:rsidR="008E28E2" w:rsidRPr="00BB6A74" w:rsidRDefault="008E28E2" w:rsidP="008E28E2">
            <w:pPr>
              <w:rPr>
                <w:color w:val="002060"/>
              </w:rPr>
            </w:pPr>
            <w:r w:rsidRPr="00BB6A74">
              <w:rPr>
                <w:color w:val="002060"/>
              </w:rPr>
              <w:t>Summer</w:t>
            </w:r>
          </w:p>
        </w:tc>
        <w:tc>
          <w:tcPr>
            <w:tcW w:w="945" w:type="dxa"/>
            <w:shd w:val="clear" w:color="auto" w:fill="C5E0B3" w:themeFill="accent6" w:themeFillTint="66"/>
            <w:noWrap/>
            <w:vAlign w:val="center"/>
          </w:tcPr>
          <w:p w14:paraId="1B603068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0.72</w:t>
            </w:r>
          </w:p>
        </w:tc>
        <w:tc>
          <w:tcPr>
            <w:tcW w:w="945" w:type="dxa"/>
            <w:shd w:val="clear" w:color="auto" w:fill="C5E0B3" w:themeFill="accent6" w:themeFillTint="66"/>
            <w:noWrap/>
            <w:vAlign w:val="center"/>
          </w:tcPr>
          <w:p w14:paraId="542DB476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2.11</w:t>
            </w:r>
          </w:p>
        </w:tc>
        <w:tc>
          <w:tcPr>
            <w:tcW w:w="945" w:type="dxa"/>
            <w:shd w:val="clear" w:color="auto" w:fill="C5E0B3" w:themeFill="accent6" w:themeFillTint="66"/>
            <w:noWrap/>
            <w:vAlign w:val="center"/>
          </w:tcPr>
          <w:p w14:paraId="7870F2EC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1.25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202442B2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1.02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2A1F5CFD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1.97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103F23D7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1.52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614E9EFC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0.7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20360603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1.58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53915A1C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1.20</w:t>
            </w:r>
          </w:p>
        </w:tc>
      </w:tr>
      <w:tr w:rsidR="008E28E2" w:rsidRPr="000D3E17" w14:paraId="3D3C5846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shd w:val="clear" w:color="auto" w:fill="E2EFD9" w:themeFill="accent6" w:themeFillTint="33"/>
            <w:noWrap/>
            <w:vAlign w:val="center"/>
            <w:hideMark/>
          </w:tcPr>
          <w:p w14:paraId="0BE89BA2" w14:textId="77777777" w:rsidR="008E28E2" w:rsidRPr="00BB6A74" w:rsidRDefault="008E28E2" w:rsidP="008E28E2">
            <w:pPr>
              <w:rPr>
                <w:color w:val="002060"/>
              </w:rPr>
            </w:pPr>
            <w:r w:rsidRPr="00BB6A74">
              <w:rPr>
                <w:color w:val="002060"/>
              </w:rPr>
              <w:t>Autumn</w:t>
            </w:r>
          </w:p>
        </w:tc>
        <w:tc>
          <w:tcPr>
            <w:tcW w:w="945" w:type="dxa"/>
            <w:shd w:val="clear" w:color="auto" w:fill="E2EFD9" w:themeFill="accent6" w:themeFillTint="33"/>
            <w:noWrap/>
            <w:vAlign w:val="center"/>
          </w:tcPr>
          <w:p w14:paraId="75A7596F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0.67</w:t>
            </w:r>
          </w:p>
        </w:tc>
        <w:tc>
          <w:tcPr>
            <w:tcW w:w="945" w:type="dxa"/>
            <w:shd w:val="clear" w:color="auto" w:fill="E2EFD9" w:themeFill="accent6" w:themeFillTint="33"/>
            <w:noWrap/>
            <w:vAlign w:val="center"/>
          </w:tcPr>
          <w:p w14:paraId="301EF162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1.91</w:t>
            </w:r>
          </w:p>
        </w:tc>
        <w:tc>
          <w:tcPr>
            <w:tcW w:w="945" w:type="dxa"/>
            <w:shd w:val="clear" w:color="auto" w:fill="E2EFD9" w:themeFill="accent6" w:themeFillTint="33"/>
            <w:noWrap/>
            <w:vAlign w:val="center"/>
          </w:tcPr>
          <w:p w14:paraId="2E1F1265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1.31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791185B4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0.95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30434281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1.98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1F5B08EF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1.53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027289E7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0.71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7F21048F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1.8</w:t>
            </w:r>
          </w:p>
        </w:tc>
        <w:tc>
          <w:tcPr>
            <w:tcW w:w="945" w:type="dxa"/>
            <w:shd w:val="clear" w:color="auto" w:fill="E2EFD9" w:themeFill="accent6" w:themeFillTint="33"/>
            <w:vAlign w:val="center"/>
          </w:tcPr>
          <w:p w14:paraId="30B8D125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1.23</w:t>
            </w:r>
          </w:p>
        </w:tc>
      </w:tr>
      <w:tr w:rsidR="00BB6A74" w:rsidRPr="000D3E17" w14:paraId="7976F923" w14:textId="77777777" w:rsidTr="00BB6A74">
        <w:trPr>
          <w:cantSplit w:val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shd w:val="clear" w:color="auto" w:fill="C5E0B3" w:themeFill="accent6" w:themeFillTint="66"/>
            <w:noWrap/>
            <w:vAlign w:val="center"/>
            <w:hideMark/>
          </w:tcPr>
          <w:p w14:paraId="4F135B7B" w14:textId="77777777" w:rsidR="008E28E2" w:rsidRPr="00BB6A74" w:rsidRDefault="008E28E2" w:rsidP="008E28E2">
            <w:pPr>
              <w:rPr>
                <w:color w:val="002060"/>
              </w:rPr>
            </w:pPr>
            <w:r w:rsidRPr="00BB6A74">
              <w:rPr>
                <w:color w:val="002060"/>
              </w:rPr>
              <w:t>Winter</w:t>
            </w:r>
          </w:p>
        </w:tc>
        <w:tc>
          <w:tcPr>
            <w:tcW w:w="945" w:type="dxa"/>
            <w:shd w:val="clear" w:color="auto" w:fill="C5E0B3" w:themeFill="accent6" w:themeFillTint="66"/>
            <w:noWrap/>
            <w:vAlign w:val="center"/>
          </w:tcPr>
          <w:p w14:paraId="34A966A9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0.87</w:t>
            </w:r>
          </w:p>
        </w:tc>
        <w:tc>
          <w:tcPr>
            <w:tcW w:w="945" w:type="dxa"/>
            <w:shd w:val="clear" w:color="auto" w:fill="C5E0B3" w:themeFill="accent6" w:themeFillTint="66"/>
            <w:noWrap/>
            <w:vAlign w:val="center"/>
          </w:tcPr>
          <w:p w14:paraId="61D4273A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1.93</w:t>
            </w:r>
          </w:p>
        </w:tc>
        <w:tc>
          <w:tcPr>
            <w:tcW w:w="945" w:type="dxa"/>
            <w:shd w:val="clear" w:color="auto" w:fill="C5E0B3" w:themeFill="accent6" w:themeFillTint="66"/>
            <w:noWrap/>
            <w:vAlign w:val="center"/>
          </w:tcPr>
          <w:p w14:paraId="22F1C100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1.33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2F85EA2D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0.86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3F759DA2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1.85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1E2D2F2A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1.47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46771388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0.7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613527DD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1.91</w:t>
            </w:r>
          </w:p>
        </w:tc>
        <w:tc>
          <w:tcPr>
            <w:tcW w:w="945" w:type="dxa"/>
            <w:shd w:val="clear" w:color="auto" w:fill="C5E0B3" w:themeFill="accent6" w:themeFillTint="66"/>
            <w:vAlign w:val="center"/>
          </w:tcPr>
          <w:p w14:paraId="4F4732DC" w14:textId="77777777" w:rsidR="008E28E2" w:rsidRPr="00BB6A74" w:rsidRDefault="008E28E2" w:rsidP="008E28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1.23</w:t>
            </w:r>
          </w:p>
        </w:tc>
      </w:tr>
      <w:bookmarkEnd w:id="3"/>
    </w:tbl>
    <w:p w14:paraId="64409E09" w14:textId="77777777" w:rsidR="004165C7" w:rsidRDefault="004165C7" w:rsidP="001F6E93"/>
    <w:p w14:paraId="1DFBB5E2" w14:textId="692EF20C" w:rsidR="009F4BCC" w:rsidRDefault="008E28E2" w:rsidP="001F6E93">
      <w:r>
        <w:t xml:space="preserve">Our estimates for the reduction in losses and consumption for LV customers </w:t>
      </w:r>
      <w:r w:rsidR="005443A8">
        <w:t>used the</w:t>
      </w:r>
      <w:r>
        <w:t xml:space="preserve"> </w:t>
      </w:r>
      <w:r w:rsidR="00633E1B">
        <w:t>‘</w:t>
      </w:r>
      <w:r>
        <w:t>CVR factor</w:t>
      </w:r>
      <w:r w:rsidR="00633E1B">
        <w:t>’</w:t>
      </w:r>
      <w:r>
        <w:t xml:space="preserve"> </w:t>
      </w:r>
      <w:r w:rsidR="00603B93">
        <w:t xml:space="preserve">first </w:t>
      </w:r>
      <w:r>
        <w:t xml:space="preserve">calculated in </w:t>
      </w:r>
      <w:r w:rsidR="00603B93">
        <w:t xml:space="preserve">the </w:t>
      </w:r>
      <w:r>
        <w:t>Smart Street</w:t>
      </w:r>
      <w:r w:rsidR="00633E1B">
        <w:t xml:space="preserve"> LCNF project</w:t>
      </w:r>
      <w:r w:rsidR="00603B93">
        <w:t>.</w:t>
      </w:r>
      <w:r w:rsidR="005443A8">
        <w:t xml:space="preserve"> </w:t>
      </w:r>
      <w:r w:rsidR="00603B93">
        <w:t>This produced</w:t>
      </w:r>
      <w:r w:rsidR="00633E1B">
        <w:t xml:space="preserve"> </w:t>
      </w:r>
      <w:r w:rsidR="005443A8">
        <w:t>a range between 0.97 and 1.09.</w:t>
      </w:r>
    </w:p>
    <w:p w14:paraId="5C7D672E" w14:textId="77777777" w:rsidR="008E28E2" w:rsidRDefault="008E28E2" w:rsidP="001F6E93"/>
    <w:p w14:paraId="70416702" w14:textId="64533B50" w:rsidR="00B25822" w:rsidRDefault="003A746E" w:rsidP="001F6E93">
      <w:r>
        <w:t xml:space="preserve">To </w:t>
      </w:r>
      <w:r w:rsidR="00004A11">
        <w:t xml:space="preserve">illustrate how </w:t>
      </w:r>
      <w:r w:rsidR="00603B93">
        <w:t xml:space="preserve">QUEST </w:t>
      </w:r>
      <w:r w:rsidRPr="003A746E">
        <w:t>benefits might be moderated by change</w:t>
      </w:r>
      <w:r>
        <w:t>s</w:t>
      </w:r>
      <w:r w:rsidRPr="003A746E">
        <w:t xml:space="preserve"> in </w:t>
      </w:r>
      <w:r w:rsidR="00603B93" w:rsidRPr="003A746E">
        <w:t>th</w:t>
      </w:r>
      <w:r w:rsidR="00603B93">
        <w:t>e</w:t>
      </w:r>
      <w:r w:rsidR="00603B93" w:rsidRPr="003A746E">
        <w:t xml:space="preserve"> </w:t>
      </w:r>
      <w:r w:rsidRPr="003A746E">
        <w:t>relationship</w:t>
      </w:r>
      <w:r w:rsidR="00603B93">
        <w:t xml:space="preserve"> between voltage and demand</w:t>
      </w:r>
      <w:r>
        <w:t>,</w:t>
      </w:r>
      <w:r w:rsidRPr="003A746E">
        <w:t xml:space="preserve"> </w:t>
      </w:r>
      <w:r>
        <w:t>w</w:t>
      </w:r>
      <w:r w:rsidR="000D3E17">
        <w:t xml:space="preserve">e have </w:t>
      </w:r>
      <w:r>
        <w:t xml:space="preserve">examined </w:t>
      </w:r>
      <w:r w:rsidR="000D3E17">
        <w:t xml:space="preserve">sensitivities on the </w:t>
      </w:r>
      <w:proofErr w:type="spellStart"/>
      <w:r w:rsidR="000D3E17">
        <w:t>k</w:t>
      </w:r>
      <w:r w:rsidR="000D3E17">
        <w:rPr>
          <w:vertAlign w:val="subscript"/>
        </w:rPr>
        <w:t>p</w:t>
      </w:r>
      <w:proofErr w:type="spellEnd"/>
      <w:r w:rsidR="000D3E17">
        <w:t xml:space="preserve"> </w:t>
      </w:r>
      <w:r w:rsidR="0051662E">
        <w:t>and CVR</w:t>
      </w:r>
      <w:r w:rsidR="00603B93">
        <w:t xml:space="preserve"> factor</w:t>
      </w:r>
      <w:r w:rsidR="0051662E">
        <w:t xml:space="preserve"> </w:t>
      </w:r>
      <w:r w:rsidR="000D3E17">
        <w:t>value</w:t>
      </w:r>
      <w:r w:rsidR="0051662E">
        <w:t>s</w:t>
      </w:r>
      <w:r>
        <w:t xml:space="preserve"> used</w:t>
      </w:r>
      <w:r w:rsidR="00603B93">
        <w:t>.</w:t>
      </w:r>
      <w:r w:rsidR="000D3E17">
        <w:t xml:space="preserve"> </w:t>
      </w:r>
      <w:r w:rsidR="00603B93">
        <w:t>T</w:t>
      </w:r>
      <w:r w:rsidR="000D3E17">
        <w:t xml:space="preserve">he results are presented </w:t>
      </w:r>
      <w:r w:rsidR="009F4BCC">
        <w:t xml:space="preserve">in table </w:t>
      </w:r>
      <w:r w:rsidR="005443A8">
        <w:t>2</w:t>
      </w:r>
      <w:r w:rsidR="0051662E">
        <w:t xml:space="preserve"> with the </w:t>
      </w:r>
      <w:r w:rsidR="00603B93">
        <w:t xml:space="preserve">QUEST </w:t>
      </w:r>
      <w:r w:rsidR="0051662E">
        <w:t>bid assumption highlighted in blue</w:t>
      </w:r>
      <w:r w:rsidR="000D3E17">
        <w:t>:</w:t>
      </w:r>
    </w:p>
    <w:p w14:paraId="1819A041" w14:textId="77777777" w:rsidR="000D3E17" w:rsidRPr="00BB6A74" w:rsidRDefault="008E28E2" w:rsidP="001F6E93">
      <w:pPr>
        <w:rPr>
          <w:i/>
          <w:color w:val="7AC143"/>
        </w:rPr>
      </w:pPr>
      <w:r w:rsidRPr="00BB6A74">
        <w:rPr>
          <w:i/>
          <w:color w:val="7AC143"/>
        </w:rPr>
        <w:t xml:space="preserve">Table 2: </w:t>
      </w:r>
      <w:proofErr w:type="spellStart"/>
      <w:r w:rsidRPr="00BB6A74">
        <w:rPr>
          <w:i/>
          <w:color w:val="7AC143"/>
        </w:rPr>
        <w:t>k</w:t>
      </w:r>
      <w:r w:rsidRPr="00BB6A74">
        <w:rPr>
          <w:i/>
          <w:color w:val="7AC143"/>
          <w:vertAlign w:val="subscript"/>
        </w:rPr>
        <w:t>p</w:t>
      </w:r>
      <w:proofErr w:type="spellEnd"/>
      <w:r w:rsidRPr="00BB6A74">
        <w:rPr>
          <w:i/>
          <w:color w:val="7AC143"/>
          <w:vertAlign w:val="subscript"/>
        </w:rPr>
        <w:t xml:space="preserve"> </w:t>
      </w:r>
      <w:r w:rsidRPr="00BB6A74">
        <w:rPr>
          <w:i/>
          <w:color w:val="7AC143"/>
        </w:rPr>
        <w:t xml:space="preserve">Sensitivity analysis </w:t>
      </w:r>
    </w:p>
    <w:tbl>
      <w:tblPr>
        <w:tblStyle w:val="Table1"/>
        <w:tblW w:w="96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55"/>
        <w:gridCol w:w="1547"/>
        <w:gridCol w:w="1276"/>
        <w:gridCol w:w="1417"/>
        <w:gridCol w:w="1560"/>
        <w:gridCol w:w="1559"/>
        <w:gridCol w:w="1417"/>
      </w:tblGrid>
      <w:tr w:rsidR="00455EF6" w:rsidRPr="000D3E17" w14:paraId="44DEFFF1" w14:textId="77777777" w:rsidTr="00BB6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  <w:gridSpan w:val="2"/>
            <w:shd w:val="clear" w:color="auto" w:fill="7AC143"/>
            <w:hideMark/>
          </w:tcPr>
          <w:p w14:paraId="2A25A014" w14:textId="77777777" w:rsidR="00455EF6" w:rsidRPr="000D3E17" w:rsidRDefault="00455EF6">
            <w:bookmarkStart w:id="4" w:name="_Hlk50549425"/>
          </w:p>
        </w:tc>
        <w:tc>
          <w:tcPr>
            <w:tcW w:w="1276" w:type="dxa"/>
            <w:shd w:val="clear" w:color="auto" w:fill="7AC143"/>
            <w:noWrap/>
            <w:vAlign w:val="center"/>
            <w:hideMark/>
          </w:tcPr>
          <w:p w14:paraId="007AD72B" w14:textId="77777777" w:rsidR="00455EF6" w:rsidRPr="00455EF6" w:rsidRDefault="00455EF6" w:rsidP="00455E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55EF6">
              <w:rPr>
                <w:color w:val="FFFFFF" w:themeColor="background1"/>
              </w:rPr>
              <w:t>Minimum</w:t>
            </w:r>
          </w:p>
        </w:tc>
        <w:tc>
          <w:tcPr>
            <w:tcW w:w="1417" w:type="dxa"/>
            <w:shd w:val="clear" w:color="auto" w:fill="7AC143"/>
            <w:noWrap/>
            <w:vAlign w:val="center"/>
            <w:hideMark/>
          </w:tcPr>
          <w:p w14:paraId="039D2D12" w14:textId="77777777" w:rsidR="00455EF6" w:rsidRPr="00455EF6" w:rsidRDefault="00455EF6" w:rsidP="00455E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55EF6">
              <w:rPr>
                <w:color w:val="FFFFFF" w:themeColor="background1"/>
              </w:rPr>
              <w:t>Lower Quartile</w:t>
            </w:r>
          </w:p>
        </w:tc>
        <w:tc>
          <w:tcPr>
            <w:tcW w:w="1560" w:type="dxa"/>
            <w:shd w:val="clear" w:color="auto" w:fill="7AC143"/>
            <w:noWrap/>
            <w:vAlign w:val="center"/>
            <w:hideMark/>
          </w:tcPr>
          <w:p w14:paraId="3FD6B19B" w14:textId="77777777" w:rsidR="00455EF6" w:rsidRPr="00455EF6" w:rsidRDefault="00455EF6" w:rsidP="00455E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55EF6">
              <w:rPr>
                <w:color w:val="FFFFFF" w:themeColor="background1"/>
              </w:rPr>
              <w:t>Average - Base Case</w:t>
            </w:r>
          </w:p>
        </w:tc>
        <w:tc>
          <w:tcPr>
            <w:tcW w:w="1559" w:type="dxa"/>
            <w:shd w:val="clear" w:color="auto" w:fill="7AC143"/>
            <w:noWrap/>
            <w:vAlign w:val="center"/>
            <w:hideMark/>
          </w:tcPr>
          <w:p w14:paraId="2A6850C6" w14:textId="77777777" w:rsidR="00455EF6" w:rsidRPr="00455EF6" w:rsidRDefault="00455EF6" w:rsidP="00455E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55EF6">
              <w:rPr>
                <w:color w:val="FFFFFF" w:themeColor="background1"/>
              </w:rPr>
              <w:t>Upper Quartile</w:t>
            </w:r>
          </w:p>
        </w:tc>
        <w:tc>
          <w:tcPr>
            <w:tcW w:w="1417" w:type="dxa"/>
            <w:shd w:val="clear" w:color="auto" w:fill="7AC143"/>
            <w:noWrap/>
            <w:vAlign w:val="center"/>
            <w:hideMark/>
          </w:tcPr>
          <w:p w14:paraId="7EEF7EC3" w14:textId="77777777" w:rsidR="00455EF6" w:rsidRPr="00455EF6" w:rsidRDefault="00455EF6" w:rsidP="00455E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455EF6">
              <w:rPr>
                <w:color w:val="FFFFFF" w:themeColor="background1"/>
              </w:rPr>
              <w:t>Maximum</w:t>
            </w:r>
          </w:p>
        </w:tc>
      </w:tr>
      <w:tr w:rsidR="00455EF6" w:rsidRPr="000D3E17" w14:paraId="54BDA494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vMerge w:val="restart"/>
            <w:shd w:val="clear" w:color="auto" w:fill="E2EFD9" w:themeFill="accent6" w:themeFillTint="33"/>
            <w:noWrap/>
            <w:vAlign w:val="center"/>
            <w:hideMark/>
          </w:tcPr>
          <w:p w14:paraId="3A0D9931" w14:textId="77777777" w:rsidR="00455EF6" w:rsidRPr="00BB6A74" w:rsidRDefault="00455EF6">
            <w:pPr>
              <w:rPr>
                <w:color w:val="002060"/>
              </w:rPr>
            </w:pPr>
            <w:r w:rsidRPr="00BB6A74">
              <w:rPr>
                <w:color w:val="002060"/>
              </w:rPr>
              <w:t xml:space="preserve">HV </w:t>
            </w:r>
            <w:proofErr w:type="spellStart"/>
            <w:r w:rsidRPr="00BB6A74">
              <w:rPr>
                <w:color w:val="002060"/>
              </w:rPr>
              <w:t>k</w:t>
            </w:r>
            <w:r w:rsidRPr="00BB6A74">
              <w:rPr>
                <w:color w:val="002060"/>
                <w:vertAlign w:val="subscript"/>
              </w:rPr>
              <w:t>p</w:t>
            </w:r>
            <w:proofErr w:type="spellEnd"/>
          </w:p>
        </w:tc>
        <w:tc>
          <w:tcPr>
            <w:tcW w:w="1547" w:type="dxa"/>
            <w:shd w:val="clear" w:color="auto" w:fill="E2EFD9" w:themeFill="accent6" w:themeFillTint="33"/>
            <w:noWrap/>
            <w:vAlign w:val="center"/>
            <w:hideMark/>
          </w:tcPr>
          <w:p w14:paraId="36BAC212" w14:textId="77777777" w:rsidR="00455EF6" w:rsidRPr="00BB6A74" w:rsidRDefault="00455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Spring</w:t>
            </w:r>
          </w:p>
        </w:tc>
        <w:tc>
          <w:tcPr>
            <w:tcW w:w="1276" w:type="dxa"/>
            <w:shd w:val="clear" w:color="auto" w:fill="E2EFD9" w:themeFill="accent6" w:themeFillTint="33"/>
            <w:noWrap/>
            <w:vAlign w:val="center"/>
            <w:hideMark/>
          </w:tcPr>
          <w:p w14:paraId="35B3FB24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1.02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54B65C4F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1.215</w:t>
            </w:r>
          </w:p>
        </w:tc>
        <w:tc>
          <w:tcPr>
            <w:tcW w:w="1560" w:type="dxa"/>
            <w:shd w:val="clear" w:color="auto" w:fill="E2EFD9" w:themeFill="accent6" w:themeFillTint="33"/>
            <w:noWrap/>
            <w:vAlign w:val="center"/>
            <w:hideMark/>
          </w:tcPr>
          <w:p w14:paraId="7300206F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1.39</w:t>
            </w:r>
          </w:p>
        </w:tc>
        <w:tc>
          <w:tcPr>
            <w:tcW w:w="1559" w:type="dxa"/>
            <w:shd w:val="clear" w:color="auto" w:fill="E2EFD9" w:themeFill="accent6" w:themeFillTint="33"/>
            <w:noWrap/>
            <w:vAlign w:val="center"/>
            <w:hideMark/>
          </w:tcPr>
          <w:p w14:paraId="66E92514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1.605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194059B1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1.80</w:t>
            </w:r>
          </w:p>
        </w:tc>
      </w:tr>
      <w:tr w:rsidR="00455EF6" w:rsidRPr="000D3E17" w14:paraId="19397AF6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vMerge/>
            <w:shd w:val="clear" w:color="auto" w:fill="E2EFD9" w:themeFill="accent6" w:themeFillTint="33"/>
            <w:vAlign w:val="center"/>
            <w:hideMark/>
          </w:tcPr>
          <w:p w14:paraId="0A5FB456" w14:textId="77777777" w:rsidR="00455EF6" w:rsidRPr="00BB6A74" w:rsidRDefault="00455EF6">
            <w:pPr>
              <w:rPr>
                <w:color w:val="002060"/>
              </w:rPr>
            </w:pPr>
          </w:p>
        </w:tc>
        <w:tc>
          <w:tcPr>
            <w:tcW w:w="1547" w:type="dxa"/>
            <w:shd w:val="clear" w:color="auto" w:fill="E2EFD9" w:themeFill="accent6" w:themeFillTint="33"/>
            <w:noWrap/>
            <w:vAlign w:val="center"/>
            <w:hideMark/>
          </w:tcPr>
          <w:p w14:paraId="1495F04E" w14:textId="77777777" w:rsidR="00455EF6" w:rsidRPr="00BB6A74" w:rsidRDefault="00455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Summer</w:t>
            </w:r>
          </w:p>
        </w:tc>
        <w:tc>
          <w:tcPr>
            <w:tcW w:w="1276" w:type="dxa"/>
            <w:shd w:val="clear" w:color="auto" w:fill="E2EFD9" w:themeFill="accent6" w:themeFillTint="33"/>
            <w:noWrap/>
            <w:vAlign w:val="center"/>
            <w:hideMark/>
          </w:tcPr>
          <w:p w14:paraId="5730A87E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1.02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00BCC08B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1.2575</w:t>
            </w:r>
          </w:p>
        </w:tc>
        <w:tc>
          <w:tcPr>
            <w:tcW w:w="1560" w:type="dxa"/>
            <w:shd w:val="clear" w:color="auto" w:fill="E2EFD9" w:themeFill="accent6" w:themeFillTint="33"/>
            <w:noWrap/>
            <w:vAlign w:val="center"/>
            <w:hideMark/>
          </w:tcPr>
          <w:p w14:paraId="64335502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1.52</w:t>
            </w:r>
          </w:p>
        </w:tc>
        <w:tc>
          <w:tcPr>
            <w:tcW w:w="1559" w:type="dxa"/>
            <w:shd w:val="clear" w:color="auto" w:fill="E2EFD9" w:themeFill="accent6" w:themeFillTint="33"/>
            <w:noWrap/>
            <w:vAlign w:val="center"/>
            <w:hideMark/>
          </w:tcPr>
          <w:p w14:paraId="205116A1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1.7325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61DDE8D1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1.97</w:t>
            </w:r>
          </w:p>
        </w:tc>
      </w:tr>
      <w:tr w:rsidR="00455EF6" w:rsidRPr="000D3E17" w14:paraId="62D43648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vMerge/>
            <w:shd w:val="clear" w:color="auto" w:fill="E2EFD9" w:themeFill="accent6" w:themeFillTint="33"/>
            <w:vAlign w:val="center"/>
            <w:hideMark/>
          </w:tcPr>
          <w:p w14:paraId="4D2EEB76" w14:textId="77777777" w:rsidR="00455EF6" w:rsidRPr="00BB6A74" w:rsidRDefault="00455EF6">
            <w:pPr>
              <w:rPr>
                <w:color w:val="002060"/>
              </w:rPr>
            </w:pPr>
          </w:p>
        </w:tc>
        <w:tc>
          <w:tcPr>
            <w:tcW w:w="1547" w:type="dxa"/>
            <w:shd w:val="clear" w:color="auto" w:fill="E2EFD9" w:themeFill="accent6" w:themeFillTint="33"/>
            <w:noWrap/>
            <w:vAlign w:val="center"/>
            <w:hideMark/>
          </w:tcPr>
          <w:p w14:paraId="1C0BDB45" w14:textId="77777777" w:rsidR="00455EF6" w:rsidRPr="00BB6A74" w:rsidRDefault="00455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Autumn</w:t>
            </w:r>
          </w:p>
        </w:tc>
        <w:tc>
          <w:tcPr>
            <w:tcW w:w="1276" w:type="dxa"/>
            <w:shd w:val="clear" w:color="auto" w:fill="E2EFD9" w:themeFill="accent6" w:themeFillTint="33"/>
            <w:noWrap/>
            <w:vAlign w:val="center"/>
            <w:hideMark/>
          </w:tcPr>
          <w:p w14:paraId="0DE7B1E6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0.95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0CA07124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1.2075</w:t>
            </w:r>
          </w:p>
        </w:tc>
        <w:tc>
          <w:tcPr>
            <w:tcW w:w="1560" w:type="dxa"/>
            <w:shd w:val="clear" w:color="auto" w:fill="E2EFD9" w:themeFill="accent6" w:themeFillTint="33"/>
            <w:noWrap/>
            <w:vAlign w:val="center"/>
            <w:hideMark/>
          </w:tcPr>
          <w:p w14:paraId="0221287B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1.53</w:t>
            </w:r>
          </w:p>
        </w:tc>
        <w:tc>
          <w:tcPr>
            <w:tcW w:w="1559" w:type="dxa"/>
            <w:shd w:val="clear" w:color="auto" w:fill="E2EFD9" w:themeFill="accent6" w:themeFillTint="33"/>
            <w:noWrap/>
            <w:vAlign w:val="center"/>
            <w:hideMark/>
          </w:tcPr>
          <w:p w14:paraId="4D1AA537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1.7225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1241011B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1.98</w:t>
            </w:r>
          </w:p>
        </w:tc>
      </w:tr>
      <w:tr w:rsidR="00455EF6" w:rsidRPr="000D3E17" w14:paraId="22125792" w14:textId="77777777" w:rsidTr="00BB6A74">
        <w:trPr>
          <w:cantSplit w:val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vMerge/>
            <w:shd w:val="clear" w:color="auto" w:fill="E2EFD9" w:themeFill="accent6" w:themeFillTint="33"/>
            <w:vAlign w:val="center"/>
            <w:hideMark/>
          </w:tcPr>
          <w:p w14:paraId="02336152" w14:textId="77777777" w:rsidR="00455EF6" w:rsidRPr="00BB6A74" w:rsidRDefault="00455EF6">
            <w:pPr>
              <w:rPr>
                <w:color w:val="002060"/>
              </w:rPr>
            </w:pPr>
          </w:p>
        </w:tc>
        <w:tc>
          <w:tcPr>
            <w:tcW w:w="1547" w:type="dxa"/>
            <w:shd w:val="clear" w:color="auto" w:fill="E2EFD9" w:themeFill="accent6" w:themeFillTint="33"/>
            <w:noWrap/>
            <w:vAlign w:val="center"/>
            <w:hideMark/>
          </w:tcPr>
          <w:p w14:paraId="08292F41" w14:textId="77777777" w:rsidR="00455EF6" w:rsidRPr="00BB6A74" w:rsidRDefault="00455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Winter</w:t>
            </w:r>
          </w:p>
        </w:tc>
        <w:tc>
          <w:tcPr>
            <w:tcW w:w="1276" w:type="dxa"/>
            <w:shd w:val="clear" w:color="auto" w:fill="E2EFD9" w:themeFill="accent6" w:themeFillTint="33"/>
            <w:noWrap/>
            <w:vAlign w:val="center"/>
            <w:hideMark/>
          </w:tcPr>
          <w:p w14:paraId="2F068764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0.86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2884C955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1.1075</w:t>
            </w:r>
          </w:p>
        </w:tc>
        <w:tc>
          <w:tcPr>
            <w:tcW w:w="1560" w:type="dxa"/>
            <w:shd w:val="clear" w:color="auto" w:fill="E2EFD9" w:themeFill="accent6" w:themeFillTint="33"/>
            <w:noWrap/>
            <w:vAlign w:val="center"/>
            <w:hideMark/>
          </w:tcPr>
          <w:p w14:paraId="092C8D73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1.47</w:t>
            </w:r>
          </w:p>
        </w:tc>
        <w:tc>
          <w:tcPr>
            <w:tcW w:w="1559" w:type="dxa"/>
            <w:shd w:val="clear" w:color="auto" w:fill="E2EFD9" w:themeFill="accent6" w:themeFillTint="33"/>
            <w:noWrap/>
            <w:vAlign w:val="center"/>
            <w:hideMark/>
          </w:tcPr>
          <w:p w14:paraId="0D3B1C28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1.6025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2FB3DC2C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1.85</w:t>
            </w:r>
          </w:p>
        </w:tc>
      </w:tr>
      <w:tr w:rsidR="00455EF6" w:rsidRPr="000D3E17" w14:paraId="0AEF3DBE" w14:textId="77777777" w:rsidTr="00BB6A74">
        <w:trPr>
          <w:cantSplit w:val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  <w:gridSpan w:val="2"/>
            <w:shd w:val="clear" w:color="auto" w:fill="C5E0B3" w:themeFill="accent6" w:themeFillTint="66"/>
            <w:noWrap/>
            <w:vAlign w:val="center"/>
            <w:hideMark/>
          </w:tcPr>
          <w:p w14:paraId="34B63420" w14:textId="77777777" w:rsidR="00455EF6" w:rsidRPr="00BB6A74" w:rsidRDefault="00455EF6">
            <w:pPr>
              <w:rPr>
                <w:color w:val="002060"/>
              </w:rPr>
            </w:pPr>
            <w:r w:rsidRPr="00BB6A74">
              <w:rPr>
                <w:color w:val="002060"/>
              </w:rPr>
              <w:t xml:space="preserve">LV </w:t>
            </w:r>
            <w:r w:rsidR="005443A8" w:rsidRPr="00BB6A74">
              <w:rPr>
                <w:color w:val="002060"/>
              </w:rPr>
              <w:t>CVR Factor</w:t>
            </w:r>
          </w:p>
        </w:tc>
        <w:tc>
          <w:tcPr>
            <w:tcW w:w="1276" w:type="dxa"/>
            <w:shd w:val="clear" w:color="auto" w:fill="C5E0B3" w:themeFill="accent6" w:themeFillTint="66"/>
            <w:noWrap/>
            <w:vAlign w:val="center"/>
            <w:hideMark/>
          </w:tcPr>
          <w:p w14:paraId="4CFA74AC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0.97</w:t>
            </w:r>
          </w:p>
        </w:tc>
        <w:tc>
          <w:tcPr>
            <w:tcW w:w="1417" w:type="dxa"/>
            <w:shd w:val="clear" w:color="auto" w:fill="C5E0B3" w:themeFill="accent6" w:themeFillTint="66"/>
            <w:noWrap/>
            <w:vAlign w:val="center"/>
            <w:hideMark/>
          </w:tcPr>
          <w:p w14:paraId="3F5ABFCA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1.00</w:t>
            </w:r>
          </w:p>
        </w:tc>
        <w:tc>
          <w:tcPr>
            <w:tcW w:w="1560" w:type="dxa"/>
            <w:shd w:val="clear" w:color="auto" w:fill="C5E0B3" w:themeFill="accent6" w:themeFillTint="66"/>
            <w:noWrap/>
            <w:vAlign w:val="center"/>
            <w:hideMark/>
          </w:tcPr>
          <w:p w14:paraId="177C8DB0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1.03</w:t>
            </w:r>
          </w:p>
        </w:tc>
        <w:tc>
          <w:tcPr>
            <w:tcW w:w="1559" w:type="dxa"/>
            <w:shd w:val="clear" w:color="auto" w:fill="C5E0B3" w:themeFill="accent6" w:themeFillTint="66"/>
            <w:noWrap/>
            <w:vAlign w:val="center"/>
            <w:hideMark/>
          </w:tcPr>
          <w:p w14:paraId="20546298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1.06</w:t>
            </w:r>
          </w:p>
        </w:tc>
        <w:tc>
          <w:tcPr>
            <w:tcW w:w="1417" w:type="dxa"/>
            <w:shd w:val="clear" w:color="auto" w:fill="C5E0B3" w:themeFill="accent6" w:themeFillTint="66"/>
            <w:noWrap/>
            <w:vAlign w:val="center"/>
            <w:hideMark/>
          </w:tcPr>
          <w:p w14:paraId="605729E6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1.09</w:t>
            </w:r>
          </w:p>
        </w:tc>
      </w:tr>
      <w:tr w:rsidR="00455EF6" w:rsidRPr="000D3E17" w14:paraId="2CD9013B" w14:textId="77777777" w:rsidTr="00BB6A74">
        <w:trPr>
          <w:cantSplit w:val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172045B1" w14:textId="77777777" w:rsidR="00455EF6" w:rsidRPr="00BB6A74" w:rsidRDefault="00455EF6">
            <w:pPr>
              <w:rPr>
                <w:color w:val="002060"/>
              </w:rPr>
            </w:pPr>
            <w:r w:rsidRPr="00BB6A74">
              <w:rPr>
                <w:color w:val="002060"/>
              </w:rPr>
              <w:t>2050 NPV at ENW Scale (£m)</w:t>
            </w:r>
          </w:p>
        </w:tc>
        <w:tc>
          <w:tcPr>
            <w:tcW w:w="1276" w:type="dxa"/>
            <w:shd w:val="clear" w:color="auto" w:fill="E2EFD9" w:themeFill="accent6" w:themeFillTint="33"/>
            <w:noWrap/>
            <w:vAlign w:val="center"/>
            <w:hideMark/>
          </w:tcPr>
          <w:p w14:paraId="4C1E5C76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28.00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43CDE772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30.22</w:t>
            </w:r>
          </w:p>
        </w:tc>
        <w:tc>
          <w:tcPr>
            <w:tcW w:w="1560" w:type="dxa"/>
            <w:shd w:val="clear" w:color="auto" w:fill="00B0F0"/>
            <w:noWrap/>
            <w:vAlign w:val="center"/>
            <w:hideMark/>
          </w:tcPr>
          <w:p w14:paraId="4D34CC51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32.62</w:t>
            </w:r>
          </w:p>
        </w:tc>
        <w:tc>
          <w:tcPr>
            <w:tcW w:w="1559" w:type="dxa"/>
            <w:shd w:val="clear" w:color="auto" w:fill="E2EFD9" w:themeFill="accent6" w:themeFillTint="33"/>
            <w:noWrap/>
            <w:vAlign w:val="center"/>
            <w:hideMark/>
          </w:tcPr>
          <w:p w14:paraId="7D8F1956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34.38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  <w:vAlign w:val="center"/>
            <w:hideMark/>
          </w:tcPr>
          <w:p w14:paraId="75CBF73E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36.32</w:t>
            </w:r>
          </w:p>
        </w:tc>
      </w:tr>
      <w:tr w:rsidR="00455EF6" w:rsidRPr="000D3E17" w14:paraId="0AEA4496" w14:textId="77777777" w:rsidTr="00BB6A74">
        <w:trPr>
          <w:cantSplit w:val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  <w:gridSpan w:val="2"/>
            <w:shd w:val="clear" w:color="auto" w:fill="C5E0B3" w:themeFill="accent6" w:themeFillTint="66"/>
            <w:noWrap/>
            <w:vAlign w:val="center"/>
            <w:hideMark/>
          </w:tcPr>
          <w:p w14:paraId="1C110A14" w14:textId="77777777" w:rsidR="00455EF6" w:rsidRPr="00BB6A74" w:rsidRDefault="00455EF6">
            <w:pPr>
              <w:rPr>
                <w:color w:val="002060"/>
              </w:rPr>
            </w:pPr>
            <w:r w:rsidRPr="00BB6A74">
              <w:rPr>
                <w:color w:val="002060"/>
              </w:rPr>
              <w:t>2050 NPV at GB Scale (£m)</w:t>
            </w:r>
          </w:p>
        </w:tc>
        <w:tc>
          <w:tcPr>
            <w:tcW w:w="1276" w:type="dxa"/>
            <w:shd w:val="clear" w:color="auto" w:fill="C5E0B3" w:themeFill="accent6" w:themeFillTint="66"/>
            <w:noWrap/>
            <w:vAlign w:val="center"/>
            <w:hideMark/>
          </w:tcPr>
          <w:p w14:paraId="54BC6C58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218.58</w:t>
            </w:r>
          </w:p>
        </w:tc>
        <w:tc>
          <w:tcPr>
            <w:tcW w:w="1417" w:type="dxa"/>
            <w:shd w:val="clear" w:color="auto" w:fill="C5E0B3" w:themeFill="accent6" w:themeFillTint="66"/>
            <w:noWrap/>
            <w:vAlign w:val="center"/>
            <w:hideMark/>
          </w:tcPr>
          <w:p w14:paraId="5B9545F5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243.12</w:t>
            </w:r>
          </w:p>
        </w:tc>
        <w:tc>
          <w:tcPr>
            <w:tcW w:w="1560" w:type="dxa"/>
            <w:shd w:val="clear" w:color="auto" w:fill="00B0F0"/>
            <w:noWrap/>
            <w:vAlign w:val="center"/>
            <w:hideMark/>
          </w:tcPr>
          <w:p w14:paraId="08A9A79E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266.71</w:t>
            </w:r>
          </w:p>
        </w:tc>
        <w:tc>
          <w:tcPr>
            <w:tcW w:w="1559" w:type="dxa"/>
            <w:shd w:val="clear" w:color="auto" w:fill="C5E0B3" w:themeFill="accent6" w:themeFillTint="66"/>
            <w:noWrap/>
            <w:vAlign w:val="center"/>
            <w:hideMark/>
          </w:tcPr>
          <w:p w14:paraId="6F90032E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282.75</w:t>
            </w:r>
          </w:p>
        </w:tc>
        <w:tc>
          <w:tcPr>
            <w:tcW w:w="1417" w:type="dxa"/>
            <w:shd w:val="clear" w:color="auto" w:fill="C5E0B3" w:themeFill="accent6" w:themeFillTint="66"/>
            <w:noWrap/>
            <w:vAlign w:val="center"/>
            <w:hideMark/>
          </w:tcPr>
          <w:p w14:paraId="02D6F10D" w14:textId="77777777" w:rsidR="00455EF6" w:rsidRPr="00BB6A74" w:rsidRDefault="00455EF6" w:rsidP="00455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B6A74">
              <w:rPr>
                <w:color w:val="002060"/>
              </w:rPr>
              <w:t>300.73</w:t>
            </w:r>
          </w:p>
        </w:tc>
      </w:tr>
      <w:bookmarkEnd w:id="4"/>
    </w:tbl>
    <w:p w14:paraId="5855DF32" w14:textId="77777777" w:rsidR="00603B93" w:rsidRDefault="00603B93" w:rsidP="001F6E93"/>
    <w:p w14:paraId="7160748B" w14:textId="5882C6B4" w:rsidR="00AC61E6" w:rsidRPr="00AC61E6" w:rsidRDefault="00AC61E6" w:rsidP="001F6E93">
      <w:r>
        <w:t>Th</w:t>
      </w:r>
      <w:r w:rsidR="00603B93">
        <w:t xml:space="preserve">is </w:t>
      </w:r>
      <w:r w:rsidR="009F4BCC">
        <w:t xml:space="preserve">reveals </w:t>
      </w:r>
      <w:r>
        <w:t xml:space="preserve">that </w:t>
      </w:r>
      <w:r w:rsidR="009F4BCC">
        <w:t xml:space="preserve">QUEST </w:t>
      </w:r>
      <w:r w:rsidR="004C4BEC">
        <w:t>maintains</w:t>
      </w:r>
      <w:r w:rsidR="00603B93">
        <w:t xml:space="preserve"> a positive NPV</w:t>
      </w:r>
      <w:r w:rsidR="009F4BCC">
        <w:t xml:space="preserve"> </w:t>
      </w:r>
      <w:r w:rsidR="00603B93">
        <w:t>(both for ENW and GB</w:t>
      </w:r>
      <w:r w:rsidR="004C4BEC">
        <w:t xml:space="preserve"> scale</w:t>
      </w:r>
      <w:r w:rsidR="00603B93">
        <w:t xml:space="preserve">) </w:t>
      </w:r>
      <w:r>
        <w:t xml:space="preserve">even with significant </w:t>
      </w:r>
      <w:r w:rsidR="00603B93">
        <w:t xml:space="preserve">reductions </w:t>
      </w:r>
      <w:r>
        <w:t xml:space="preserve">to the </w:t>
      </w:r>
      <w:r w:rsidR="00E817A5">
        <w:t>B</w:t>
      </w:r>
      <w:r w:rsidR="00603B93">
        <w:t xml:space="preserve">ase </w:t>
      </w:r>
      <w:r w:rsidR="00E817A5">
        <w:t>C</w:t>
      </w:r>
      <w:r w:rsidR="00603B93">
        <w:t xml:space="preserve">ase </w:t>
      </w:r>
      <w:proofErr w:type="spellStart"/>
      <w:r>
        <w:t>k</w:t>
      </w:r>
      <w:r>
        <w:rPr>
          <w:vertAlign w:val="subscript"/>
        </w:rPr>
        <w:t>p</w:t>
      </w:r>
      <w:proofErr w:type="spellEnd"/>
      <w:r>
        <w:t xml:space="preserve"> </w:t>
      </w:r>
      <w:r w:rsidR="0051662E">
        <w:t xml:space="preserve">and CVR </w:t>
      </w:r>
      <w:r>
        <w:t>values</w:t>
      </w:r>
      <w:r w:rsidR="004C4BEC">
        <w:t>,</w:t>
      </w:r>
      <w:r w:rsidR="00603B93">
        <w:t xml:space="preserve"> thus providing increased confidence in the validity of this assessment.</w:t>
      </w:r>
    </w:p>
    <w:p w14:paraId="1C63DEED" w14:textId="77777777" w:rsidR="00AC61E6" w:rsidRDefault="00AC61E6" w:rsidP="001F6E93"/>
    <w:p w14:paraId="5DB0933C" w14:textId="62C938D4" w:rsidR="00AC61E6" w:rsidRDefault="00603B93" w:rsidP="001F6E93">
      <w:r>
        <w:t>Furthermore, t</w:t>
      </w:r>
      <w:r w:rsidR="00455EF6">
        <w:t>he intelligent AVC relays deployed as part of the CLASS roll</w:t>
      </w:r>
      <w:r w:rsidR="00E817A5">
        <w:t>-</w:t>
      </w:r>
      <w:r w:rsidR="00455EF6">
        <w:t xml:space="preserve">out and proposed for QUEST calculate the </w:t>
      </w:r>
      <w:proofErr w:type="spellStart"/>
      <w:r w:rsidR="00455EF6">
        <w:t>k</w:t>
      </w:r>
      <w:r w:rsidR="00455EF6">
        <w:rPr>
          <w:vertAlign w:val="subscript"/>
        </w:rPr>
        <w:t>p</w:t>
      </w:r>
      <w:proofErr w:type="spellEnd"/>
      <w:r w:rsidR="00455EF6">
        <w:t xml:space="preserve"> value in real time</w:t>
      </w:r>
      <w:r w:rsidR="009F4BCC">
        <w:t>, sharing the results with our central systems via SCADA</w:t>
      </w:r>
      <w:r w:rsidR="00455EF6">
        <w:t xml:space="preserve">. </w:t>
      </w:r>
      <w:r w:rsidR="00AC61E6">
        <w:t>The relay measures the voltage and current on tap</w:t>
      </w:r>
      <w:r w:rsidR="009F4BCC">
        <w:t>-change</w:t>
      </w:r>
      <w:r w:rsidR="00AC61E6">
        <w:t xml:space="preserve"> initiation and</w:t>
      </w:r>
      <w:r w:rsidR="009F4BCC">
        <w:t xml:space="preserve"> again</w:t>
      </w:r>
      <w:r w:rsidR="00AC61E6">
        <w:t xml:space="preserve"> on tap</w:t>
      </w:r>
      <w:r w:rsidR="009F4BCC">
        <w:t>-change</w:t>
      </w:r>
      <w:r w:rsidR="00AC61E6">
        <w:t xml:space="preserve"> completion</w:t>
      </w:r>
      <w:r>
        <w:t>, and t</w:t>
      </w:r>
      <w:r w:rsidR="009F4BCC">
        <w:t>he</w:t>
      </w:r>
      <w:r w:rsidR="00455EF6">
        <w:t xml:space="preserve"> equation</w:t>
      </w:r>
      <w:r w:rsidR="009F4BCC">
        <w:t xml:space="preserve"> above is used</w:t>
      </w:r>
      <w:r w:rsidR="00455EF6">
        <w:t xml:space="preserve"> </w:t>
      </w:r>
      <w:r w:rsidR="0051662E">
        <w:t>t</w:t>
      </w:r>
      <w:r w:rsidR="009F4BCC">
        <w:t xml:space="preserve">o determine the </w:t>
      </w:r>
      <w:proofErr w:type="spellStart"/>
      <w:r w:rsidR="0051662E">
        <w:t>k</w:t>
      </w:r>
      <w:r w:rsidR="0051662E">
        <w:rPr>
          <w:vertAlign w:val="subscript"/>
        </w:rPr>
        <w:t>p</w:t>
      </w:r>
      <w:proofErr w:type="spellEnd"/>
      <w:r w:rsidR="0051662E">
        <w:t xml:space="preserve"> value</w:t>
      </w:r>
      <w:r w:rsidR="009F4BCC">
        <w:t>.</w:t>
      </w:r>
      <w:r w:rsidR="00AC61E6">
        <w:t xml:space="preserve"> </w:t>
      </w:r>
      <w:r w:rsidR="009F4BCC">
        <w:t xml:space="preserve">A </w:t>
      </w:r>
      <w:r>
        <w:t xml:space="preserve">recent </w:t>
      </w:r>
      <w:r w:rsidR="009F4BCC">
        <w:t>r</w:t>
      </w:r>
      <w:r w:rsidR="00AC61E6">
        <w:t>eview</w:t>
      </w:r>
      <w:r w:rsidR="009F4BCC">
        <w:t xml:space="preserve"> of</w:t>
      </w:r>
      <w:r w:rsidR="00AC61E6">
        <w:t xml:space="preserve"> th</w:t>
      </w:r>
      <w:r>
        <w:t>is</w:t>
      </w:r>
      <w:r w:rsidR="00AC61E6">
        <w:t xml:space="preserve"> data shows that the </w:t>
      </w:r>
      <w:proofErr w:type="spellStart"/>
      <w:r w:rsidR="00AC61E6">
        <w:t>k</w:t>
      </w:r>
      <w:r w:rsidR="00AC61E6">
        <w:rPr>
          <w:vertAlign w:val="subscript"/>
        </w:rPr>
        <w:t>p</w:t>
      </w:r>
      <w:proofErr w:type="spellEnd"/>
      <w:r w:rsidR="00AC61E6">
        <w:t xml:space="preserve"> values remain </w:t>
      </w:r>
      <w:r>
        <w:t xml:space="preserve">broadly </w:t>
      </w:r>
      <w:r w:rsidR="009F4BCC">
        <w:t xml:space="preserve">consistent with </w:t>
      </w:r>
      <w:r w:rsidR="00AC61E6">
        <w:t xml:space="preserve">the range </w:t>
      </w:r>
      <w:r w:rsidR="009F4BCC">
        <w:t xml:space="preserve">obtained </w:t>
      </w:r>
      <w:r w:rsidR="00AC61E6">
        <w:t>during the CLASS trials in 2015.</w:t>
      </w:r>
    </w:p>
    <w:p w14:paraId="5A0D471A" w14:textId="77777777" w:rsidR="00AC61E6" w:rsidRDefault="00AC61E6" w:rsidP="001F6E93"/>
    <w:p w14:paraId="2A6733B3" w14:textId="1313D235" w:rsidR="00AC61E6" w:rsidRPr="00455EF6" w:rsidRDefault="00AC61E6" w:rsidP="001F6E93">
      <w:r>
        <w:t>W</w:t>
      </w:r>
      <w:r w:rsidR="00FD69EC">
        <w:t>hile the</w:t>
      </w:r>
      <w:r>
        <w:t xml:space="preserve"> </w:t>
      </w:r>
      <w:r w:rsidR="00FD69EC">
        <w:t>voltage</w:t>
      </w:r>
      <w:r w:rsidR="0012516B">
        <w:t>-</w:t>
      </w:r>
      <w:r w:rsidR="00FD69EC">
        <w:t xml:space="preserve">demand relationship has not changed over the proceeding 5-years, we acknowledge </w:t>
      </w:r>
      <w:r>
        <w:t>that</w:t>
      </w:r>
      <w:r w:rsidR="00FD69EC">
        <w:t xml:space="preserve"> there is uncertainty as to how this might change</w:t>
      </w:r>
      <w:r>
        <w:t xml:space="preserve"> </w:t>
      </w:r>
      <w:r w:rsidR="00FD69EC">
        <w:t>out to 2050</w:t>
      </w:r>
      <w:r w:rsidR="00C74C7B">
        <w:t>.</w:t>
      </w:r>
      <w:r>
        <w:t xml:space="preserve"> </w:t>
      </w:r>
      <w:r w:rsidR="00C74C7B">
        <w:t xml:space="preserve">Given this, </w:t>
      </w:r>
      <w:r>
        <w:t xml:space="preserve">we will </w:t>
      </w:r>
      <w:r w:rsidR="00C74C7B">
        <w:t>now include for</w:t>
      </w:r>
      <w:r>
        <w:t xml:space="preserve"> </w:t>
      </w:r>
      <w:r w:rsidR="00C74C7B">
        <w:t>an additional deliverable in the QUEST project</w:t>
      </w:r>
      <w:r w:rsidR="00FD69EC">
        <w:t>,</w:t>
      </w:r>
      <w:r w:rsidR="00C74C7B">
        <w:t xml:space="preserve"> undertak</w:t>
      </w:r>
      <w:r w:rsidR="00FD69EC">
        <w:t>ing</w:t>
      </w:r>
      <w:r w:rsidR="00C74C7B">
        <w:t xml:space="preserve"> </w:t>
      </w:r>
      <w:r>
        <w:t xml:space="preserve">research on </w:t>
      </w:r>
      <w:r w:rsidR="00FD69EC">
        <w:t xml:space="preserve">how </w:t>
      </w:r>
      <w:r w:rsidR="00B25822">
        <w:t xml:space="preserve">and by what degree </w:t>
      </w:r>
      <w:r>
        <w:t>this</w:t>
      </w:r>
      <w:r w:rsidR="00C74C7B">
        <w:t xml:space="preserve"> relationship</w:t>
      </w:r>
      <w:r w:rsidR="00FD69EC">
        <w:t xml:space="preserve"> mig</w:t>
      </w:r>
      <w:r w:rsidR="00B25822">
        <w:t xml:space="preserve">ht change </w:t>
      </w:r>
      <w:r w:rsidR="00FD69EC">
        <w:t>in this period</w:t>
      </w:r>
      <w:r>
        <w:t xml:space="preserve">. </w:t>
      </w:r>
      <w:r w:rsidR="007353CC">
        <w:t xml:space="preserve">We will fund this </w:t>
      </w:r>
      <w:r>
        <w:t xml:space="preserve">research </w:t>
      </w:r>
      <w:r w:rsidR="00C74C7B">
        <w:t>through an increase in our</w:t>
      </w:r>
      <w:r>
        <w:t xml:space="preserve"> </w:t>
      </w:r>
      <w:r w:rsidR="00C74C7B">
        <w:t xml:space="preserve">project </w:t>
      </w:r>
      <w:r>
        <w:t>contribution</w:t>
      </w:r>
      <w:r w:rsidR="00C74C7B">
        <w:t>,</w:t>
      </w:r>
      <w:r>
        <w:t xml:space="preserve"> </w:t>
      </w:r>
      <w:r w:rsidR="00FD69EC">
        <w:t xml:space="preserve">thereby </w:t>
      </w:r>
      <w:r>
        <w:t xml:space="preserve">ensuring that the project cost to customers remains </w:t>
      </w:r>
      <w:r w:rsidR="00C74C7B">
        <w:t>unaffected</w:t>
      </w:r>
      <w:r>
        <w:t xml:space="preserve">. We </w:t>
      </w:r>
      <w:r w:rsidR="00C74C7B">
        <w:t xml:space="preserve">expect to </w:t>
      </w:r>
      <w:r w:rsidR="0051662E">
        <w:t xml:space="preserve">conduct </w:t>
      </w:r>
      <w:r>
        <w:t xml:space="preserve">a </w:t>
      </w:r>
      <w:r w:rsidR="00C74C7B">
        <w:t>c</w:t>
      </w:r>
      <w:r w:rsidR="0051662E">
        <w:t>o</w:t>
      </w:r>
      <w:r w:rsidR="00C74C7B">
        <w:t>mpetit</w:t>
      </w:r>
      <w:r w:rsidR="007353CC">
        <w:t>i</w:t>
      </w:r>
      <w:r w:rsidR="00C74C7B">
        <w:t xml:space="preserve">ve </w:t>
      </w:r>
      <w:r>
        <w:t>tender in the early stages of the project to recruit the most appropriate organisation to assist</w:t>
      </w:r>
      <w:r w:rsidR="00C74C7B">
        <w:t xml:space="preserve"> us</w:t>
      </w:r>
      <w:r>
        <w:t xml:space="preserve"> with this</w:t>
      </w:r>
      <w:r w:rsidR="00FD69EC">
        <w:t xml:space="preserve"> research</w:t>
      </w:r>
      <w:r>
        <w:t>.</w:t>
      </w:r>
    </w:p>
    <w:sectPr w:rsidR="00AC61E6" w:rsidRPr="00455EF6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F6847" w14:textId="77777777" w:rsidR="002759E1" w:rsidRDefault="002759E1" w:rsidP="001F6E93">
      <w:r>
        <w:separator/>
      </w:r>
    </w:p>
  </w:endnote>
  <w:endnote w:type="continuationSeparator" w:id="0">
    <w:p w14:paraId="5B3ECD54" w14:textId="77777777" w:rsidR="002759E1" w:rsidRDefault="002759E1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9C22EF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F4EF3C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D26B9F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778902" w14:textId="77777777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DE1150D" wp14:editId="1EF173DC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7ACB6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A679D" w14:textId="77777777" w:rsidR="002759E1" w:rsidRDefault="002759E1" w:rsidP="001F6E93">
      <w:r>
        <w:separator/>
      </w:r>
    </w:p>
  </w:footnote>
  <w:footnote w:type="continuationSeparator" w:id="0">
    <w:p w14:paraId="01E5202B" w14:textId="77777777" w:rsidR="002759E1" w:rsidRDefault="002759E1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773F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05D96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F31CFBB" wp14:editId="74FB0AFA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1C90A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563F1"/>
    <w:multiLevelType w:val="hybridMultilevel"/>
    <w:tmpl w:val="BF3C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00EB6"/>
    <w:rsid w:val="00004A11"/>
    <w:rsid w:val="00087FA2"/>
    <w:rsid w:val="000D3E17"/>
    <w:rsid w:val="000F4635"/>
    <w:rsid w:val="0012516B"/>
    <w:rsid w:val="001431F3"/>
    <w:rsid w:val="00177460"/>
    <w:rsid w:val="001A68F2"/>
    <w:rsid w:val="001B0398"/>
    <w:rsid w:val="001C06F4"/>
    <w:rsid w:val="001F6E93"/>
    <w:rsid w:val="00217995"/>
    <w:rsid w:val="00265B97"/>
    <w:rsid w:val="002759E1"/>
    <w:rsid w:val="002A27A4"/>
    <w:rsid w:val="002D7F98"/>
    <w:rsid w:val="002F2C55"/>
    <w:rsid w:val="002F48C3"/>
    <w:rsid w:val="00331426"/>
    <w:rsid w:val="00386A04"/>
    <w:rsid w:val="003A3D61"/>
    <w:rsid w:val="003A746E"/>
    <w:rsid w:val="003D0181"/>
    <w:rsid w:val="003D4E0A"/>
    <w:rsid w:val="003E0EED"/>
    <w:rsid w:val="004165C7"/>
    <w:rsid w:val="00455EF6"/>
    <w:rsid w:val="004824AC"/>
    <w:rsid w:val="004C4BEC"/>
    <w:rsid w:val="004D5FA0"/>
    <w:rsid w:val="0051662E"/>
    <w:rsid w:val="00530C45"/>
    <w:rsid w:val="005331D0"/>
    <w:rsid w:val="00536E5B"/>
    <w:rsid w:val="005443A8"/>
    <w:rsid w:val="0057103C"/>
    <w:rsid w:val="005A5E1D"/>
    <w:rsid w:val="005C1301"/>
    <w:rsid w:val="005D4DAC"/>
    <w:rsid w:val="005F0460"/>
    <w:rsid w:val="005F6CC3"/>
    <w:rsid w:val="00603B93"/>
    <w:rsid w:val="00624E65"/>
    <w:rsid w:val="00633E1B"/>
    <w:rsid w:val="0063440E"/>
    <w:rsid w:val="006605C4"/>
    <w:rsid w:val="006C7EB0"/>
    <w:rsid w:val="006D211B"/>
    <w:rsid w:val="007353CC"/>
    <w:rsid w:val="007656A9"/>
    <w:rsid w:val="007A00E5"/>
    <w:rsid w:val="007A4F15"/>
    <w:rsid w:val="007B5843"/>
    <w:rsid w:val="007C0D12"/>
    <w:rsid w:val="007C7E9B"/>
    <w:rsid w:val="007D6A38"/>
    <w:rsid w:val="007F1638"/>
    <w:rsid w:val="008517F4"/>
    <w:rsid w:val="0086475A"/>
    <w:rsid w:val="0089032C"/>
    <w:rsid w:val="008E28E2"/>
    <w:rsid w:val="0096235E"/>
    <w:rsid w:val="00967DAE"/>
    <w:rsid w:val="009905C7"/>
    <w:rsid w:val="009944E4"/>
    <w:rsid w:val="009B7453"/>
    <w:rsid w:val="009F4BCC"/>
    <w:rsid w:val="00A17F94"/>
    <w:rsid w:val="00AA4841"/>
    <w:rsid w:val="00AC61E6"/>
    <w:rsid w:val="00AF2C39"/>
    <w:rsid w:val="00B25822"/>
    <w:rsid w:val="00B51F6B"/>
    <w:rsid w:val="00BB6A74"/>
    <w:rsid w:val="00C5030B"/>
    <w:rsid w:val="00C570BB"/>
    <w:rsid w:val="00C74C7B"/>
    <w:rsid w:val="00D217DF"/>
    <w:rsid w:val="00D61087"/>
    <w:rsid w:val="00D82FB9"/>
    <w:rsid w:val="00D87B63"/>
    <w:rsid w:val="00D948CF"/>
    <w:rsid w:val="00D94E5E"/>
    <w:rsid w:val="00DC00BF"/>
    <w:rsid w:val="00E108AC"/>
    <w:rsid w:val="00E21BF6"/>
    <w:rsid w:val="00E60B51"/>
    <w:rsid w:val="00E73F40"/>
    <w:rsid w:val="00E817A5"/>
    <w:rsid w:val="00F53EB9"/>
    <w:rsid w:val="00F64250"/>
    <w:rsid w:val="00F90EF8"/>
    <w:rsid w:val="00F92DE6"/>
    <w:rsid w:val="00FD689B"/>
    <w:rsid w:val="00FD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CD1A1C1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4165C7"/>
    <w:rPr>
      <w:color w:val="808080"/>
    </w:rPr>
  </w:style>
  <w:style w:type="table" w:customStyle="1" w:styleId="Table1">
    <w:name w:val="Table 1"/>
    <w:basedOn w:val="TableNormal"/>
    <w:uiPriority w:val="99"/>
    <w:rsid w:val="000D3E17"/>
    <w:pPr>
      <w:spacing w:before="100" w:beforeAutospacing="1" w:after="100" w:afterAutospacing="1"/>
    </w:pPr>
    <w:rPr>
      <w:sz w:val="22"/>
      <w:szCs w:val="22"/>
      <w:lang w:val="en-GB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blStylePr w:type="firstRow">
      <w:rPr>
        <w:b/>
      </w:rPr>
      <w:tblPr/>
      <w:trPr>
        <w:cantSplit w:val="0"/>
        <w:tblHeader/>
      </w:trPr>
      <w:tcPr>
        <w:shd w:val="clear" w:color="auto" w:fill="00245D"/>
      </w:tcPr>
    </w:tblStylePr>
    <w:tblStylePr w:type="firstCol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A74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46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46E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46E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4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46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3E4935-DFDB-4CDA-A03A-31C140D77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8015c716-7638-4fbc-b740-dc4a67044737"/>
    <ds:schemaRef ds:uri="http://purl.org/dc/terms/"/>
    <ds:schemaRef ds:uri="http://schemas.openxmlformats.org/package/2006/metadata/core-properties"/>
    <ds:schemaRef ds:uri="8ee83236-fdac-4f9a-9e29-1b313e18c3d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B5B8273-E6CA-4794-99FB-B2CEAA4D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4</cp:revision>
  <dcterms:created xsi:type="dcterms:W3CDTF">2020-09-10T09:28:00Z</dcterms:created>
  <dcterms:modified xsi:type="dcterms:W3CDTF">2020-09-10T09:43:00Z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