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itle of document"/>
        <w:tblDescription w:val="title of document placed here"/>
      </w:tblPr>
      <w:tblGrid>
        <w:gridCol w:w="3595"/>
        <w:gridCol w:w="2721"/>
        <w:gridCol w:w="3280"/>
      </w:tblGrid>
      <w:tr w:rsidR="00F92DE6" w14:paraId="247D903F" w14:textId="77777777" w:rsidTr="00B51F6B">
        <w:trPr>
          <w:cantSplit/>
          <w:trHeight w:hRule="exact" w:val="72"/>
          <w:tblHeader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3C4BA80A" w14:textId="77777777" w:rsidR="00F92DE6" w:rsidRPr="002A27A4" w:rsidRDefault="00F92DE6" w:rsidP="001F6E93">
            <w:pPr>
              <w:rPr>
                <w:noProof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144" w:type="dxa"/>
              <w:right w:w="144" w:type="dxa"/>
            </w:tcMar>
            <w:vAlign w:val="center"/>
          </w:tcPr>
          <w:p w14:paraId="3D7A6C30" w14:textId="77777777" w:rsidR="00F92DE6" w:rsidRDefault="00F92DE6" w:rsidP="001F6E93">
            <w:pPr>
              <w:rPr>
                <w:noProof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1C953E23" w14:textId="77777777" w:rsidR="00F92DE6" w:rsidRPr="00E21BF6" w:rsidRDefault="00F92DE6" w:rsidP="001F6E93">
            <w:pPr>
              <w:rPr>
                <w:noProof/>
              </w:rPr>
            </w:pPr>
          </w:p>
        </w:tc>
      </w:tr>
      <w:tr w:rsidR="00C570BB" w14:paraId="05EDDF41" w14:textId="77777777" w:rsidTr="00B51F6B">
        <w:trPr>
          <w:cantSplit/>
          <w:trHeight w:hRule="exact" w:val="648"/>
          <w:tblHeader/>
        </w:trPr>
        <w:tc>
          <w:tcPr>
            <w:tcW w:w="9596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shd w:val="clear" w:color="auto" w:fill="EEF0F2"/>
            <w:tcMar>
              <w:left w:w="216" w:type="dxa"/>
              <w:right w:w="216" w:type="dxa"/>
            </w:tcMar>
            <w:vAlign w:val="center"/>
          </w:tcPr>
          <w:p w14:paraId="001377F7" w14:textId="149A63E3" w:rsidR="002F2C55" w:rsidRPr="002F2C55" w:rsidRDefault="002F2C55" w:rsidP="002F2C55">
            <w:pPr>
              <w:pStyle w:val="Title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Network Innovation Competition 2020 Supplementary Answer form</w:t>
            </w:r>
          </w:p>
        </w:tc>
      </w:tr>
    </w:tbl>
    <w:p w14:paraId="119A6DA6" w14:textId="77777777" w:rsidR="00FD689B" w:rsidRDefault="00FD689B" w:rsidP="001F6E93"/>
    <w:tbl>
      <w:tblPr>
        <w:tblStyle w:val="TableGrid"/>
        <w:tblW w:w="0" w:type="auto"/>
        <w:tblLook w:val="04A0" w:firstRow="1" w:lastRow="0" w:firstColumn="1" w:lastColumn="0" w:noHBand="0" w:noVBand="1"/>
        <w:tblCaption w:val="Supplementary Question details"/>
        <w:tblDescription w:val="Supplementary Question details"/>
      </w:tblPr>
      <w:tblGrid>
        <w:gridCol w:w="2967"/>
        <w:gridCol w:w="1990"/>
        <w:gridCol w:w="2268"/>
        <w:gridCol w:w="2361"/>
      </w:tblGrid>
      <w:tr w:rsidR="002F2C55" w:rsidRPr="006605C4" w14:paraId="01F3E3F6" w14:textId="13D89652" w:rsidTr="006605C4">
        <w:trPr>
          <w:trHeight w:val="879"/>
        </w:trPr>
        <w:tc>
          <w:tcPr>
            <w:tcW w:w="2967" w:type="dxa"/>
            <w:shd w:val="clear" w:color="auto" w:fill="E7E6E6" w:themeFill="background2"/>
          </w:tcPr>
          <w:p w14:paraId="27724EA1" w14:textId="4066CFDA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Project Name</w:t>
            </w:r>
          </w:p>
        </w:tc>
        <w:tc>
          <w:tcPr>
            <w:tcW w:w="6619" w:type="dxa"/>
            <w:gridSpan w:val="3"/>
            <w:shd w:val="clear" w:color="auto" w:fill="auto"/>
          </w:tcPr>
          <w:p w14:paraId="770B8514" w14:textId="087C6621" w:rsidR="002F2C55" w:rsidRPr="006605C4" w:rsidRDefault="00FE538E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Constellation</w:t>
            </w:r>
          </w:p>
        </w:tc>
      </w:tr>
      <w:tr w:rsidR="002F2C55" w:rsidRPr="006605C4" w14:paraId="1DAA37B2" w14:textId="1ACFAE5D" w:rsidTr="002F2C55">
        <w:tc>
          <w:tcPr>
            <w:tcW w:w="2967" w:type="dxa"/>
            <w:shd w:val="clear" w:color="auto" w:fill="E7E6E6" w:themeFill="background2"/>
          </w:tcPr>
          <w:p w14:paraId="047CFEC8" w14:textId="4BECEB95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number</w:t>
            </w:r>
          </w:p>
        </w:tc>
        <w:tc>
          <w:tcPr>
            <w:tcW w:w="1990" w:type="dxa"/>
          </w:tcPr>
          <w:p w14:paraId="4A46EACB" w14:textId="616E6885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#</w:t>
            </w:r>
            <w:r w:rsidR="00901CD3">
              <w:rPr>
                <w:rFonts w:eastAsia="Times New Roman"/>
                <w:sz w:val="24"/>
              </w:rPr>
              <w:t>14</w:t>
            </w:r>
          </w:p>
        </w:tc>
        <w:tc>
          <w:tcPr>
            <w:tcW w:w="2268" w:type="dxa"/>
            <w:shd w:val="clear" w:color="auto" w:fill="E7E6E6" w:themeFill="background2"/>
          </w:tcPr>
          <w:p w14:paraId="308867DD" w14:textId="5E8CA9C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 forma section</w:t>
            </w:r>
          </w:p>
        </w:tc>
        <w:tc>
          <w:tcPr>
            <w:tcW w:w="2361" w:type="dxa"/>
          </w:tcPr>
          <w:p w14:paraId="2C60EC72" w14:textId="66E5EEC9" w:rsidR="002F2C55" w:rsidRPr="006605C4" w:rsidRDefault="00901CD3" w:rsidP="001F6E93">
            <w:pPr>
              <w:pStyle w:val="Heading1"/>
              <w:rPr>
                <w:rFonts w:eastAsia="Times New Roman"/>
                <w:sz w:val="24"/>
              </w:rPr>
            </w:pPr>
            <w:r w:rsidRPr="00901CD3">
              <w:rPr>
                <w:rFonts w:eastAsia="Times New Roman"/>
                <w:sz w:val="24"/>
              </w:rPr>
              <w:t>Section 10.3.2/3</w:t>
            </w:r>
          </w:p>
        </w:tc>
      </w:tr>
      <w:tr w:rsidR="002F2C55" w:rsidRPr="006605C4" w14:paraId="461974CF" w14:textId="7F8F8408" w:rsidTr="002F2C55">
        <w:tc>
          <w:tcPr>
            <w:tcW w:w="2967" w:type="dxa"/>
            <w:shd w:val="clear" w:color="auto" w:fill="E7E6E6" w:themeFill="background2"/>
          </w:tcPr>
          <w:p w14:paraId="26275692" w14:textId="2DE6901F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date</w:t>
            </w:r>
          </w:p>
        </w:tc>
        <w:tc>
          <w:tcPr>
            <w:tcW w:w="1990" w:type="dxa"/>
          </w:tcPr>
          <w:p w14:paraId="4E30EDA3" w14:textId="0A56AA40" w:rsidR="002F2C55" w:rsidRPr="006605C4" w:rsidRDefault="00FE538E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08/09/2020</w:t>
            </w:r>
          </w:p>
        </w:tc>
        <w:tc>
          <w:tcPr>
            <w:tcW w:w="2268" w:type="dxa"/>
            <w:shd w:val="clear" w:color="auto" w:fill="E7E6E6" w:themeFill="background2"/>
          </w:tcPr>
          <w:p w14:paraId="35576D1B" w14:textId="51B6B3B6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Answer date</w:t>
            </w:r>
          </w:p>
        </w:tc>
        <w:tc>
          <w:tcPr>
            <w:tcW w:w="2361" w:type="dxa"/>
          </w:tcPr>
          <w:p w14:paraId="3FC918F3" w14:textId="044211F2" w:rsidR="002F2C55" w:rsidRPr="006605C4" w:rsidRDefault="00FE538E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10/09/2020</w:t>
            </w:r>
          </w:p>
        </w:tc>
      </w:tr>
      <w:tr w:rsidR="002F2C55" w:rsidRPr="006605C4" w14:paraId="16BD7EAA" w14:textId="3E18DCB2" w:rsidTr="002F2C55">
        <w:tc>
          <w:tcPr>
            <w:tcW w:w="2967" w:type="dxa"/>
            <w:shd w:val="clear" w:color="auto" w:fill="E7E6E6" w:themeFill="background2"/>
          </w:tcPr>
          <w:p w14:paraId="749441EA" w14:textId="1AC8C60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summary</w:t>
            </w:r>
          </w:p>
        </w:tc>
        <w:tc>
          <w:tcPr>
            <w:tcW w:w="6619" w:type="dxa"/>
            <w:gridSpan w:val="3"/>
          </w:tcPr>
          <w:p w14:paraId="5AD76ED5" w14:textId="73830D71" w:rsidR="002F2C55" w:rsidRPr="006605C4" w:rsidRDefault="00901CD3" w:rsidP="001F6E93">
            <w:pPr>
              <w:pStyle w:val="Heading1"/>
              <w:rPr>
                <w:rFonts w:eastAsia="Times New Roman"/>
                <w:sz w:val="24"/>
              </w:rPr>
            </w:pPr>
            <w:r w:rsidRPr="00901CD3">
              <w:rPr>
                <w:rFonts w:eastAsia="Times New Roman"/>
                <w:sz w:val="24"/>
              </w:rPr>
              <w:t>Please provide more information on the method used to forecast protected capacity. Please explain, for instance, how your own data on curtailment (page 63, 10.3.2 pt 1 and 10.3.3 pt 1) has been used in the calculation of capacity protected; is 15% a measure of capacity or power? Were the same assumptions used to provide the equivalent forecast for GB?  Further, please confirm that Figure 29 (page 59) illustrates protected and released capacity.</w:t>
            </w:r>
          </w:p>
        </w:tc>
      </w:tr>
    </w:tbl>
    <w:p w14:paraId="768E604A" w14:textId="77777777" w:rsidR="002F2C55" w:rsidRDefault="002F2C55" w:rsidP="001F6E93">
      <w:pPr>
        <w:pStyle w:val="Heading2"/>
        <w:rPr>
          <w:rFonts w:eastAsia="Times New Roman"/>
        </w:rPr>
      </w:pPr>
      <w:bookmarkStart w:id="0" w:name="_Toc513709470"/>
    </w:p>
    <w:bookmarkEnd w:id="0"/>
    <w:p w14:paraId="19903D9A" w14:textId="06116E7A" w:rsidR="002A27A4" w:rsidRPr="004824AC" w:rsidRDefault="002F2C55" w:rsidP="001F6E93">
      <w:pPr>
        <w:pStyle w:val="Heading2"/>
        <w:rPr>
          <w:rFonts w:eastAsia="Times New Roman"/>
        </w:rPr>
      </w:pPr>
      <w:r>
        <w:rPr>
          <w:rFonts w:eastAsia="Times New Roman"/>
        </w:rPr>
        <w:t>Answer (please retain document formatting and do not exceed 2 pages unless otherwise agreed with Ofgem)</w:t>
      </w:r>
    </w:p>
    <w:p w14:paraId="63CF73E7" w14:textId="1B0A9D69" w:rsidR="00901CD3" w:rsidRDefault="00901CD3" w:rsidP="002F2C55"/>
    <w:p w14:paraId="014572DB" w14:textId="77777777" w:rsidR="005B6607" w:rsidRDefault="005B6607" w:rsidP="002F2C55"/>
    <w:p w14:paraId="4EC48F8B" w14:textId="6DB54FA1" w:rsidR="00901CD3" w:rsidRPr="001F6E93" w:rsidRDefault="00901CD3" w:rsidP="002F2C55"/>
    <w:p w14:paraId="1903F0DD" w14:textId="59DCE198" w:rsidR="001A2CE7" w:rsidRDefault="001A2CE7" w:rsidP="001A2CE7">
      <w:r>
        <w:lastRenderedPageBreak/>
        <w:t>We have interpreted this question (</w:t>
      </w:r>
      <w:r w:rsidR="008F7A73">
        <w:t>S</w:t>
      </w:r>
      <w:r>
        <w:t xml:space="preserve">Q14) to be focused on the methodology used to calculate the protected capacity benefits for both Methods. For more context on how Method 2: Wide area protection </w:t>
      </w:r>
      <w:r w:rsidR="00463425">
        <w:t>enhances the benefits that</w:t>
      </w:r>
      <w:r>
        <w:t xml:space="preserve"> the Accelerated Loss of Mains Change Programme (ALoMCP)</w:t>
      </w:r>
      <w:r w:rsidR="00463425">
        <w:t xml:space="preserve"> delivers</w:t>
      </w:r>
      <w:r>
        <w:t xml:space="preserve"> please refer to the answer to </w:t>
      </w:r>
      <w:r w:rsidR="008F7A73">
        <w:t>S</w:t>
      </w:r>
      <w:r>
        <w:t xml:space="preserve">Q15. </w:t>
      </w:r>
    </w:p>
    <w:p w14:paraId="2869FDA7" w14:textId="01982CD3" w:rsidR="009E5B8E" w:rsidRDefault="009E5B8E" w:rsidP="005B6607"/>
    <w:p w14:paraId="0E7C4FC7" w14:textId="0A2EE4B6" w:rsidR="009E5B8E" w:rsidRDefault="009E5B8E" w:rsidP="009E5B8E">
      <w:r>
        <w:t xml:space="preserve">As described in the answer to </w:t>
      </w:r>
      <w:r w:rsidR="00463425">
        <w:t>S</w:t>
      </w:r>
      <w:r>
        <w:t>Q5, Constellation aims to facilitate the benefits from smart services. For flexibility services provided by DER specifically, the Methods provide resilience against:</w:t>
      </w:r>
    </w:p>
    <w:p w14:paraId="520D4D73" w14:textId="6D7F22B1" w:rsidR="009E5B8E" w:rsidRDefault="009E5B8E" w:rsidP="009E5B8E">
      <w:pPr>
        <w:pStyle w:val="ListParagraph"/>
        <w:numPr>
          <w:ilvl w:val="0"/>
          <w:numId w:val="3"/>
        </w:numPr>
      </w:pPr>
      <w:r>
        <w:t>Loss of communication with central network management systems resulting in curtailment of the DER (</w:t>
      </w:r>
      <w:r w:rsidR="00463425">
        <w:t xml:space="preserve">local ANM operation with limited dependence on central systems within </w:t>
      </w:r>
      <w:r>
        <w:t>Method 1); and</w:t>
      </w:r>
    </w:p>
    <w:p w14:paraId="63610B8B" w14:textId="1418D211" w:rsidR="009E5B8E" w:rsidRDefault="009E5B8E" w:rsidP="009E5B8E">
      <w:pPr>
        <w:pStyle w:val="ListParagraph"/>
        <w:numPr>
          <w:ilvl w:val="0"/>
          <w:numId w:val="3"/>
        </w:numPr>
      </w:pPr>
      <w:r>
        <w:t>Unnecessary disconnection of the DER halting its operation (</w:t>
      </w:r>
      <w:r w:rsidR="00463425">
        <w:t xml:space="preserve">wide area protection via scalable, low latency site-to-site communication within </w:t>
      </w:r>
      <w:r>
        <w:t>Method 2).</w:t>
      </w:r>
    </w:p>
    <w:p w14:paraId="7B642CC6" w14:textId="77777777" w:rsidR="009E5B8E" w:rsidRDefault="009E5B8E" w:rsidP="009E5B8E"/>
    <w:p w14:paraId="20B78D8E" w14:textId="2D27334B" w:rsidR="00136AA7" w:rsidRDefault="00F52D45" w:rsidP="009E5B8E">
      <w:r>
        <w:t>There are considerable challenges in forecasting network benefits on a national scale far into the future beyond the current and upcoming price control periods. To ensure a consistent and robust methodology, t</w:t>
      </w:r>
      <w:r w:rsidR="00136AA7">
        <w:t>he protected capacity benefit</w:t>
      </w:r>
      <w:r w:rsidR="00527349">
        <w:t xml:space="preserve"> (for both Methods)</w:t>
      </w:r>
      <w:r w:rsidR="00136AA7">
        <w:t xml:space="preserve"> was calculated </w:t>
      </w:r>
      <w:r w:rsidR="001A2CE7">
        <w:t>based on</w:t>
      </w:r>
      <w:r w:rsidR="00136AA7">
        <w:t xml:space="preserve"> established forecasts, historic performance and key assumptions. For Method 1 specifically:</w:t>
      </w:r>
    </w:p>
    <w:p w14:paraId="07D97E33" w14:textId="72F53CC9" w:rsidR="00F52D45" w:rsidRDefault="00136AA7" w:rsidP="000831D4">
      <w:pPr>
        <w:pStyle w:val="ListParagraph"/>
        <w:numPr>
          <w:ilvl w:val="0"/>
          <w:numId w:val="4"/>
        </w:numPr>
      </w:pPr>
      <w:r>
        <w:t xml:space="preserve">We analysed historic ANM curtailment </w:t>
      </w:r>
      <w:r w:rsidRPr="00136AA7">
        <w:t xml:space="preserve">data between 2017 and 2019 </w:t>
      </w:r>
      <w:r>
        <w:t>and identified that on average 15%</w:t>
      </w:r>
      <w:r w:rsidR="00E11374">
        <w:t xml:space="preserve"> (14.7%)</w:t>
      </w:r>
      <w:r>
        <w:t xml:space="preserve"> of all </w:t>
      </w:r>
      <w:r w:rsidR="00E11374">
        <w:t xml:space="preserve">annually </w:t>
      </w:r>
      <w:r>
        <w:t xml:space="preserve">curtailed DER capacity is due to </w:t>
      </w:r>
      <w:r w:rsidR="00F52D45">
        <w:t>communication issues</w:t>
      </w:r>
      <w:r w:rsidR="000831D4">
        <w:t xml:space="preserve">. </w:t>
      </w:r>
      <w:r w:rsidR="00F52D45">
        <w:t xml:space="preserve">To manage the uncertainty with this benefit forecast we included this percentage curtailment in the sensitivity analysis: Low 10% and High 20%. </w:t>
      </w:r>
    </w:p>
    <w:p w14:paraId="1DC69D2B" w14:textId="0AEA4C8C" w:rsidR="00E11374" w:rsidRDefault="00E11374" w:rsidP="00136AA7">
      <w:pPr>
        <w:pStyle w:val="ListParagraph"/>
        <w:numPr>
          <w:ilvl w:val="0"/>
          <w:numId w:val="4"/>
        </w:numPr>
      </w:pPr>
      <w:r>
        <w:t>We used the same assumptions (above) for UK Power Networks and GB scale benefits and applied them to the forecasted DER uptake in our DFES and National Grid</w:t>
      </w:r>
      <w:r w:rsidR="00C2087A">
        <w:t>’</w:t>
      </w:r>
      <w:r>
        <w:t>s FES respectively.</w:t>
      </w:r>
      <w:r w:rsidR="007104CD">
        <w:t xml:space="preserve"> We acknowledge </w:t>
      </w:r>
      <w:r w:rsidR="000831D4">
        <w:t xml:space="preserve">there are limitations to this approach </w:t>
      </w:r>
      <w:r w:rsidR="007104CD">
        <w:t>but it is a compromise due to the lack of available data.</w:t>
      </w:r>
    </w:p>
    <w:p w14:paraId="33C76D29" w14:textId="0168E4C6" w:rsidR="00C208E7" w:rsidRDefault="00C208E7" w:rsidP="005B6607"/>
    <w:p w14:paraId="5CF8FA85" w14:textId="76B05F64" w:rsidR="00F52D45" w:rsidRDefault="00F320B0" w:rsidP="005B6607">
      <w:r>
        <w:t xml:space="preserve">The </w:t>
      </w:r>
      <w:r w:rsidR="00C2087A">
        <w:t xml:space="preserve">approach for </w:t>
      </w:r>
      <w:r>
        <w:t xml:space="preserve">Method 2 is similar to </w:t>
      </w:r>
      <w:r w:rsidR="00C2087A">
        <w:t xml:space="preserve">that used for </w:t>
      </w:r>
      <w:r>
        <w:t xml:space="preserve">Method 1, but relies on more assumptions due to data limitations that prevent a full assessment of existing generator protection performance. </w:t>
      </w:r>
      <w:r w:rsidR="00C208E7">
        <w:t>W</w:t>
      </w:r>
      <w:r w:rsidR="009D3CA5">
        <w:t xml:space="preserve">e could not verify if the DER events </w:t>
      </w:r>
      <w:r w:rsidR="001A2CE7">
        <w:t xml:space="preserve">(described </w:t>
      </w:r>
      <w:r w:rsidR="009D3CA5">
        <w:t>below</w:t>
      </w:r>
      <w:r w:rsidR="001A2CE7">
        <w:t>)</w:t>
      </w:r>
      <w:r w:rsidR="009D3CA5">
        <w:t xml:space="preserve"> were on sites with vector shift protection or with outdated RoCoF settings</w:t>
      </w:r>
      <w:r w:rsidR="004B446C">
        <w:t xml:space="preserve"> </w:t>
      </w:r>
      <w:r w:rsidR="00C208E7">
        <w:t xml:space="preserve">so </w:t>
      </w:r>
      <w:r w:rsidR="004B446C">
        <w:t xml:space="preserve">we leveraged our breadth of operational expertise and sought advice from </w:t>
      </w:r>
      <w:r w:rsidR="00463425">
        <w:t>experts within University of Strathclyde</w:t>
      </w:r>
      <w:bookmarkStart w:id="1" w:name="_GoBack"/>
      <w:bookmarkEnd w:id="1"/>
      <w:r w:rsidR="004B446C">
        <w:t xml:space="preserve"> to verify our approach. For Method 2 protected capacity:</w:t>
      </w:r>
    </w:p>
    <w:p w14:paraId="4B85505A" w14:textId="23F1F8D9" w:rsidR="00527349" w:rsidRDefault="00527349" w:rsidP="00527349">
      <w:pPr>
        <w:pStyle w:val="ListParagraph"/>
        <w:numPr>
          <w:ilvl w:val="0"/>
          <w:numId w:val="5"/>
        </w:numPr>
      </w:pPr>
      <w:r>
        <w:lastRenderedPageBreak/>
        <w:t xml:space="preserve">We analysed historic </w:t>
      </w:r>
      <w:r w:rsidR="00DC70F6">
        <w:t>generation protection events</w:t>
      </w:r>
      <w:r>
        <w:t xml:space="preserve"> </w:t>
      </w:r>
      <w:r w:rsidR="00C2087A">
        <w:t xml:space="preserve">in </w:t>
      </w:r>
      <w:r>
        <w:t xml:space="preserve">2019 and 2020 </w:t>
      </w:r>
      <w:r w:rsidR="00BC6AC6">
        <w:t>and identified</w:t>
      </w:r>
      <w:r w:rsidR="00A53DDB">
        <w:t xml:space="preserve"> annual DER capacity impacted by faults on adjacent feeders</w:t>
      </w:r>
      <w:r w:rsidR="00BC6AC6">
        <w:t>:</w:t>
      </w:r>
    </w:p>
    <w:p w14:paraId="1FD21BEF" w14:textId="5C2B9786" w:rsidR="00BC6AC6" w:rsidRDefault="00BC6AC6" w:rsidP="00DC70F6">
      <w:pPr>
        <w:pStyle w:val="ListParagraph"/>
        <w:numPr>
          <w:ilvl w:val="1"/>
          <w:numId w:val="5"/>
        </w:numPr>
      </w:pPr>
      <w:r>
        <w:t xml:space="preserve">On average 423 faults </w:t>
      </w:r>
      <w:r w:rsidR="00C208E7">
        <w:t>annually</w:t>
      </w:r>
      <w:r w:rsidR="00DC70F6">
        <w:t xml:space="preserve"> </w:t>
      </w:r>
      <w:r w:rsidR="00C208E7">
        <w:t>affect</w:t>
      </w:r>
      <w:r w:rsidR="00DC70F6">
        <w:t xml:space="preserve"> generation operation. W</w:t>
      </w:r>
      <w:r w:rsidR="00DC70F6" w:rsidRPr="00DC70F6">
        <w:t>e included</w:t>
      </w:r>
      <w:r w:rsidR="00DC70F6">
        <w:t xml:space="preserve"> the entire range of annual faults</w:t>
      </w:r>
      <w:r w:rsidR="00DC70F6" w:rsidRPr="00DC70F6">
        <w:t xml:space="preserve"> in the sensitivity analysis: Low </w:t>
      </w:r>
      <w:r w:rsidR="00DC70F6">
        <w:t>257 faults</w:t>
      </w:r>
      <w:r w:rsidR="00DC70F6" w:rsidRPr="00DC70F6">
        <w:t xml:space="preserve"> and High </w:t>
      </w:r>
      <w:r w:rsidR="00DC70F6">
        <w:t>588 faults.</w:t>
      </w:r>
    </w:p>
    <w:p w14:paraId="04A8D803" w14:textId="51188041" w:rsidR="00DC70F6" w:rsidRDefault="00DC70F6" w:rsidP="007104CD">
      <w:pPr>
        <w:pStyle w:val="ListParagraph"/>
        <w:numPr>
          <w:ilvl w:val="1"/>
          <w:numId w:val="5"/>
        </w:numPr>
      </w:pPr>
      <w:r>
        <w:t xml:space="preserve">To identify how many of these faults have resulted in unnecessary disconnection of DER, we </w:t>
      </w:r>
      <w:r w:rsidR="00C83E40">
        <w:t xml:space="preserve">assumed that any fault duration longer than three hours was </w:t>
      </w:r>
      <w:r w:rsidR="007104CD">
        <w:t xml:space="preserve">likely a valid fault and not a nuisance disconnection </w:t>
      </w:r>
      <w:r w:rsidR="00C83E40">
        <w:t>as the circuit the DER is connecte</w:t>
      </w:r>
      <w:r w:rsidR="00260151">
        <w:t>d to required repairs.</w:t>
      </w:r>
      <w:r w:rsidR="007104CD">
        <w:t xml:space="preserve"> Consequently,</w:t>
      </w:r>
      <w:r w:rsidR="00C83E40">
        <w:t xml:space="preserve"> a</w:t>
      </w:r>
      <w:r w:rsidR="00F320B0">
        <w:t>ny DER interruptions shorter than three hours of duration (35.38%</w:t>
      </w:r>
      <w:r w:rsidR="001A2CE7">
        <w:t xml:space="preserve"> of all faults which impact generators</w:t>
      </w:r>
      <w:r w:rsidR="00F320B0">
        <w:t>) were</w:t>
      </w:r>
      <w:r w:rsidR="007104CD">
        <w:t xml:space="preserve"> assumed to be</w:t>
      </w:r>
      <w:r w:rsidR="00F320B0">
        <w:t xml:space="preserve"> </w:t>
      </w:r>
      <w:r w:rsidR="007104CD">
        <w:t>nuisance DER disconnections</w:t>
      </w:r>
      <w:r w:rsidR="00F320B0">
        <w:t xml:space="preserve">. We included this percentage in the sensitivity analysis: Low </w:t>
      </w:r>
      <w:r w:rsidR="001A2CE7">
        <w:t xml:space="preserve">10% and no High as </w:t>
      </w:r>
      <w:r w:rsidR="00F320B0">
        <w:t>we did not expect this to higher.</w:t>
      </w:r>
    </w:p>
    <w:p w14:paraId="511C09A6" w14:textId="78960FE3" w:rsidR="004B446C" w:rsidRDefault="007C3B16" w:rsidP="00D74613">
      <w:pPr>
        <w:pStyle w:val="ListParagraph"/>
        <w:numPr>
          <w:ilvl w:val="0"/>
          <w:numId w:val="4"/>
        </w:numPr>
      </w:pPr>
      <w:r>
        <w:t>We used the same assumptions (above) for UK Power Networks and GB scale benefits and applied them to the forecasted DER uptake in our DFES and National Grid</w:t>
      </w:r>
      <w:r w:rsidR="00C2087A">
        <w:t>’</w:t>
      </w:r>
      <w:r>
        <w:t>s FES respectively.</w:t>
      </w:r>
      <w:r w:rsidR="007104CD">
        <w:t xml:space="preserve"> </w:t>
      </w:r>
      <w:r w:rsidR="000831D4">
        <w:t>We acknowledge there are limitations to this approach but it is a compromise due to the lack of available data.</w:t>
      </w:r>
      <w:r w:rsidR="000831D4" w:rsidDel="000831D4">
        <w:rPr>
          <w:rStyle w:val="CommentReference"/>
        </w:rPr>
        <w:t xml:space="preserve"> </w:t>
      </w:r>
    </w:p>
    <w:p w14:paraId="0F30B6CC" w14:textId="2A822083" w:rsidR="004B446C" w:rsidRDefault="00463425" w:rsidP="004B446C">
      <w:r>
        <w:t xml:space="preserve">As part of the delivery of the project, we will gain significant learning about </w:t>
      </w:r>
      <w:r w:rsidRPr="00463425">
        <w:t xml:space="preserve">generator protection </w:t>
      </w:r>
      <w:r>
        <w:t xml:space="preserve">that will allow us to overcome some of the data </w:t>
      </w:r>
      <w:r w:rsidR="00C2087A">
        <w:t xml:space="preserve">gaps </w:t>
      </w:r>
      <w:r>
        <w:t>we have described above.</w:t>
      </w:r>
    </w:p>
    <w:p w14:paraId="4112636A" w14:textId="77777777" w:rsidR="00463425" w:rsidRDefault="00463425" w:rsidP="004B446C"/>
    <w:p w14:paraId="541FEEB2" w14:textId="45F5DE39" w:rsidR="000831D4" w:rsidRDefault="004B446C" w:rsidP="00C208E7">
      <w:r>
        <w:t>Our extremely low case analysis, which includes all sensitivity parameters being set to Low, shows the project delivers significant benefits</w:t>
      </w:r>
      <w:r w:rsidR="00A53DDB">
        <w:t xml:space="preserve"> (£134m by 2030 and £353</w:t>
      </w:r>
      <w:r w:rsidR="00E956AC">
        <w:t>m by 2050, compared to £200m by 2030 and £826m by 2050 in the central case)</w:t>
      </w:r>
      <w:r>
        <w:t xml:space="preserve"> even when the impact of comms issues and network faults on DER operation is minimised.</w:t>
      </w:r>
      <w:r w:rsidR="00C208E7">
        <w:t xml:space="preserve"> Ultimately, we are confident that Constellation will enable us to </w:t>
      </w:r>
      <w:r w:rsidR="00C208E7" w:rsidRPr="00C208E7">
        <w:t>operate a full top-to-bottom smart, scalable, flexible and future proof network to enable Net Zero at the lowest cost to our customers</w:t>
      </w:r>
      <w:r w:rsidR="00C208E7">
        <w:t>.</w:t>
      </w:r>
      <w:r w:rsidR="000831D4">
        <w:t xml:space="preserve"> Further information on the entire business case can be provided if required as we were mindful of the two page/two day time limit to turn around the SQ.</w:t>
      </w:r>
    </w:p>
    <w:p w14:paraId="49470574" w14:textId="77777777" w:rsidR="001A2CE7" w:rsidRDefault="001A2CE7" w:rsidP="00C208E7"/>
    <w:p w14:paraId="358B57F9" w14:textId="1A94BCD9" w:rsidR="001A2CE7" w:rsidRDefault="001A2CE7" w:rsidP="001A2CE7">
      <w:r>
        <w:t>We confirm Figure 29 contains the capacity benefit consisting of protected and released capacity. The protected capacity is through Method 1 Local ANM and Method 2 Wide area protection and the released capacity is through the adaptive load blinding in Method 2 Adaptive protection. We will correct the chart title and caption in the resubmission</w:t>
      </w:r>
      <w:r w:rsidR="00C2087A">
        <w:t xml:space="preserve"> and apologise for any confusion caused</w:t>
      </w:r>
      <w:r>
        <w:t>.</w:t>
      </w:r>
    </w:p>
    <w:p w14:paraId="263835DA" w14:textId="6AD57346" w:rsidR="00C70A16" w:rsidRPr="001F6E93" w:rsidRDefault="00C70A16" w:rsidP="004B446C"/>
    <w:sectPr w:rsidR="00C70A16" w:rsidRPr="001F6E93" w:rsidSect="00265B9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 w:code="9"/>
      <w:pgMar w:top="2592" w:right="1152" w:bottom="1440" w:left="1152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48FC0" w16cex:dateUtc="2020-09-10T10:42:00Z"/>
  <w16cex:commentExtensible w16cex:durableId="23049019" w16cex:dateUtc="2020-09-10T10:44:00Z"/>
  <w16cex:commentExtensible w16cex:durableId="2304906B" w16cex:dateUtc="2020-09-10T10:45:00Z"/>
  <w16cex:commentExtensible w16cex:durableId="230490FC" w16cex:dateUtc="2020-09-10T10:48:00Z"/>
  <w16cex:commentExtensible w16cex:durableId="23049151" w16cex:dateUtc="2020-09-10T10:49:00Z"/>
  <w16cex:commentExtensible w16cex:durableId="2304913E" w16cex:dateUtc="2020-09-10T10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FFC1450" w16cid:durableId="23048F52"/>
  <w16cid:commentId w16cid:paraId="5A524E61" w16cid:durableId="23048FC0"/>
  <w16cid:commentId w16cid:paraId="7CE6F17A" w16cid:durableId="23049019"/>
  <w16cid:commentId w16cid:paraId="6F184B13" w16cid:durableId="2304906B"/>
  <w16cid:commentId w16cid:paraId="110640F7" w16cid:durableId="23048F53"/>
  <w16cid:commentId w16cid:paraId="5EA04FC5" w16cid:durableId="230490FC"/>
  <w16cid:commentId w16cid:paraId="0D8B1526" w16cid:durableId="23048F54"/>
  <w16cid:commentId w16cid:paraId="13EB309B" w16cid:durableId="23049151"/>
  <w16cid:commentId w16cid:paraId="43A4AB4F" w16cid:durableId="2304913E"/>
  <w16cid:commentId w16cid:paraId="00E73C30" w16cid:durableId="23048F55"/>
  <w16cid:commentId w16cid:paraId="38239793" w16cid:durableId="23048F56"/>
  <w16cid:commentId w16cid:paraId="3683D34F" w16cid:durableId="23048F57"/>
  <w16cid:commentId w16cid:paraId="2BBB9CE8" w16cid:durableId="23048F58"/>
  <w16cid:commentId w16cid:paraId="0FB8972E" w16cid:durableId="23048F59"/>
  <w16cid:commentId w16cid:paraId="2563A7E6" w16cid:durableId="23048F5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C374ED" w14:textId="77777777" w:rsidR="00AB26FC" w:rsidRDefault="00AB26FC" w:rsidP="001F6E93">
      <w:r>
        <w:separator/>
      </w:r>
    </w:p>
  </w:endnote>
  <w:endnote w:type="continuationSeparator" w:id="0">
    <w:p w14:paraId="59422587" w14:textId="77777777" w:rsidR="00AB26FC" w:rsidRDefault="00AB26FC" w:rsidP="001F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4820031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65D8EE" w14:textId="77777777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D3FEB71" w14:textId="77777777" w:rsidR="00000C82" w:rsidRDefault="00000C82" w:rsidP="001F6E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6120889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CE66CEE" w14:textId="2DA6FDE0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9613DF"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5EEDD37B" w14:textId="7E59ED1C" w:rsidR="00000C82" w:rsidRPr="00000C82" w:rsidRDefault="009905C7" w:rsidP="001F6E9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184E612" wp14:editId="274B6707">
          <wp:simplePos x="0" y="0"/>
          <wp:positionH relativeFrom="column">
            <wp:posOffset>-338455</wp:posOffset>
          </wp:positionH>
          <wp:positionV relativeFrom="paragraph">
            <wp:posOffset>49960</wp:posOffset>
          </wp:positionV>
          <wp:extent cx="597600" cy="176400"/>
          <wp:effectExtent l="0" t="0" r="0" b="0"/>
          <wp:wrapNone/>
          <wp:docPr id="2" name="Picture 2" descr="Job number" title="OFG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FG116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600" cy="1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2374F" w14:textId="77777777" w:rsidR="002F2C55" w:rsidRDefault="002F2C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E697E9" w14:textId="77777777" w:rsidR="00AB26FC" w:rsidRDefault="00AB26FC" w:rsidP="001F6E93">
      <w:r>
        <w:separator/>
      </w:r>
    </w:p>
  </w:footnote>
  <w:footnote w:type="continuationSeparator" w:id="0">
    <w:p w14:paraId="231980BE" w14:textId="77777777" w:rsidR="00AB26FC" w:rsidRDefault="00AB26FC" w:rsidP="001F6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29368" w14:textId="77777777" w:rsidR="002F2C55" w:rsidRDefault="002F2C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94A6A" w14:textId="77777777" w:rsidR="00000C82" w:rsidRDefault="00000C82" w:rsidP="001F6E9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080A6332" wp14:editId="167397A6">
          <wp:simplePos x="0" y="0"/>
          <wp:positionH relativeFrom="column">
            <wp:posOffset>4660900</wp:posOffset>
          </wp:positionH>
          <wp:positionV relativeFrom="paragraph">
            <wp:posOffset>0</wp:posOffset>
          </wp:positionV>
          <wp:extent cx="1554480" cy="905256"/>
          <wp:effectExtent l="0" t="0" r="0" b="0"/>
          <wp:wrapNone/>
          <wp:docPr id="1" name="Picture 1" descr="Ofgem logo" title="Ofgem - making a positive difference for energy consum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GEM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480" cy="905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E962F" w14:textId="77777777" w:rsidR="002F2C55" w:rsidRDefault="002F2C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763EC"/>
    <w:multiLevelType w:val="hybridMultilevel"/>
    <w:tmpl w:val="135C18BC"/>
    <w:lvl w:ilvl="0" w:tplc="CA5E26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354D5F"/>
    <w:multiLevelType w:val="hybridMultilevel"/>
    <w:tmpl w:val="F0AC9D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1A4734"/>
    <w:multiLevelType w:val="hybridMultilevel"/>
    <w:tmpl w:val="A28EA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080A5B"/>
    <w:multiLevelType w:val="hybridMultilevel"/>
    <w:tmpl w:val="05EA1B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2D519D"/>
    <w:multiLevelType w:val="hybridMultilevel"/>
    <w:tmpl w:val="82BAA2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C82"/>
    <w:rsid w:val="00000C82"/>
    <w:rsid w:val="00067D0E"/>
    <w:rsid w:val="000831D4"/>
    <w:rsid w:val="00087FA2"/>
    <w:rsid w:val="000D2BE1"/>
    <w:rsid w:val="000F4635"/>
    <w:rsid w:val="00136AA7"/>
    <w:rsid w:val="001431F3"/>
    <w:rsid w:val="00177460"/>
    <w:rsid w:val="001A2CE7"/>
    <w:rsid w:val="001A68F2"/>
    <w:rsid w:val="001C06F4"/>
    <w:rsid w:val="001F6E93"/>
    <w:rsid w:val="00260151"/>
    <w:rsid w:val="00265B97"/>
    <w:rsid w:val="002678F9"/>
    <w:rsid w:val="00284C42"/>
    <w:rsid w:val="002A27A4"/>
    <w:rsid w:val="002F2C55"/>
    <w:rsid w:val="002F48C3"/>
    <w:rsid w:val="00331426"/>
    <w:rsid w:val="003D0181"/>
    <w:rsid w:val="003E0EED"/>
    <w:rsid w:val="00417C2C"/>
    <w:rsid w:val="004317B0"/>
    <w:rsid w:val="00463425"/>
    <w:rsid w:val="004824AC"/>
    <w:rsid w:val="004B446C"/>
    <w:rsid w:val="004D5FA0"/>
    <w:rsid w:val="00507C92"/>
    <w:rsid w:val="00527349"/>
    <w:rsid w:val="005331D0"/>
    <w:rsid w:val="0053662D"/>
    <w:rsid w:val="00536E5B"/>
    <w:rsid w:val="005809E6"/>
    <w:rsid w:val="005A4794"/>
    <w:rsid w:val="005A5E1D"/>
    <w:rsid w:val="005B6607"/>
    <w:rsid w:val="005D4DAC"/>
    <w:rsid w:val="005F0460"/>
    <w:rsid w:val="005F6CC3"/>
    <w:rsid w:val="006605C4"/>
    <w:rsid w:val="0069015D"/>
    <w:rsid w:val="006D211B"/>
    <w:rsid w:val="007104CD"/>
    <w:rsid w:val="00770A30"/>
    <w:rsid w:val="007A4F15"/>
    <w:rsid w:val="007C0D12"/>
    <w:rsid w:val="007C3B16"/>
    <w:rsid w:val="007C7E9B"/>
    <w:rsid w:val="007D6A38"/>
    <w:rsid w:val="007F1638"/>
    <w:rsid w:val="008517F4"/>
    <w:rsid w:val="00863FBF"/>
    <w:rsid w:val="0086475A"/>
    <w:rsid w:val="0089032C"/>
    <w:rsid w:val="008F7A73"/>
    <w:rsid w:val="00901CD3"/>
    <w:rsid w:val="009613DF"/>
    <w:rsid w:val="00967DAE"/>
    <w:rsid w:val="009905C7"/>
    <w:rsid w:val="009944E4"/>
    <w:rsid w:val="009B7453"/>
    <w:rsid w:val="009D3CA5"/>
    <w:rsid w:val="009E5B8E"/>
    <w:rsid w:val="009F481F"/>
    <w:rsid w:val="00A17F94"/>
    <w:rsid w:val="00A53DDB"/>
    <w:rsid w:val="00AA4841"/>
    <w:rsid w:val="00AB26FC"/>
    <w:rsid w:val="00B51F6B"/>
    <w:rsid w:val="00BC6AC6"/>
    <w:rsid w:val="00C121E9"/>
    <w:rsid w:val="00C2087A"/>
    <w:rsid w:val="00C208E7"/>
    <w:rsid w:val="00C5030B"/>
    <w:rsid w:val="00C570BB"/>
    <w:rsid w:val="00C6227C"/>
    <w:rsid w:val="00C70A16"/>
    <w:rsid w:val="00C83E40"/>
    <w:rsid w:val="00C92183"/>
    <w:rsid w:val="00CE6FED"/>
    <w:rsid w:val="00D217DF"/>
    <w:rsid w:val="00D41368"/>
    <w:rsid w:val="00D61087"/>
    <w:rsid w:val="00D74613"/>
    <w:rsid w:val="00D82FB9"/>
    <w:rsid w:val="00D948CF"/>
    <w:rsid w:val="00D94E5E"/>
    <w:rsid w:val="00DC00BF"/>
    <w:rsid w:val="00DC45FE"/>
    <w:rsid w:val="00DC70F6"/>
    <w:rsid w:val="00E108AC"/>
    <w:rsid w:val="00E11374"/>
    <w:rsid w:val="00E21BF6"/>
    <w:rsid w:val="00E60B51"/>
    <w:rsid w:val="00E73F40"/>
    <w:rsid w:val="00E956AC"/>
    <w:rsid w:val="00F320B0"/>
    <w:rsid w:val="00F52D45"/>
    <w:rsid w:val="00F53EB9"/>
    <w:rsid w:val="00F64250"/>
    <w:rsid w:val="00F90EF8"/>
    <w:rsid w:val="00F92DE6"/>
    <w:rsid w:val="00FD689B"/>
    <w:rsid w:val="00FE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1CB48A4"/>
  <w15:chartTrackingRefBased/>
  <w15:docId w15:val="{FFBC9B04-E0F7-AD47-B73C-9CB6B0FE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E93"/>
    <w:pPr>
      <w:spacing w:line="360" w:lineRule="auto"/>
    </w:pPr>
    <w:rPr>
      <w:rFonts w:ascii="Verdana" w:hAnsi="Verdana"/>
      <w:sz w:val="20"/>
      <w:lang w:val="en-GB"/>
    </w:rPr>
  </w:style>
  <w:style w:type="paragraph" w:styleId="Heading1">
    <w:name w:val="heading 1"/>
    <w:aliases w:val="Main heading"/>
    <w:basedOn w:val="Normal"/>
    <w:next w:val="Normal"/>
    <w:link w:val="Heading1Char"/>
    <w:uiPriority w:val="9"/>
    <w:qFormat/>
    <w:rsid w:val="004824AC"/>
    <w:pPr>
      <w:keepNext/>
      <w:keepLines/>
      <w:spacing w:before="240" w:after="36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Subheading"/>
    <w:basedOn w:val="Normal"/>
    <w:next w:val="Normal"/>
    <w:link w:val="Heading2Char"/>
    <w:uiPriority w:val="9"/>
    <w:unhideWhenUsed/>
    <w:qFormat/>
    <w:rsid w:val="004824AC"/>
    <w:pPr>
      <w:keepNext/>
      <w:keepLines/>
      <w:spacing w:before="40" w:after="18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C82"/>
  </w:style>
  <w:style w:type="paragraph" w:styleId="Footer">
    <w:name w:val="footer"/>
    <w:basedOn w:val="Normal"/>
    <w:link w:val="Foot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C82"/>
  </w:style>
  <w:style w:type="character" w:styleId="PageNumber">
    <w:name w:val="page number"/>
    <w:basedOn w:val="DefaultParagraphFont"/>
    <w:uiPriority w:val="99"/>
    <w:semiHidden/>
    <w:unhideWhenUsed/>
    <w:rsid w:val="00000C82"/>
  </w:style>
  <w:style w:type="table" w:styleId="TableGrid">
    <w:name w:val="Table Grid"/>
    <w:basedOn w:val="TableNormal"/>
    <w:uiPriority w:val="39"/>
    <w:rsid w:val="00C50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5FA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17DF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17DF"/>
    <w:rPr>
      <w:rFonts w:ascii="Verdana" w:eastAsiaTheme="majorEastAsia" w:hAnsi="Verdana" w:cstheme="majorBidi"/>
      <w:b/>
      <w:spacing w:val="-10"/>
      <w:kern w:val="28"/>
      <w:sz w:val="20"/>
      <w:szCs w:val="56"/>
    </w:rPr>
  </w:style>
  <w:style w:type="character" w:customStyle="1" w:styleId="Heading1Char">
    <w:name w:val="Heading 1 Char"/>
    <w:aliases w:val="Main heading Char"/>
    <w:basedOn w:val="DefaultParagraphFont"/>
    <w:link w:val="Heading1"/>
    <w:uiPriority w:val="9"/>
    <w:rsid w:val="004824AC"/>
    <w:rPr>
      <w:rFonts w:ascii="Verdana" w:eastAsiaTheme="majorEastAsia" w:hAnsi="Verdana" w:cstheme="majorBidi"/>
      <w:b/>
      <w:sz w:val="28"/>
      <w:szCs w:val="32"/>
    </w:rPr>
  </w:style>
  <w:style w:type="character" w:customStyle="1" w:styleId="Heading2Char">
    <w:name w:val="Heading 2 Char"/>
    <w:aliases w:val="Subheading Char"/>
    <w:basedOn w:val="DefaultParagraphFont"/>
    <w:link w:val="Heading2"/>
    <w:uiPriority w:val="9"/>
    <w:rsid w:val="004824AC"/>
    <w:rPr>
      <w:rFonts w:ascii="Verdana" w:eastAsiaTheme="majorEastAsia" w:hAnsi="Verdana" w:cstheme="majorBidi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1F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431F3"/>
    <w:rPr>
      <w:rFonts w:ascii="Verdana" w:eastAsiaTheme="minorEastAsia" w:hAnsi="Verdana"/>
      <w:color w:val="5A5A5A" w:themeColor="text1" w:themeTint="A5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1431F3"/>
    <w:rPr>
      <w:rFonts w:ascii="Verdana" w:hAnsi="Verdana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qFormat/>
    <w:rsid w:val="001431F3"/>
    <w:rPr>
      <w:rFonts w:ascii="Verdana" w:hAnsi="Verdana"/>
      <w:i/>
      <w:iCs/>
      <w:sz w:val="20"/>
    </w:rPr>
  </w:style>
  <w:style w:type="character" w:styleId="Hyperlink">
    <w:name w:val="Hyperlink"/>
    <w:aliases w:val="TOC - Hyperlink"/>
    <w:basedOn w:val="DefaultParagraphFont"/>
    <w:uiPriority w:val="99"/>
    <w:rsid w:val="005D4DAC"/>
    <w:rPr>
      <w:rFonts w:ascii="Verdana" w:hAnsi="Verdana"/>
      <w:color w:val="191C9D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7A4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E113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137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1374"/>
    <w:rPr>
      <w:rFonts w:ascii="Verdana" w:hAnsi="Verdan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13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1374"/>
    <w:rPr>
      <w:rFonts w:ascii="Verdana" w:hAnsi="Verdana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137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1374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microsoft.com/office/2016/09/relationships/commentsIds" Target="commentsId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microsoft.com/office/2018/08/relationships/commentsExtensible" Target="commentsExtensible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8d55436e-d10b-4d38-a844-af2f5c8572ea" xsi:nil="true"/>
  </documentManagement>
</p:properties>
</file>

<file path=customXml/item3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522D1114B67640824C1F6AD3B0C66C" ma:contentTypeVersion="13" ma:contentTypeDescription="Create a new document." ma:contentTypeScope="" ma:versionID="9188329314baedafb4d659883babdab4">
  <xsd:schema xmlns:xsd="http://www.w3.org/2001/XMLSchema" xmlns:xs="http://www.w3.org/2001/XMLSchema" xmlns:p="http://schemas.microsoft.com/office/2006/metadata/properties" xmlns:ns2="8d55436e-d10b-4d38-a844-af2f5c8572ea" xmlns:ns3="812ed435-4f8f-407c-8d74-f14caf3f57e4" targetNamespace="http://schemas.microsoft.com/office/2006/metadata/properties" ma:root="true" ma:fieldsID="0495f94150256bf8f7fe781e949ebbf0" ns2:_="" ns3:_="">
    <xsd:import namespace="8d55436e-d10b-4d38-a844-af2f5c8572ea"/>
    <xsd:import namespace="812ed435-4f8f-407c-8d74-f14caf3f57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55436e-d10b-4d38-a844-af2f5c8572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ign-off status" ma:internalName="Sign_x002d_off_x0020_status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2ed435-4f8f-407c-8d74-f14caf3f57e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5783D-6ADA-4A21-A049-7D1E543968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B6FF5B-3AEB-4958-8F9A-3BECEC9B70F1}">
  <ds:schemaRefs>
    <ds:schemaRef ds:uri="http://schemas.microsoft.com/office/2006/documentManagement/types"/>
    <ds:schemaRef ds:uri="http://purl.org/dc/elements/1.1/"/>
    <ds:schemaRef ds:uri="812ed435-4f8f-407c-8d74-f14caf3f57e4"/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8d55436e-d10b-4d38-a844-af2f5c8572ea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DEF10DF-7EFE-435A-89A1-FE9F3B7ECE6A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0AE8C3BD-C56F-4F2A-BBAB-6DA2371374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55436e-d10b-4d38-a844-af2f5c8572ea"/>
    <ds:schemaRef ds:uri="812ed435-4f8f-407c-8d74-f14caf3f57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A2B6C1A-D68D-4AB5-A4B2-7B7EF20C2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Answer form 2020</vt:lpstr>
    </vt:vector>
  </TitlesOfParts>
  <Company>Ofgem</Company>
  <LinksUpToDate>false</LinksUpToDate>
  <CharactersWithSpaces>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Answer form 2020</dc:title>
  <dc:subject/>
  <dc:creator>Ofgem</dc:creator>
  <cp:keywords/>
  <dc:description/>
  <cp:lastModifiedBy>Measday, Paul</cp:lastModifiedBy>
  <cp:revision>3</cp:revision>
  <dcterms:created xsi:type="dcterms:W3CDTF">2020-09-10T15:28:00Z</dcterms:created>
  <dcterms:modified xsi:type="dcterms:W3CDTF">2020-09-10T15:28:00Z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0x01010083522D1114B67640824C1F6AD3B0C66C</vt:lpwstr>
  </property>
  <property fmtid="{D5CDD505-2E9C-101B-9397-08002B2CF9AE}" pid="3" name="docIndexRef">
    <vt:lpwstr>a58c36e5-9455-4796-b569-1033afbe054a</vt:lpwstr>
  </property>
  <property fmtid="{D5CDD505-2E9C-101B-9397-08002B2CF9AE}" pid="4" name="bjSaver">
    <vt:lpwstr>WXoYCeGbFqQc8FZh5Mhj3Bj0oqW2Gt1E</vt:lpwstr>
  </property>
  <property fmtid="{D5CDD505-2E9C-101B-9397-08002B2CF9AE}" pid="5" name="OIAssociatedTeam">
    <vt:lpwstr/>
  </property>
  <property fmtid="{D5CDD505-2E9C-101B-9397-08002B2CF9AE}" pid="6" name="bjDocumentSecurityLabel">
    <vt:lpwstr>This item has no classification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</vt:lpwstr>
  </property>
</Properties>
</file>